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1BB2C3" w14:textId="77777777" w:rsidR="00D33D73" w:rsidRPr="004013D0" w:rsidRDefault="00D33D73" w:rsidP="004708F6">
      <w:pPr>
        <w:widowControl w:val="0"/>
        <w:autoSpaceDE w:val="0"/>
        <w:autoSpaceDN w:val="0"/>
        <w:adjustRightInd w:val="0"/>
        <w:jc w:val="both"/>
        <w:rPr>
          <w:b/>
          <w:bCs/>
        </w:rPr>
      </w:pPr>
    </w:p>
    <w:p w14:paraId="094DAD93" w14:textId="77777777" w:rsidR="007721B6" w:rsidRPr="004013D0" w:rsidRDefault="007721B6" w:rsidP="007721B6">
      <w:pPr>
        <w:widowControl w:val="0"/>
        <w:autoSpaceDE w:val="0"/>
        <w:autoSpaceDN w:val="0"/>
        <w:adjustRightInd w:val="0"/>
        <w:jc w:val="both"/>
        <w:rPr>
          <w:b/>
          <w:bCs/>
        </w:rPr>
      </w:pPr>
    </w:p>
    <w:p w14:paraId="0408A1BE" w14:textId="2AE5F0DD" w:rsidR="007721B6" w:rsidRPr="004013D0" w:rsidRDefault="007721B6" w:rsidP="007721B6">
      <w:pPr>
        <w:widowControl w:val="0"/>
        <w:autoSpaceDE w:val="0"/>
        <w:autoSpaceDN w:val="0"/>
        <w:adjustRightInd w:val="0"/>
        <w:jc w:val="both"/>
        <w:rPr>
          <w:b/>
          <w:bCs/>
        </w:rPr>
      </w:pPr>
      <w:r w:rsidRPr="004013D0">
        <w:rPr>
          <w:b/>
          <w:bCs/>
        </w:rPr>
        <w:t>EL DISCUTIDO VALOR PROBATORIO DE LOS INFORMES TÉCNICOS DE LA ADMINISTRACIÓN. Comentario a la sentencia del Tribunal Supremo, 202/2022, de 17 de febrero.</w:t>
      </w:r>
    </w:p>
    <w:p w14:paraId="52562893" w14:textId="71F3744B" w:rsidR="0043312A" w:rsidRPr="004013D0" w:rsidRDefault="0043312A" w:rsidP="007721B6">
      <w:pPr>
        <w:widowControl w:val="0"/>
        <w:autoSpaceDE w:val="0"/>
        <w:autoSpaceDN w:val="0"/>
        <w:adjustRightInd w:val="0"/>
        <w:jc w:val="both"/>
        <w:rPr>
          <w:b/>
          <w:bCs/>
        </w:rPr>
      </w:pPr>
    </w:p>
    <w:p w14:paraId="23C165A5" w14:textId="4D654348" w:rsidR="0043312A" w:rsidRPr="004013D0" w:rsidRDefault="0043312A" w:rsidP="007721B6">
      <w:pPr>
        <w:widowControl w:val="0"/>
        <w:autoSpaceDE w:val="0"/>
        <w:autoSpaceDN w:val="0"/>
        <w:adjustRightInd w:val="0"/>
        <w:jc w:val="both"/>
        <w:rPr>
          <w:b/>
          <w:bCs/>
        </w:rPr>
      </w:pPr>
    </w:p>
    <w:p w14:paraId="40D300EA" w14:textId="77777777" w:rsidR="0043312A" w:rsidRPr="004013D0" w:rsidRDefault="0043312A" w:rsidP="007721B6">
      <w:pPr>
        <w:widowControl w:val="0"/>
        <w:autoSpaceDE w:val="0"/>
        <w:autoSpaceDN w:val="0"/>
        <w:adjustRightInd w:val="0"/>
        <w:jc w:val="both"/>
        <w:rPr>
          <w:b/>
          <w:bCs/>
        </w:rPr>
      </w:pPr>
    </w:p>
    <w:p w14:paraId="3CA02958" w14:textId="77777777" w:rsidR="0043312A" w:rsidRPr="004013D0" w:rsidRDefault="0043312A" w:rsidP="007721B6">
      <w:pPr>
        <w:widowControl w:val="0"/>
        <w:autoSpaceDE w:val="0"/>
        <w:autoSpaceDN w:val="0"/>
        <w:adjustRightInd w:val="0"/>
        <w:jc w:val="both"/>
        <w:rPr>
          <w:b/>
          <w:bCs/>
        </w:rPr>
      </w:pPr>
    </w:p>
    <w:p w14:paraId="407F4B4F" w14:textId="74BC2C11" w:rsidR="007721B6" w:rsidRPr="004013D0" w:rsidRDefault="0043312A" w:rsidP="007721B6">
      <w:pPr>
        <w:widowControl w:val="0"/>
        <w:autoSpaceDE w:val="0"/>
        <w:autoSpaceDN w:val="0"/>
        <w:adjustRightInd w:val="0"/>
        <w:jc w:val="both"/>
        <w:rPr>
          <w:b/>
          <w:bCs/>
        </w:rPr>
      </w:pPr>
      <w:r w:rsidRPr="004013D0">
        <w:rPr>
          <w:b/>
          <w:bCs/>
        </w:rPr>
        <w:t>Salvador María Martín Valdivia. Profesor Titular de Derecho Administrativo de la Universidad de Jaén.</w:t>
      </w:r>
    </w:p>
    <w:p w14:paraId="6E78DC81" w14:textId="79D6F017" w:rsidR="007721B6" w:rsidRPr="004013D0" w:rsidRDefault="007721B6" w:rsidP="007721B6">
      <w:pPr>
        <w:widowControl w:val="0"/>
        <w:autoSpaceDE w:val="0"/>
        <w:autoSpaceDN w:val="0"/>
        <w:adjustRightInd w:val="0"/>
        <w:jc w:val="both"/>
        <w:rPr>
          <w:b/>
          <w:bCs/>
        </w:rPr>
      </w:pPr>
      <w:r w:rsidRPr="004013D0">
        <w:rPr>
          <w:b/>
          <w:bCs/>
        </w:rPr>
        <w:t>Salvador Martín Ros. Abogado.</w:t>
      </w:r>
    </w:p>
    <w:p w14:paraId="45C58F73" w14:textId="471D1A99" w:rsidR="0043312A" w:rsidRPr="004013D0" w:rsidRDefault="0043312A" w:rsidP="007721B6">
      <w:pPr>
        <w:widowControl w:val="0"/>
        <w:autoSpaceDE w:val="0"/>
        <w:autoSpaceDN w:val="0"/>
        <w:adjustRightInd w:val="0"/>
        <w:jc w:val="both"/>
        <w:rPr>
          <w:b/>
          <w:bCs/>
        </w:rPr>
      </w:pPr>
    </w:p>
    <w:p w14:paraId="42924808" w14:textId="00E23CB1" w:rsidR="0043312A" w:rsidRPr="004013D0" w:rsidRDefault="0043312A" w:rsidP="007721B6">
      <w:pPr>
        <w:widowControl w:val="0"/>
        <w:autoSpaceDE w:val="0"/>
        <w:autoSpaceDN w:val="0"/>
        <w:adjustRightInd w:val="0"/>
        <w:jc w:val="both"/>
        <w:rPr>
          <w:b/>
          <w:bCs/>
        </w:rPr>
      </w:pPr>
    </w:p>
    <w:p w14:paraId="023F075B" w14:textId="77777777" w:rsidR="0043312A" w:rsidRPr="004013D0" w:rsidRDefault="0043312A" w:rsidP="007721B6">
      <w:pPr>
        <w:widowControl w:val="0"/>
        <w:autoSpaceDE w:val="0"/>
        <w:autoSpaceDN w:val="0"/>
        <w:adjustRightInd w:val="0"/>
        <w:jc w:val="both"/>
        <w:rPr>
          <w:b/>
          <w:bCs/>
        </w:rPr>
      </w:pPr>
    </w:p>
    <w:p w14:paraId="2DB033A8" w14:textId="77777777" w:rsidR="007721B6" w:rsidRPr="004013D0" w:rsidRDefault="007721B6" w:rsidP="007721B6">
      <w:pPr>
        <w:widowControl w:val="0"/>
        <w:autoSpaceDE w:val="0"/>
        <w:autoSpaceDN w:val="0"/>
        <w:adjustRightInd w:val="0"/>
        <w:jc w:val="both"/>
        <w:rPr>
          <w:b/>
          <w:bCs/>
        </w:rPr>
      </w:pPr>
    </w:p>
    <w:p w14:paraId="0C1AB4A4" w14:textId="77777777" w:rsidR="007721B6" w:rsidRPr="004013D0" w:rsidRDefault="007721B6" w:rsidP="007721B6">
      <w:pPr>
        <w:widowControl w:val="0"/>
        <w:autoSpaceDE w:val="0"/>
        <w:autoSpaceDN w:val="0"/>
        <w:adjustRightInd w:val="0"/>
        <w:jc w:val="both"/>
      </w:pPr>
      <w:r w:rsidRPr="004013D0">
        <w:rPr>
          <w:b/>
          <w:bCs/>
        </w:rPr>
        <w:t>RESUMEN</w:t>
      </w:r>
      <w:r w:rsidRPr="004013D0">
        <w:t>: La sentencia del Tribunal Supremo de 17 de febrero de 2022 ha supuesto un cambio doctrinal en la posición de superioridad que tenían desde antaño los dictámenes de peritos de la administración y a los que se les otorgaba por los Tribunales de Justicia, en no pocas ocasiones, valor casi absoluto.</w:t>
      </w:r>
    </w:p>
    <w:p w14:paraId="7790AD86" w14:textId="77777777" w:rsidR="007721B6" w:rsidRPr="004013D0" w:rsidRDefault="007721B6" w:rsidP="007721B6">
      <w:pPr>
        <w:widowControl w:val="0"/>
        <w:autoSpaceDE w:val="0"/>
        <w:autoSpaceDN w:val="0"/>
        <w:adjustRightInd w:val="0"/>
        <w:jc w:val="both"/>
      </w:pPr>
    </w:p>
    <w:p w14:paraId="045DE57E" w14:textId="777C4318" w:rsidR="007721B6" w:rsidRPr="004013D0" w:rsidRDefault="007721B6" w:rsidP="007721B6">
      <w:pPr>
        <w:widowControl w:val="0"/>
        <w:autoSpaceDE w:val="0"/>
        <w:autoSpaceDN w:val="0"/>
        <w:adjustRightInd w:val="0"/>
        <w:jc w:val="both"/>
      </w:pPr>
      <w:r w:rsidRPr="004013D0">
        <w:t>Esta corriente jurisprudencial tenía como base la presunción de validez del acto administrativo (actual artículo 39 de la Ley 39/2015, de 1 de octubre, del Procedimiento Administrativo Común de las Administraciones Públicas) y</w:t>
      </w:r>
      <w:r w:rsidR="00F25C6E">
        <w:t>,</w:t>
      </w:r>
      <w:r w:rsidRPr="004013D0">
        <w:t xml:space="preserve"> a su través, las administraciones públicas se garantizaban un resultado satisfactorio en los litigios interpuestos por particulares en asuntos donde la prueba pericial se mostraba como esencial, con independencia de cuál fuera la materia objeto de discusión (expropiación, deslinde de costas, planeamiento, gestión o disciplina urbanística</w:t>
      </w:r>
      <w:r w:rsidR="00F25C6E">
        <w:t xml:space="preserve"> …</w:t>
      </w:r>
      <w:r w:rsidRPr="004013D0">
        <w:t>).</w:t>
      </w:r>
    </w:p>
    <w:p w14:paraId="2139D756" w14:textId="77777777" w:rsidR="007721B6" w:rsidRPr="004013D0" w:rsidRDefault="007721B6" w:rsidP="007721B6">
      <w:pPr>
        <w:widowControl w:val="0"/>
        <w:autoSpaceDE w:val="0"/>
        <w:autoSpaceDN w:val="0"/>
        <w:adjustRightInd w:val="0"/>
        <w:jc w:val="both"/>
      </w:pPr>
    </w:p>
    <w:p w14:paraId="4306B970" w14:textId="69D1EAC6" w:rsidR="007721B6" w:rsidRPr="004013D0" w:rsidRDefault="007721B6" w:rsidP="007721B6">
      <w:pPr>
        <w:widowControl w:val="0"/>
        <w:autoSpaceDE w:val="0"/>
        <w:autoSpaceDN w:val="0"/>
        <w:adjustRightInd w:val="0"/>
        <w:jc w:val="both"/>
      </w:pPr>
      <w:r w:rsidRPr="004013D0">
        <w:t xml:space="preserve">Sin embargo, la referida sentencia del Alto Tribunal puede haber supuesto un cambio significativo. Sus consecuencias jurídicas en la práctica se han </w:t>
      </w:r>
      <w:r w:rsidR="00F25C6E" w:rsidRPr="004013D0">
        <w:t xml:space="preserve">de producir </w:t>
      </w:r>
      <w:r w:rsidRPr="004013D0">
        <w:t xml:space="preserve">necesariamente, aunque ya se han pronunciado algunos tribunales que, pese a ello, les cuesta </w:t>
      </w:r>
      <w:r w:rsidR="00F25C6E">
        <w:t>aplic</w:t>
      </w:r>
      <w:r w:rsidRPr="004013D0">
        <w:t xml:space="preserve">arla. </w:t>
      </w:r>
    </w:p>
    <w:p w14:paraId="7404C431" w14:textId="77777777" w:rsidR="007721B6" w:rsidRPr="004013D0" w:rsidRDefault="007721B6" w:rsidP="007721B6">
      <w:pPr>
        <w:widowControl w:val="0"/>
        <w:autoSpaceDE w:val="0"/>
        <w:autoSpaceDN w:val="0"/>
        <w:adjustRightInd w:val="0"/>
        <w:jc w:val="both"/>
      </w:pPr>
    </w:p>
    <w:p w14:paraId="75E78914" w14:textId="3528ACBF" w:rsidR="007721B6" w:rsidRDefault="007721B6" w:rsidP="007721B6">
      <w:pPr>
        <w:widowControl w:val="0"/>
        <w:autoSpaceDE w:val="0"/>
        <w:autoSpaceDN w:val="0"/>
        <w:adjustRightInd w:val="0"/>
        <w:jc w:val="both"/>
      </w:pPr>
      <w:r w:rsidRPr="004013D0">
        <w:t>El viejo criterio jurisprudencial, no obstante, debe seguir implementándose cuando se litigue en un recurso donde la administración pública autora del dictamen de peritos no sea parte directa o indirectamente interesada; pero cuando ello no sea así, los dictámenes periciales deben valorarse, tal y como ordena el artículo 348 LEC, “</w:t>
      </w:r>
      <w:r w:rsidRPr="004013D0">
        <w:rPr>
          <w:i/>
          <w:iCs/>
        </w:rPr>
        <w:t>según las reglas de la sana crítica</w:t>
      </w:r>
      <w:r w:rsidRPr="004013D0">
        <w:t xml:space="preserve">”, sin ningún tipo de prevalencia apriorística. </w:t>
      </w:r>
    </w:p>
    <w:p w14:paraId="7477F273" w14:textId="389D2887" w:rsidR="00F25C6E" w:rsidRDefault="00F25C6E" w:rsidP="007721B6">
      <w:pPr>
        <w:widowControl w:val="0"/>
        <w:autoSpaceDE w:val="0"/>
        <w:autoSpaceDN w:val="0"/>
        <w:adjustRightInd w:val="0"/>
        <w:jc w:val="both"/>
      </w:pPr>
    </w:p>
    <w:p w14:paraId="00289B8A" w14:textId="77777777" w:rsidR="00F25C6E" w:rsidRPr="004013D0" w:rsidRDefault="00F25C6E" w:rsidP="007721B6">
      <w:pPr>
        <w:widowControl w:val="0"/>
        <w:autoSpaceDE w:val="0"/>
        <w:autoSpaceDN w:val="0"/>
        <w:adjustRightInd w:val="0"/>
        <w:jc w:val="both"/>
      </w:pPr>
    </w:p>
    <w:p w14:paraId="4E82B914" w14:textId="77777777" w:rsidR="007721B6" w:rsidRPr="004013D0" w:rsidRDefault="007721B6" w:rsidP="007721B6">
      <w:pPr>
        <w:widowControl w:val="0"/>
        <w:autoSpaceDE w:val="0"/>
        <w:autoSpaceDN w:val="0"/>
        <w:adjustRightInd w:val="0"/>
        <w:jc w:val="both"/>
      </w:pPr>
    </w:p>
    <w:p w14:paraId="08031500" w14:textId="3BD7E8DC" w:rsidR="007721B6" w:rsidRPr="004013D0" w:rsidRDefault="007721B6" w:rsidP="007721B6">
      <w:pPr>
        <w:widowControl w:val="0"/>
        <w:autoSpaceDE w:val="0"/>
        <w:autoSpaceDN w:val="0"/>
        <w:adjustRightInd w:val="0"/>
        <w:jc w:val="both"/>
      </w:pPr>
      <w:r w:rsidRPr="004013D0">
        <w:rPr>
          <w:b/>
          <w:bCs/>
        </w:rPr>
        <w:t>PALABRAS CLAVE:</w:t>
      </w:r>
      <w:r w:rsidRPr="004013D0">
        <w:t xml:space="preserve"> Acto administrativo, presunción de validez, dictámenes de peritos, sana crítica, situación de dependencia, imparcialidad, objetividad y </w:t>
      </w:r>
      <w:r w:rsidR="00F25C6E">
        <w:t>legalidad</w:t>
      </w:r>
      <w:r w:rsidRPr="004013D0">
        <w:t xml:space="preserve">; prueba tasada o legal. </w:t>
      </w:r>
    </w:p>
    <w:p w14:paraId="79496794" w14:textId="77777777" w:rsidR="007721B6" w:rsidRPr="004013D0" w:rsidRDefault="007721B6" w:rsidP="007721B6">
      <w:pPr>
        <w:widowControl w:val="0"/>
        <w:autoSpaceDE w:val="0"/>
        <w:autoSpaceDN w:val="0"/>
        <w:adjustRightInd w:val="0"/>
        <w:spacing w:line="360" w:lineRule="auto"/>
        <w:jc w:val="both"/>
      </w:pPr>
    </w:p>
    <w:p w14:paraId="10179D04" w14:textId="77777777" w:rsidR="007721B6" w:rsidRPr="004013D0" w:rsidRDefault="007721B6" w:rsidP="007721B6">
      <w:pPr>
        <w:widowControl w:val="0"/>
        <w:autoSpaceDE w:val="0"/>
        <w:autoSpaceDN w:val="0"/>
        <w:adjustRightInd w:val="0"/>
        <w:jc w:val="both"/>
        <w:rPr>
          <w:lang w:val="en-US"/>
        </w:rPr>
      </w:pPr>
      <w:r w:rsidRPr="004013D0">
        <w:rPr>
          <w:b/>
          <w:lang w:val="en-US"/>
        </w:rPr>
        <w:t>ABSTRACT:</w:t>
      </w:r>
      <w:r w:rsidRPr="004013D0">
        <w:rPr>
          <w:lang w:val="en-US"/>
        </w:rPr>
        <w:t xml:space="preserve"> The sentence of the Supreme Court of February 17, 2022 means a doctrinal change in the position of superiority that government experts’ opinions held in the past and which were granted by the Courts of Justice, on many occasions, almost absolute value.</w:t>
      </w:r>
    </w:p>
    <w:p w14:paraId="74EF6CDB" w14:textId="77777777" w:rsidR="007721B6" w:rsidRPr="004013D0" w:rsidRDefault="007721B6" w:rsidP="007721B6">
      <w:pPr>
        <w:widowControl w:val="0"/>
        <w:autoSpaceDE w:val="0"/>
        <w:autoSpaceDN w:val="0"/>
        <w:adjustRightInd w:val="0"/>
        <w:jc w:val="both"/>
        <w:rPr>
          <w:lang w:val="en-US"/>
        </w:rPr>
      </w:pPr>
    </w:p>
    <w:p w14:paraId="202FF590" w14:textId="77777777" w:rsidR="007721B6" w:rsidRPr="004013D0" w:rsidRDefault="007721B6" w:rsidP="007721B6">
      <w:pPr>
        <w:widowControl w:val="0"/>
        <w:autoSpaceDE w:val="0"/>
        <w:autoSpaceDN w:val="0"/>
        <w:adjustRightInd w:val="0"/>
        <w:jc w:val="both"/>
        <w:rPr>
          <w:lang w:val="en-US"/>
        </w:rPr>
      </w:pPr>
      <w:r w:rsidRPr="004013D0">
        <w:rPr>
          <w:lang w:val="en-US"/>
        </w:rPr>
        <w:t>This current of jurisprudence was based on the presumption of validity of the administrative act (current article 39 of Law 39/2015, of October 1, of Common Administrative Procedure of Public Administrations) and through it, public administrations guaranteed themselves a satisfactory result in disputes filed by individuals in matters where the expert evidence was considered to be essential, regardless of the matter under discussion (expropriation, planning, management or urban discipline).</w:t>
      </w:r>
    </w:p>
    <w:p w14:paraId="6AEC4D48" w14:textId="77777777" w:rsidR="007721B6" w:rsidRPr="004013D0" w:rsidRDefault="007721B6" w:rsidP="007721B6">
      <w:pPr>
        <w:widowControl w:val="0"/>
        <w:autoSpaceDE w:val="0"/>
        <w:autoSpaceDN w:val="0"/>
        <w:adjustRightInd w:val="0"/>
        <w:jc w:val="both"/>
        <w:rPr>
          <w:lang w:val="en-US"/>
        </w:rPr>
      </w:pPr>
    </w:p>
    <w:p w14:paraId="065DB74D" w14:textId="77777777" w:rsidR="007721B6" w:rsidRPr="004013D0" w:rsidRDefault="007721B6" w:rsidP="007721B6">
      <w:pPr>
        <w:widowControl w:val="0"/>
        <w:autoSpaceDE w:val="0"/>
        <w:autoSpaceDN w:val="0"/>
        <w:adjustRightInd w:val="0"/>
        <w:jc w:val="both"/>
        <w:rPr>
          <w:lang w:val="en-US"/>
        </w:rPr>
      </w:pPr>
      <w:r w:rsidRPr="004013D0">
        <w:rPr>
          <w:lang w:val="en-US"/>
        </w:rPr>
        <w:t>However, the referred judgment of the High Court may have implied a significant change. Its legal consequences necessarily need to translate into practice, although some courts have already ruled, despite this, finding it difficult to implement.</w:t>
      </w:r>
    </w:p>
    <w:p w14:paraId="544DA710" w14:textId="77777777" w:rsidR="007721B6" w:rsidRPr="004013D0" w:rsidRDefault="007721B6" w:rsidP="007721B6">
      <w:pPr>
        <w:widowControl w:val="0"/>
        <w:autoSpaceDE w:val="0"/>
        <w:autoSpaceDN w:val="0"/>
        <w:adjustRightInd w:val="0"/>
        <w:jc w:val="both"/>
        <w:rPr>
          <w:lang w:val="en-US"/>
        </w:rPr>
      </w:pPr>
    </w:p>
    <w:p w14:paraId="420F0374" w14:textId="77777777" w:rsidR="007721B6" w:rsidRPr="004013D0" w:rsidRDefault="007721B6" w:rsidP="007721B6">
      <w:pPr>
        <w:widowControl w:val="0"/>
        <w:autoSpaceDE w:val="0"/>
        <w:autoSpaceDN w:val="0"/>
        <w:adjustRightInd w:val="0"/>
        <w:jc w:val="both"/>
        <w:rPr>
          <w:lang w:val="en-US"/>
        </w:rPr>
      </w:pPr>
      <w:r w:rsidRPr="004013D0">
        <w:rPr>
          <w:lang w:val="en-US"/>
        </w:rPr>
        <w:t>The old jurisprudential criteria, however, must continue to be implemented when litigating in an appeal where the public administration authoring the experts’ opinion is not a directly or indirectly interested party; but when this is not the case, the experts’ opinions must be assessed, as it is ordered by article 348 LEC, "according to the rules of reasoned judgment ", without any kind of a priori prevalence.</w:t>
      </w:r>
    </w:p>
    <w:p w14:paraId="55044F88" w14:textId="77777777" w:rsidR="007721B6" w:rsidRPr="004013D0" w:rsidRDefault="007721B6" w:rsidP="007721B6">
      <w:pPr>
        <w:jc w:val="both"/>
        <w:rPr>
          <w:lang w:val="en-US"/>
        </w:rPr>
      </w:pPr>
    </w:p>
    <w:p w14:paraId="216BFECE" w14:textId="137C8A51" w:rsidR="007721B6" w:rsidRPr="004013D0" w:rsidRDefault="007721B6" w:rsidP="007721B6">
      <w:pPr>
        <w:jc w:val="both"/>
        <w:rPr>
          <w:lang w:val="en-US"/>
        </w:rPr>
      </w:pPr>
      <w:r w:rsidRPr="004013D0">
        <w:rPr>
          <w:b/>
          <w:bCs/>
          <w:lang w:val="en-US"/>
        </w:rPr>
        <w:t>KEYWORDS</w:t>
      </w:r>
      <w:r w:rsidRPr="004013D0">
        <w:rPr>
          <w:lang w:val="en-US"/>
        </w:rPr>
        <w:t xml:space="preserve">: Administrative act, presumption of validity, experts’ opinions, reasoned judgment, situation of dependency, impartiality, objectivity and </w:t>
      </w:r>
      <w:r w:rsidR="00F25C6E">
        <w:rPr>
          <w:lang w:val="en-US"/>
        </w:rPr>
        <w:t>legality</w:t>
      </w:r>
      <w:r w:rsidRPr="004013D0">
        <w:rPr>
          <w:lang w:val="en-US"/>
        </w:rPr>
        <w:t>; legal evidence.</w:t>
      </w:r>
    </w:p>
    <w:p w14:paraId="3E2AA812" w14:textId="77777777" w:rsidR="007721B6" w:rsidRPr="004013D0" w:rsidRDefault="007721B6" w:rsidP="007721B6">
      <w:pPr>
        <w:widowControl w:val="0"/>
        <w:autoSpaceDE w:val="0"/>
        <w:autoSpaceDN w:val="0"/>
        <w:adjustRightInd w:val="0"/>
        <w:spacing w:line="360" w:lineRule="auto"/>
        <w:jc w:val="both"/>
        <w:rPr>
          <w:b/>
          <w:bCs/>
        </w:rPr>
      </w:pPr>
    </w:p>
    <w:p w14:paraId="057E9C53" w14:textId="77777777" w:rsidR="007721B6" w:rsidRPr="004013D0" w:rsidRDefault="007721B6" w:rsidP="007721B6">
      <w:pPr>
        <w:widowControl w:val="0"/>
        <w:autoSpaceDE w:val="0"/>
        <w:autoSpaceDN w:val="0"/>
        <w:adjustRightInd w:val="0"/>
        <w:spacing w:line="360" w:lineRule="auto"/>
        <w:jc w:val="both"/>
        <w:rPr>
          <w:b/>
          <w:bCs/>
        </w:rPr>
      </w:pPr>
    </w:p>
    <w:p w14:paraId="653FD133" w14:textId="77777777" w:rsidR="007721B6" w:rsidRPr="004013D0" w:rsidRDefault="007721B6" w:rsidP="007721B6">
      <w:pPr>
        <w:widowControl w:val="0"/>
        <w:autoSpaceDE w:val="0"/>
        <w:autoSpaceDN w:val="0"/>
        <w:adjustRightInd w:val="0"/>
        <w:spacing w:line="360" w:lineRule="auto"/>
        <w:jc w:val="both"/>
        <w:rPr>
          <w:b/>
          <w:bCs/>
        </w:rPr>
      </w:pPr>
    </w:p>
    <w:p w14:paraId="5C498271" w14:textId="77777777" w:rsidR="007721B6" w:rsidRPr="004013D0" w:rsidRDefault="007721B6" w:rsidP="007721B6">
      <w:pPr>
        <w:widowControl w:val="0"/>
        <w:autoSpaceDE w:val="0"/>
        <w:autoSpaceDN w:val="0"/>
        <w:adjustRightInd w:val="0"/>
        <w:spacing w:line="360" w:lineRule="auto"/>
        <w:jc w:val="both"/>
        <w:rPr>
          <w:b/>
          <w:bCs/>
        </w:rPr>
      </w:pPr>
    </w:p>
    <w:p w14:paraId="0B1E1EFE" w14:textId="77777777" w:rsidR="007721B6" w:rsidRPr="004013D0" w:rsidRDefault="007721B6" w:rsidP="007721B6">
      <w:pPr>
        <w:widowControl w:val="0"/>
        <w:autoSpaceDE w:val="0"/>
        <w:autoSpaceDN w:val="0"/>
        <w:adjustRightInd w:val="0"/>
        <w:spacing w:line="360" w:lineRule="auto"/>
        <w:jc w:val="both"/>
        <w:rPr>
          <w:b/>
          <w:bCs/>
        </w:rPr>
      </w:pPr>
      <w:r w:rsidRPr="004013D0">
        <w:rPr>
          <w:b/>
          <w:bCs/>
        </w:rPr>
        <w:t>ÍNDICE:</w:t>
      </w:r>
    </w:p>
    <w:p w14:paraId="1D97A601" w14:textId="77777777" w:rsidR="007721B6" w:rsidRPr="004013D0" w:rsidRDefault="007721B6" w:rsidP="007721B6">
      <w:pPr>
        <w:widowControl w:val="0"/>
        <w:autoSpaceDE w:val="0"/>
        <w:autoSpaceDN w:val="0"/>
        <w:adjustRightInd w:val="0"/>
        <w:spacing w:line="360" w:lineRule="auto"/>
        <w:jc w:val="both"/>
        <w:rPr>
          <w:b/>
          <w:bCs/>
        </w:rPr>
      </w:pPr>
    </w:p>
    <w:p w14:paraId="5DC842E3" w14:textId="77777777" w:rsidR="007721B6" w:rsidRPr="004013D0" w:rsidRDefault="007721B6" w:rsidP="007721B6">
      <w:pPr>
        <w:widowControl w:val="0"/>
        <w:autoSpaceDE w:val="0"/>
        <w:autoSpaceDN w:val="0"/>
        <w:adjustRightInd w:val="0"/>
        <w:spacing w:line="360" w:lineRule="auto"/>
        <w:jc w:val="both"/>
      </w:pPr>
      <w:r w:rsidRPr="004013D0">
        <w:t>I.-Prefacio.</w:t>
      </w:r>
    </w:p>
    <w:p w14:paraId="66BAE617" w14:textId="77777777" w:rsidR="007721B6" w:rsidRPr="004013D0" w:rsidRDefault="007721B6" w:rsidP="007721B6">
      <w:pPr>
        <w:widowControl w:val="0"/>
        <w:autoSpaceDE w:val="0"/>
        <w:autoSpaceDN w:val="0"/>
        <w:adjustRightInd w:val="0"/>
        <w:spacing w:line="360" w:lineRule="auto"/>
        <w:jc w:val="both"/>
      </w:pPr>
      <w:r w:rsidRPr="004013D0">
        <w:t>II.- El principio de legalidad, también en materia de prueba.</w:t>
      </w:r>
    </w:p>
    <w:p w14:paraId="2B19E237" w14:textId="0ABFF541" w:rsidR="007721B6" w:rsidRPr="004013D0" w:rsidRDefault="007721B6" w:rsidP="007721B6">
      <w:pPr>
        <w:widowControl w:val="0"/>
        <w:autoSpaceDE w:val="0"/>
        <w:autoSpaceDN w:val="0"/>
        <w:adjustRightInd w:val="0"/>
        <w:spacing w:line="360" w:lineRule="auto"/>
        <w:jc w:val="both"/>
      </w:pPr>
      <w:r w:rsidRPr="004013D0">
        <w:t xml:space="preserve">III- </w:t>
      </w:r>
      <w:r w:rsidR="00637E85">
        <w:t>Hacia e</w:t>
      </w:r>
      <w:r w:rsidRPr="004013D0">
        <w:t>l cambio de criterio: los antecedentes de la sentencia.</w:t>
      </w:r>
    </w:p>
    <w:p w14:paraId="1FF40A6F" w14:textId="0EE0EC7C" w:rsidR="007721B6" w:rsidRPr="004013D0" w:rsidRDefault="007721B6" w:rsidP="007721B6">
      <w:pPr>
        <w:jc w:val="both"/>
      </w:pPr>
      <w:r w:rsidRPr="004013D0">
        <w:t xml:space="preserve">IV.- La corriente doctrinal tradicional: la prevalencia de los dictámenes de peritos administrativos. </w:t>
      </w:r>
    </w:p>
    <w:p w14:paraId="0BB39401" w14:textId="65DCF9CE" w:rsidR="007721B6" w:rsidRPr="004013D0" w:rsidRDefault="007721B6" w:rsidP="006313BC">
      <w:pPr>
        <w:jc w:val="both"/>
      </w:pPr>
      <w:r w:rsidRPr="004013D0">
        <w:t xml:space="preserve">V.- </w:t>
      </w:r>
      <w:r w:rsidR="006313BC" w:rsidRPr="006313BC">
        <w:t>La STS de 17 de febrero de 2022 y su inferencia según los distintos ámbitos; en especial, en la expropiación forzosa.</w:t>
      </w:r>
      <w:r w:rsidR="006313BC">
        <w:t xml:space="preserve"> </w:t>
      </w:r>
    </w:p>
    <w:p w14:paraId="74A8D3C0" w14:textId="77777777" w:rsidR="004D36FA" w:rsidRDefault="007721B6" w:rsidP="006313BC">
      <w:pPr>
        <w:jc w:val="both"/>
      </w:pPr>
      <w:r w:rsidRPr="006313BC">
        <w:t>VI.- Conclusiones.</w:t>
      </w:r>
    </w:p>
    <w:p w14:paraId="6BD13013" w14:textId="1AA41D58" w:rsidR="007721B6" w:rsidRPr="006313BC" w:rsidRDefault="004D36FA" w:rsidP="006313BC">
      <w:pPr>
        <w:jc w:val="both"/>
      </w:pPr>
      <w:r>
        <w:t>VII.- Bibliografía.</w:t>
      </w:r>
      <w:r w:rsidR="007721B6" w:rsidRPr="006313BC">
        <w:t xml:space="preserve"> </w:t>
      </w:r>
    </w:p>
    <w:p w14:paraId="532E4A56" w14:textId="77777777" w:rsidR="007721B6" w:rsidRPr="004013D0" w:rsidRDefault="007721B6" w:rsidP="007721B6">
      <w:pPr>
        <w:widowControl w:val="0"/>
        <w:autoSpaceDE w:val="0"/>
        <w:autoSpaceDN w:val="0"/>
        <w:adjustRightInd w:val="0"/>
        <w:ind w:firstLine="708"/>
        <w:jc w:val="both"/>
        <w:rPr>
          <w:b/>
          <w:bCs/>
          <w:u w:val="single"/>
        </w:rPr>
      </w:pPr>
    </w:p>
    <w:p w14:paraId="31E6A261" w14:textId="77777777" w:rsidR="007721B6" w:rsidRPr="004013D0" w:rsidRDefault="007721B6" w:rsidP="007721B6">
      <w:pPr>
        <w:widowControl w:val="0"/>
        <w:autoSpaceDE w:val="0"/>
        <w:autoSpaceDN w:val="0"/>
        <w:adjustRightInd w:val="0"/>
        <w:ind w:firstLine="708"/>
        <w:jc w:val="both"/>
        <w:rPr>
          <w:b/>
          <w:bCs/>
          <w:u w:val="single"/>
        </w:rPr>
      </w:pPr>
    </w:p>
    <w:p w14:paraId="77F0349B" w14:textId="77777777" w:rsidR="007721B6" w:rsidRPr="004013D0" w:rsidRDefault="007721B6" w:rsidP="007721B6">
      <w:pPr>
        <w:widowControl w:val="0"/>
        <w:autoSpaceDE w:val="0"/>
        <w:autoSpaceDN w:val="0"/>
        <w:adjustRightInd w:val="0"/>
        <w:ind w:firstLine="708"/>
        <w:jc w:val="both"/>
        <w:rPr>
          <w:b/>
          <w:bCs/>
          <w:u w:val="single"/>
        </w:rPr>
      </w:pPr>
    </w:p>
    <w:p w14:paraId="551F288D" w14:textId="77777777" w:rsidR="007721B6" w:rsidRPr="004013D0" w:rsidRDefault="007721B6" w:rsidP="007721B6">
      <w:pPr>
        <w:widowControl w:val="0"/>
        <w:autoSpaceDE w:val="0"/>
        <w:autoSpaceDN w:val="0"/>
        <w:adjustRightInd w:val="0"/>
        <w:ind w:firstLine="708"/>
        <w:jc w:val="both"/>
        <w:rPr>
          <w:b/>
          <w:bCs/>
          <w:u w:val="single"/>
        </w:rPr>
      </w:pPr>
    </w:p>
    <w:p w14:paraId="27638802" w14:textId="77777777" w:rsidR="007721B6" w:rsidRPr="004013D0" w:rsidRDefault="007721B6" w:rsidP="007721B6">
      <w:pPr>
        <w:widowControl w:val="0"/>
        <w:autoSpaceDE w:val="0"/>
        <w:autoSpaceDN w:val="0"/>
        <w:adjustRightInd w:val="0"/>
        <w:ind w:firstLine="708"/>
        <w:jc w:val="both"/>
        <w:rPr>
          <w:b/>
          <w:bCs/>
          <w:u w:val="single"/>
        </w:rPr>
      </w:pPr>
    </w:p>
    <w:p w14:paraId="306585F3" w14:textId="77777777" w:rsidR="007721B6" w:rsidRPr="004013D0" w:rsidRDefault="007721B6" w:rsidP="007721B6">
      <w:pPr>
        <w:widowControl w:val="0"/>
        <w:autoSpaceDE w:val="0"/>
        <w:autoSpaceDN w:val="0"/>
        <w:adjustRightInd w:val="0"/>
        <w:ind w:firstLine="708"/>
        <w:jc w:val="both"/>
        <w:rPr>
          <w:b/>
          <w:bCs/>
          <w:u w:val="single"/>
        </w:rPr>
      </w:pPr>
    </w:p>
    <w:p w14:paraId="41D09138" w14:textId="77777777" w:rsidR="007721B6" w:rsidRPr="004013D0" w:rsidRDefault="007721B6" w:rsidP="007721B6">
      <w:pPr>
        <w:widowControl w:val="0"/>
        <w:autoSpaceDE w:val="0"/>
        <w:autoSpaceDN w:val="0"/>
        <w:adjustRightInd w:val="0"/>
        <w:ind w:firstLine="708"/>
        <w:jc w:val="both"/>
        <w:rPr>
          <w:b/>
          <w:bCs/>
          <w:u w:val="single"/>
        </w:rPr>
      </w:pPr>
    </w:p>
    <w:p w14:paraId="795FF84B" w14:textId="77777777" w:rsidR="007721B6" w:rsidRPr="004013D0" w:rsidRDefault="007721B6" w:rsidP="007721B6">
      <w:pPr>
        <w:widowControl w:val="0"/>
        <w:autoSpaceDE w:val="0"/>
        <w:autoSpaceDN w:val="0"/>
        <w:adjustRightInd w:val="0"/>
        <w:ind w:firstLine="708"/>
        <w:jc w:val="both"/>
        <w:rPr>
          <w:b/>
          <w:bCs/>
          <w:u w:val="single"/>
        </w:rPr>
      </w:pPr>
    </w:p>
    <w:p w14:paraId="71C5451C" w14:textId="77777777" w:rsidR="007721B6" w:rsidRPr="004013D0" w:rsidRDefault="007721B6" w:rsidP="007721B6">
      <w:pPr>
        <w:widowControl w:val="0"/>
        <w:autoSpaceDE w:val="0"/>
        <w:autoSpaceDN w:val="0"/>
        <w:adjustRightInd w:val="0"/>
        <w:ind w:firstLine="708"/>
        <w:jc w:val="both"/>
        <w:rPr>
          <w:b/>
          <w:bCs/>
          <w:u w:val="single"/>
        </w:rPr>
      </w:pPr>
    </w:p>
    <w:p w14:paraId="37F94AB8" w14:textId="77777777" w:rsidR="007721B6" w:rsidRPr="004013D0" w:rsidRDefault="007721B6" w:rsidP="007721B6">
      <w:pPr>
        <w:widowControl w:val="0"/>
        <w:autoSpaceDE w:val="0"/>
        <w:autoSpaceDN w:val="0"/>
        <w:adjustRightInd w:val="0"/>
        <w:ind w:firstLine="708"/>
        <w:jc w:val="both"/>
        <w:rPr>
          <w:b/>
          <w:bCs/>
          <w:u w:val="single"/>
        </w:rPr>
      </w:pPr>
    </w:p>
    <w:p w14:paraId="30EB70E0" w14:textId="77777777" w:rsidR="00D33D0B" w:rsidRDefault="00D33D0B" w:rsidP="007721B6">
      <w:pPr>
        <w:widowControl w:val="0"/>
        <w:autoSpaceDE w:val="0"/>
        <w:autoSpaceDN w:val="0"/>
        <w:adjustRightInd w:val="0"/>
        <w:ind w:firstLine="708"/>
        <w:jc w:val="both"/>
        <w:rPr>
          <w:b/>
          <w:bCs/>
          <w:u w:val="single"/>
        </w:rPr>
      </w:pPr>
    </w:p>
    <w:p w14:paraId="71B43EF2" w14:textId="2F537CE7" w:rsidR="007721B6" w:rsidRDefault="007721B6" w:rsidP="007721B6">
      <w:pPr>
        <w:widowControl w:val="0"/>
        <w:autoSpaceDE w:val="0"/>
        <w:autoSpaceDN w:val="0"/>
        <w:adjustRightInd w:val="0"/>
        <w:ind w:firstLine="708"/>
        <w:jc w:val="both"/>
        <w:rPr>
          <w:b/>
          <w:bCs/>
          <w:u w:val="single"/>
        </w:rPr>
      </w:pPr>
      <w:r w:rsidRPr="004013D0">
        <w:rPr>
          <w:b/>
          <w:bCs/>
          <w:u w:val="single"/>
        </w:rPr>
        <w:t>I.-Prefacio.</w:t>
      </w:r>
    </w:p>
    <w:p w14:paraId="78AD66F3" w14:textId="77777777" w:rsidR="00D33D0B" w:rsidRPr="004013D0" w:rsidRDefault="00D33D0B" w:rsidP="007721B6">
      <w:pPr>
        <w:widowControl w:val="0"/>
        <w:autoSpaceDE w:val="0"/>
        <w:autoSpaceDN w:val="0"/>
        <w:adjustRightInd w:val="0"/>
        <w:ind w:firstLine="708"/>
        <w:jc w:val="both"/>
        <w:rPr>
          <w:b/>
          <w:bCs/>
          <w:u w:val="single"/>
        </w:rPr>
      </w:pPr>
    </w:p>
    <w:p w14:paraId="2ADFBC68" w14:textId="77777777" w:rsidR="007721B6" w:rsidRPr="004013D0" w:rsidRDefault="007721B6" w:rsidP="007721B6">
      <w:pPr>
        <w:widowControl w:val="0"/>
        <w:autoSpaceDE w:val="0"/>
        <w:autoSpaceDN w:val="0"/>
        <w:adjustRightInd w:val="0"/>
        <w:ind w:firstLine="708"/>
        <w:jc w:val="both"/>
        <w:rPr>
          <w:b/>
          <w:bCs/>
          <w:u w:val="single"/>
        </w:rPr>
      </w:pPr>
    </w:p>
    <w:p w14:paraId="644BAA3C" w14:textId="77777777" w:rsidR="007721B6" w:rsidRPr="004013D0" w:rsidRDefault="007721B6" w:rsidP="007721B6">
      <w:pPr>
        <w:widowControl w:val="0"/>
        <w:autoSpaceDE w:val="0"/>
        <w:autoSpaceDN w:val="0"/>
        <w:adjustRightInd w:val="0"/>
        <w:jc w:val="both"/>
        <w:rPr>
          <w:b/>
          <w:bCs/>
          <w:u w:val="single"/>
        </w:rPr>
      </w:pPr>
    </w:p>
    <w:p w14:paraId="45CEB270" w14:textId="77777777" w:rsidR="007721B6" w:rsidRPr="004013D0" w:rsidRDefault="007721B6" w:rsidP="007721B6">
      <w:pPr>
        <w:widowControl w:val="0"/>
        <w:autoSpaceDE w:val="0"/>
        <w:autoSpaceDN w:val="0"/>
        <w:adjustRightInd w:val="0"/>
        <w:ind w:firstLine="708"/>
        <w:jc w:val="both"/>
      </w:pPr>
      <w:r w:rsidRPr="004013D0">
        <w:t>Hoy no quedan reductos de inmunidad del poder de la Administración. Hace tiempo que desaparecieron, como nos enseñara el Maestro García de Enterría</w:t>
      </w:r>
      <w:r w:rsidRPr="004013D0">
        <w:rPr>
          <w:vertAlign w:val="superscript"/>
        </w:rPr>
        <w:footnoteReference w:id="1"/>
      </w:r>
      <w:r w:rsidRPr="004013D0">
        <w:t>. Pero, aun así, plantear un litigio contra la Administración nunca es tarea grata. Desvirtuar en sede judicial el principio de legalidad, debilitar las presunciones en favor de la administración, demostrar que no siempre es el interés público lo que moviliza a los poderes públicos, no son empresas cómodas para el común de los ciudadanos. Será que los números tampoco ayudan, según qué tipo de pelea, según el campo de batalla en el que dirimir las diferencias con la administración</w:t>
      </w:r>
      <w:r w:rsidRPr="004013D0">
        <w:rPr>
          <w:vertAlign w:val="superscript"/>
        </w:rPr>
        <w:footnoteReference w:id="2"/>
      </w:r>
      <w:r w:rsidRPr="004013D0">
        <w:t>.</w:t>
      </w:r>
    </w:p>
    <w:p w14:paraId="25A04915" w14:textId="77777777" w:rsidR="007721B6" w:rsidRPr="004013D0" w:rsidRDefault="007721B6" w:rsidP="007721B6">
      <w:pPr>
        <w:widowControl w:val="0"/>
        <w:autoSpaceDE w:val="0"/>
        <w:autoSpaceDN w:val="0"/>
        <w:adjustRightInd w:val="0"/>
        <w:jc w:val="both"/>
      </w:pPr>
    </w:p>
    <w:p w14:paraId="11206EAB" w14:textId="62FB0D73" w:rsidR="007721B6" w:rsidRPr="004013D0" w:rsidRDefault="007721B6" w:rsidP="007721B6">
      <w:pPr>
        <w:widowControl w:val="0"/>
        <w:autoSpaceDE w:val="0"/>
        <w:autoSpaceDN w:val="0"/>
        <w:adjustRightInd w:val="0"/>
        <w:ind w:firstLine="708"/>
        <w:jc w:val="both"/>
      </w:pPr>
      <w:r w:rsidRPr="004013D0">
        <w:t xml:space="preserve">Pero si no quedase otro resorte, si se activa el postrero intento de imponer la idea de Justicia frente a la maquinaria administrativa, y ya que se invierten esfuerzos, hágase de manera apropiada, empleando todos los medios materiales, sustantivos y adjetivos dispuestos en favor del accionante. Y entre ellos, </w:t>
      </w:r>
      <w:r w:rsidR="0043312A" w:rsidRPr="004013D0">
        <w:t xml:space="preserve">por su alto grado de eficacia en esa lucha entre desiguales, </w:t>
      </w:r>
      <w:r w:rsidRPr="004013D0">
        <w:t>los resortes procedimentales y, más en concreto, las pruebas que demuestren la veracidad de lo alegado.</w:t>
      </w:r>
    </w:p>
    <w:p w14:paraId="244246E7" w14:textId="77777777" w:rsidR="007721B6" w:rsidRPr="004013D0" w:rsidRDefault="007721B6" w:rsidP="007721B6">
      <w:pPr>
        <w:widowControl w:val="0"/>
        <w:autoSpaceDE w:val="0"/>
        <w:autoSpaceDN w:val="0"/>
        <w:adjustRightInd w:val="0"/>
        <w:jc w:val="both"/>
      </w:pPr>
    </w:p>
    <w:p w14:paraId="1DA6C8E9" w14:textId="54B40FE0" w:rsidR="007721B6" w:rsidRPr="004013D0" w:rsidRDefault="0043312A" w:rsidP="0043312A">
      <w:pPr>
        <w:widowControl w:val="0"/>
        <w:autoSpaceDE w:val="0"/>
        <w:autoSpaceDN w:val="0"/>
        <w:adjustRightInd w:val="0"/>
        <w:ind w:firstLine="708"/>
        <w:jc w:val="both"/>
      </w:pPr>
      <w:r w:rsidRPr="004013D0">
        <w:t xml:space="preserve">(i) </w:t>
      </w:r>
      <w:r w:rsidR="007721B6" w:rsidRPr="004013D0">
        <w:t xml:space="preserve">La prueba es una parte esencial en el devenir de los procedimientos judiciales; </w:t>
      </w:r>
      <w:r w:rsidRPr="004013D0">
        <w:t xml:space="preserve">(ii) </w:t>
      </w:r>
      <w:r w:rsidR="007721B6" w:rsidRPr="004013D0">
        <w:t xml:space="preserve">corresponde a cada parte demostrar la veracidad de los hechos que alega en el proceso; y </w:t>
      </w:r>
      <w:r w:rsidRPr="004013D0">
        <w:t xml:space="preserve">(iii) </w:t>
      </w:r>
      <w:r w:rsidR="007721B6" w:rsidRPr="004013D0">
        <w:t xml:space="preserve">deben ser objeto de prueba todos los hechos que resulten controvertidos entre las partes. Esas tres aserciones, que pueden operar perfectamente como principios o enunciados básicos del Derecho procesal general, presentan, además, perfiles propios en el Derecho procesal administrativo, por las especialidades que en el ámbito del derecho público despliegan las autotutelas administrativas. </w:t>
      </w:r>
    </w:p>
    <w:p w14:paraId="227666F1" w14:textId="77777777" w:rsidR="007721B6" w:rsidRPr="004013D0" w:rsidRDefault="007721B6" w:rsidP="007721B6">
      <w:pPr>
        <w:widowControl w:val="0"/>
        <w:autoSpaceDE w:val="0"/>
        <w:autoSpaceDN w:val="0"/>
        <w:adjustRightInd w:val="0"/>
        <w:jc w:val="both"/>
      </w:pPr>
    </w:p>
    <w:p w14:paraId="3357EC4A" w14:textId="1AD1D826" w:rsidR="007721B6" w:rsidRPr="004013D0" w:rsidRDefault="007721B6" w:rsidP="007721B6">
      <w:pPr>
        <w:widowControl w:val="0"/>
        <w:autoSpaceDE w:val="0"/>
        <w:autoSpaceDN w:val="0"/>
        <w:adjustRightInd w:val="0"/>
        <w:ind w:firstLine="708"/>
        <w:jc w:val="both"/>
      </w:pPr>
      <w:r w:rsidRPr="004013D0">
        <w:t xml:space="preserve">El principio de legalidad (103 CE) imprime a toda actuación administrativa un especial empaque que termina por impregnar de ese aroma de legitimidad, veracidad y acierto incluso a los actos intermedios (también a las actuaciones materiales) o actos de trámite que se van desplegando a lo largo del procedimiento administrativo, previos al dictado del acto terminal, del acto administrativo definitivo. Y entre ellos se encuentran los informes o dictámenes (art. 79 LPAC 39/2015) </w:t>
      </w:r>
      <w:r w:rsidRPr="004013D0">
        <w:rPr>
          <w:i/>
          <w:iCs/>
          <w:shd w:val="clear" w:color="auto" w:fill="FFFFFF"/>
        </w:rPr>
        <w:t>“que sean preceptivos por las disposiciones legales, y los que se juzguen necesarios para resolver, citándose el precepto que los exija o fundamentando, en su caso, la conveniencia de reclamarlos”</w:t>
      </w:r>
      <w:r w:rsidRPr="004013D0">
        <w:rPr>
          <w:i/>
          <w:iCs/>
        </w:rPr>
        <w:t xml:space="preserve">. </w:t>
      </w:r>
      <w:r w:rsidRPr="004013D0">
        <w:t xml:space="preserve">En muchos casos, según el objeto del procedimiento de que se trate, el informe del técnico o del órgano de la administración se convierte en pieza básica, en piedra angular </w:t>
      </w:r>
      <w:r w:rsidRPr="004013D0">
        <w:lastRenderedPageBreak/>
        <w:t xml:space="preserve">determinante del sentido del acto terminal, pues de su orientación dependerá el contenido sustantivo de la decisión administrativa. Responsabilidad patrimonial, sanciones, expropiación forzosa, … son muchas las vertientes de la actividad pública en las que la opinión técnica del funcionario u órgano administrativo que deba alumbrar la decisión del órgano que resuelve se convierte en la clave del proceso. </w:t>
      </w:r>
    </w:p>
    <w:p w14:paraId="4F10AA53" w14:textId="77777777" w:rsidR="007721B6" w:rsidRPr="004013D0" w:rsidRDefault="007721B6" w:rsidP="007721B6">
      <w:pPr>
        <w:widowControl w:val="0"/>
        <w:autoSpaceDE w:val="0"/>
        <w:autoSpaceDN w:val="0"/>
        <w:adjustRightInd w:val="0"/>
        <w:jc w:val="both"/>
      </w:pPr>
    </w:p>
    <w:p w14:paraId="4D630B04" w14:textId="77777777" w:rsidR="007721B6" w:rsidRPr="004013D0" w:rsidRDefault="007721B6" w:rsidP="007721B6">
      <w:pPr>
        <w:widowControl w:val="0"/>
        <w:autoSpaceDE w:val="0"/>
        <w:autoSpaceDN w:val="0"/>
        <w:adjustRightInd w:val="0"/>
        <w:ind w:firstLine="708"/>
        <w:jc w:val="both"/>
      </w:pPr>
      <w:r w:rsidRPr="004013D0">
        <w:t>Y no conviene olvidar cuál ha sido tradicionalmente el valor que, incluso desde la iconografía normativa española, se ha venido prodigando a la opinión de un funcionario vertida en un documento público, en un informe oficial.  El artículo 77.5 de la Ley 39/2015, de 1 de octubre, del Procedimiento Administrativo Común de las Administraciones Públicas -en adelante, LPAC´15- (trasunto de otros muchos precedentes normativos en normas de procedimiento anteriores) señala expresamente:</w:t>
      </w:r>
    </w:p>
    <w:p w14:paraId="6BAA82A0" w14:textId="77777777" w:rsidR="007721B6" w:rsidRPr="004013D0" w:rsidRDefault="007721B6" w:rsidP="007721B6">
      <w:pPr>
        <w:widowControl w:val="0"/>
        <w:autoSpaceDE w:val="0"/>
        <w:autoSpaceDN w:val="0"/>
        <w:adjustRightInd w:val="0"/>
        <w:jc w:val="both"/>
      </w:pPr>
    </w:p>
    <w:p w14:paraId="07621CBB" w14:textId="77777777" w:rsidR="007721B6" w:rsidRPr="004013D0" w:rsidRDefault="007721B6" w:rsidP="007721B6">
      <w:pPr>
        <w:widowControl w:val="0"/>
        <w:autoSpaceDE w:val="0"/>
        <w:autoSpaceDN w:val="0"/>
        <w:adjustRightInd w:val="0"/>
        <w:ind w:left="708"/>
        <w:jc w:val="both"/>
        <w:rPr>
          <w:i/>
          <w:iCs/>
        </w:rPr>
      </w:pPr>
      <w:r w:rsidRPr="004013D0">
        <w:rPr>
          <w:i/>
          <w:iCs/>
        </w:rPr>
        <w:t>“5. Los documentos formalizados por los </w:t>
      </w:r>
      <w:hyperlink r:id="rId8" w:tgtFrame="_blank" w:history="1">
        <w:r w:rsidRPr="004013D0">
          <w:rPr>
            <w:i/>
            <w:iCs/>
          </w:rPr>
          <w:t>funcionarios</w:t>
        </w:r>
      </w:hyperlink>
      <w:r w:rsidRPr="004013D0">
        <w:rPr>
          <w:i/>
          <w:iCs/>
        </w:rPr>
        <w:t> a los que se reconoce la condición de autoridad y en los que, observándose los requisitos legales correspondientes se recojan los hechos constatados por aquéllos, harán prueba de éstos salvo que se acredite lo contrario”.</w:t>
      </w:r>
    </w:p>
    <w:p w14:paraId="59F4D4ED" w14:textId="77777777" w:rsidR="007721B6" w:rsidRPr="004013D0" w:rsidRDefault="007721B6" w:rsidP="007721B6">
      <w:pPr>
        <w:widowControl w:val="0"/>
        <w:autoSpaceDE w:val="0"/>
        <w:autoSpaceDN w:val="0"/>
        <w:adjustRightInd w:val="0"/>
        <w:jc w:val="both"/>
      </w:pPr>
    </w:p>
    <w:p w14:paraId="20995B45" w14:textId="77777777" w:rsidR="007721B6" w:rsidRPr="004013D0" w:rsidRDefault="007721B6" w:rsidP="007721B6">
      <w:pPr>
        <w:widowControl w:val="0"/>
        <w:autoSpaceDE w:val="0"/>
        <w:autoSpaceDN w:val="0"/>
        <w:adjustRightInd w:val="0"/>
        <w:ind w:firstLine="708"/>
        <w:jc w:val="both"/>
      </w:pPr>
      <w:r w:rsidRPr="004013D0">
        <w:t>Si esa afirmación la proyectamos al ámbito procesal del contencioso administrativo, donde rige de manera supletoria la norma adjetiva civil (en especial, arts. 317, 318 y 319 LEC</w:t>
      </w:r>
      <w:r w:rsidRPr="004013D0">
        <w:rPr>
          <w:vertAlign w:val="superscript"/>
        </w:rPr>
        <w:footnoteReference w:id="3"/>
      </w:r>
      <w:r w:rsidRPr="004013D0">
        <w:t>), no debe extrañar que la prueba de peritos- funcionarios se haya convertido en los últimos tiempos en bastión casi inexpugnable para los resignados ciudadanos litigantes, disconformes con esa incómoda presunción de legalidad/veracidad de la que hablamos.</w:t>
      </w:r>
    </w:p>
    <w:p w14:paraId="364F315F" w14:textId="77777777" w:rsidR="007721B6" w:rsidRPr="004013D0" w:rsidRDefault="007721B6" w:rsidP="007721B6">
      <w:pPr>
        <w:widowControl w:val="0"/>
        <w:autoSpaceDE w:val="0"/>
        <w:autoSpaceDN w:val="0"/>
        <w:adjustRightInd w:val="0"/>
        <w:jc w:val="both"/>
      </w:pPr>
    </w:p>
    <w:p w14:paraId="1725D20C" w14:textId="02112A41" w:rsidR="007721B6" w:rsidRPr="004013D0" w:rsidRDefault="007721B6" w:rsidP="007721B6">
      <w:pPr>
        <w:widowControl w:val="0"/>
        <w:autoSpaceDE w:val="0"/>
        <w:autoSpaceDN w:val="0"/>
        <w:adjustRightInd w:val="0"/>
        <w:ind w:firstLine="708"/>
        <w:jc w:val="both"/>
        <w:rPr>
          <w:shd w:val="clear" w:color="auto" w:fill="FFFFFF"/>
        </w:rPr>
      </w:pPr>
      <w:r w:rsidRPr="004013D0">
        <w:t xml:space="preserve">La realidad es que durante mucho tiempo hemos venido comprobando cómo de manera casi inalterada la jurisprudencia de los tribunales contenciosos hacía de la lucha contra determinadas decisiones administrativas un campo yermo de pronunciamientos estimatorios. El fundamento para ese rechazo a la impugnación formulada ha venido de la mano del valor supremo -casi inatacable- que los tribunales han dispensado al informe </w:t>
      </w:r>
      <w:r w:rsidRPr="004013D0">
        <w:lastRenderedPageBreak/>
        <w:t xml:space="preserve">de peritos administrativos en el ámbito del procedimiento previo. Su peso específico, por ser informe suscrito por funcionario </w:t>
      </w:r>
      <w:r w:rsidR="0043312A" w:rsidRPr="004013D0">
        <w:t>público</w:t>
      </w:r>
      <w:r w:rsidRPr="004013D0">
        <w:t xml:space="preserve"> -en teoría legal, en teoría imparcial, en teoría veraz-, convertían en meros fuegos artificiales los intentos probatorios dispensados por el particular litigante contra aquella otra artillería pesada, la del dictamen del funcionario público. Era la cuarentena del principio “</w:t>
      </w:r>
      <w:r w:rsidRPr="004013D0">
        <w:rPr>
          <w:i/>
          <w:iCs/>
          <w:shd w:val="clear" w:color="auto" w:fill="FFFFFF"/>
        </w:rPr>
        <w:t xml:space="preserve">onus probandi incumbit actori y actore non probante, reus est absolvendus”, </w:t>
      </w:r>
      <w:r w:rsidRPr="004013D0">
        <w:rPr>
          <w:shd w:val="clear" w:color="auto" w:fill="FFFFFF"/>
        </w:rPr>
        <w:t xml:space="preserve">en el bien entendido de que, por mayor empeño en demostrar la veracidad de los hechos que el litigante alega, si se contradecían con el informe del funcionario, es como si no se hubiera demostrado nada. La administración gana, la administración </w:t>
      </w:r>
      <w:r w:rsidRPr="004013D0">
        <w:rPr>
          <w:i/>
          <w:iCs/>
          <w:shd w:val="clear" w:color="auto" w:fill="FFFFFF"/>
        </w:rPr>
        <w:t>merece la absolución</w:t>
      </w:r>
      <w:r w:rsidRPr="004013D0">
        <w:rPr>
          <w:shd w:val="clear" w:color="auto" w:fill="FFFFFF"/>
        </w:rPr>
        <w:t xml:space="preserve">. </w:t>
      </w:r>
    </w:p>
    <w:p w14:paraId="678EB5B6" w14:textId="1C6F5983" w:rsidR="0043312A" w:rsidRDefault="0043312A" w:rsidP="007721B6">
      <w:pPr>
        <w:widowControl w:val="0"/>
        <w:autoSpaceDE w:val="0"/>
        <w:autoSpaceDN w:val="0"/>
        <w:adjustRightInd w:val="0"/>
        <w:ind w:firstLine="708"/>
        <w:jc w:val="both"/>
        <w:rPr>
          <w:shd w:val="clear" w:color="auto" w:fill="FFFFFF"/>
        </w:rPr>
      </w:pPr>
    </w:p>
    <w:p w14:paraId="76C9C44A" w14:textId="77777777" w:rsidR="00D33D0B" w:rsidRPr="004013D0" w:rsidRDefault="00D33D0B" w:rsidP="007721B6">
      <w:pPr>
        <w:widowControl w:val="0"/>
        <w:autoSpaceDE w:val="0"/>
        <w:autoSpaceDN w:val="0"/>
        <w:adjustRightInd w:val="0"/>
        <w:ind w:firstLine="708"/>
        <w:jc w:val="both"/>
        <w:rPr>
          <w:shd w:val="clear" w:color="auto" w:fill="FFFFFF"/>
        </w:rPr>
      </w:pPr>
    </w:p>
    <w:p w14:paraId="23E0B61C" w14:textId="77777777" w:rsidR="0043312A" w:rsidRPr="004013D0" w:rsidRDefault="0043312A" w:rsidP="007721B6">
      <w:pPr>
        <w:widowControl w:val="0"/>
        <w:autoSpaceDE w:val="0"/>
        <w:autoSpaceDN w:val="0"/>
        <w:adjustRightInd w:val="0"/>
        <w:ind w:firstLine="708"/>
        <w:jc w:val="both"/>
      </w:pPr>
    </w:p>
    <w:p w14:paraId="20F7C33E" w14:textId="77777777" w:rsidR="007721B6" w:rsidRPr="004013D0" w:rsidRDefault="007721B6" w:rsidP="007721B6">
      <w:pPr>
        <w:widowControl w:val="0"/>
        <w:autoSpaceDE w:val="0"/>
        <w:autoSpaceDN w:val="0"/>
        <w:adjustRightInd w:val="0"/>
        <w:jc w:val="both"/>
      </w:pPr>
    </w:p>
    <w:p w14:paraId="5C09F3CB" w14:textId="66A61ECF" w:rsidR="007721B6" w:rsidRDefault="007721B6" w:rsidP="007721B6">
      <w:pPr>
        <w:widowControl w:val="0"/>
        <w:autoSpaceDE w:val="0"/>
        <w:autoSpaceDN w:val="0"/>
        <w:adjustRightInd w:val="0"/>
        <w:ind w:firstLine="708"/>
        <w:jc w:val="both"/>
        <w:rPr>
          <w:b/>
          <w:bCs/>
        </w:rPr>
      </w:pPr>
      <w:r w:rsidRPr="004013D0">
        <w:rPr>
          <w:b/>
          <w:bCs/>
        </w:rPr>
        <w:t>II.- El Principio de legalidad, también en materia de prueba.</w:t>
      </w:r>
    </w:p>
    <w:p w14:paraId="0DF8CA23" w14:textId="77777777" w:rsidR="00D33D0B" w:rsidRPr="004013D0" w:rsidRDefault="00D33D0B" w:rsidP="007721B6">
      <w:pPr>
        <w:widowControl w:val="0"/>
        <w:autoSpaceDE w:val="0"/>
        <w:autoSpaceDN w:val="0"/>
        <w:adjustRightInd w:val="0"/>
        <w:ind w:firstLine="708"/>
        <w:jc w:val="both"/>
        <w:rPr>
          <w:b/>
          <w:bCs/>
        </w:rPr>
      </w:pPr>
    </w:p>
    <w:p w14:paraId="04DA9D86" w14:textId="77777777" w:rsidR="007721B6" w:rsidRPr="004013D0" w:rsidRDefault="007721B6" w:rsidP="007721B6">
      <w:pPr>
        <w:widowControl w:val="0"/>
        <w:autoSpaceDE w:val="0"/>
        <w:autoSpaceDN w:val="0"/>
        <w:adjustRightInd w:val="0"/>
        <w:jc w:val="both"/>
      </w:pPr>
    </w:p>
    <w:p w14:paraId="51D9CAF0" w14:textId="77777777" w:rsidR="007721B6" w:rsidRPr="004013D0" w:rsidRDefault="007721B6" w:rsidP="007721B6">
      <w:pPr>
        <w:widowControl w:val="0"/>
        <w:autoSpaceDE w:val="0"/>
        <w:autoSpaceDN w:val="0"/>
        <w:adjustRightInd w:val="0"/>
        <w:ind w:firstLine="708"/>
        <w:jc w:val="both"/>
      </w:pPr>
      <w:r w:rsidRPr="004013D0">
        <w:t>Como hemos apuntado, en nuestro derecho administrativo, ya desde la promulgación de la LPA de 17 de julio de 1958 (en adelante LPA´58), viene sancionada normativamente la presunción de legalidad y validez del acto administrativo, pronunciamiento que se ha mantenido en las sucesivas leyes de procedimiento administrativo (artículos 57 de la Ley 30/1992, de 26 de noviembre, de Régimen Jurídico de las Administraciones Públicas y del Procedimiento Administrativo Común -en adelante, LPAC´92- y el hoy vigente 39 de la LPAC´15).</w:t>
      </w:r>
    </w:p>
    <w:p w14:paraId="2B4B27F0" w14:textId="77777777" w:rsidR="007721B6" w:rsidRPr="004013D0" w:rsidRDefault="007721B6" w:rsidP="007721B6">
      <w:pPr>
        <w:widowControl w:val="0"/>
        <w:autoSpaceDE w:val="0"/>
        <w:autoSpaceDN w:val="0"/>
        <w:adjustRightInd w:val="0"/>
        <w:jc w:val="both"/>
      </w:pPr>
    </w:p>
    <w:p w14:paraId="7D47F85A" w14:textId="77777777" w:rsidR="007721B6" w:rsidRPr="004013D0" w:rsidRDefault="007721B6" w:rsidP="007721B6">
      <w:pPr>
        <w:widowControl w:val="0"/>
        <w:autoSpaceDE w:val="0"/>
        <w:autoSpaceDN w:val="0"/>
        <w:adjustRightInd w:val="0"/>
        <w:jc w:val="both"/>
      </w:pPr>
      <w:r w:rsidRPr="004013D0">
        <w:tab/>
        <w:t>Esa presunción de legalidad del acto igualmente es la consecuencia normativa de las garantías puestas en los artículos 9 y 103 de la CE. El principio de legalidad supone que todos los ciudadanos y poderes públicos -estos, sobre todo- están sujetos a la Constitución y al resto del ordenamiento jurídico, y particularizando en la administración pública, al proclamar que está sujeta plenamente a la Ley y al Derecho.</w:t>
      </w:r>
    </w:p>
    <w:p w14:paraId="4D0F908D" w14:textId="77777777" w:rsidR="007721B6" w:rsidRPr="004013D0" w:rsidRDefault="007721B6" w:rsidP="007721B6">
      <w:pPr>
        <w:widowControl w:val="0"/>
        <w:autoSpaceDE w:val="0"/>
        <w:autoSpaceDN w:val="0"/>
        <w:adjustRightInd w:val="0"/>
        <w:jc w:val="both"/>
      </w:pPr>
    </w:p>
    <w:p w14:paraId="692954CD" w14:textId="184461F1" w:rsidR="007721B6" w:rsidRPr="004013D0" w:rsidRDefault="007721B6" w:rsidP="007721B6">
      <w:pPr>
        <w:widowControl w:val="0"/>
        <w:autoSpaceDE w:val="0"/>
        <w:autoSpaceDN w:val="0"/>
        <w:adjustRightInd w:val="0"/>
        <w:jc w:val="both"/>
      </w:pPr>
      <w:r w:rsidRPr="004013D0">
        <w:tab/>
        <w:t>La llamada presunción de validez del acto administrativo se predica, en esencia, respecto de actos definitivos. Pero también se extiende a los actos de trámite, esos que van preparando y sustentando la postrera legalidad del acto terminal a lo largo del proceso administrativo. Entre ellos, sin duda, se cuentan los informes que en su seno se evacúan. Y respecto los que se emiten como prueba de los hechos en los que se sustentará el acto administrativo, esa presunción está plenamente vigente</w:t>
      </w:r>
      <w:r w:rsidRPr="004013D0">
        <w:rPr>
          <w:vertAlign w:val="superscript"/>
        </w:rPr>
        <w:footnoteReference w:id="4"/>
      </w:r>
      <w:r w:rsidRPr="004013D0">
        <w:t xml:space="preserve">. </w:t>
      </w:r>
      <w:r w:rsidR="00DD5132" w:rsidRPr="004013D0">
        <w:t>Se trata</w:t>
      </w:r>
      <w:r w:rsidRPr="004013D0">
        <w:t xml:space="preserve"> obviamente</w:t>
      </w:r>
      <w:r w:rsidR="00DD5132" w:rsidRPr="004013D0">
        <w:t xml:space="preserve"> de un a presunción</w:t>
      </w:r>
      <w:r w:rsidRPr="004013D0">
        <w:t xml:space="preserve"> </w:t>
      </w:r>
      <w:r w:rsidRPr="004013D0">
        <w:rPr>
          <w:i/>
          <w:iCs/>
        </w:rPr>
        <w:t>iuris tantum</w:t>
      </w:r>
      <w:r w:rsidRPr="004013D0">
        <w:t xml:space="preserve">, es decir, que puede ser destruida mediante las </w:t>
      </w:r>
      <w:r w:rsidR="00DD5132" w:rsidRPr="004013D0">
        <w:t xml:space="preserve">pruebas, </w:t>
      </w:r>
      <w:r w:rsidRPr="004013D0">
        <w:t xml:space="preserve">acciones y recursos correspondientes. Para lograr desvirtuarla, el particular asume la carga de impugnar el acto (que se presume válido y eficaz </w:t>
      </w:r>
      <w:r w:rsidRPr="004013D0">
        <w:rPr>
          <w:i/>
          <w:iCs/>
        </w:rPr>
        <w:t>ex</w:t>
      </w:r>
      <w:r w:rsidRPr="004013D0">
        <w:t xml:space="preserve"> art. 39.1 LPAC´15), impugnación que en principio no suspende su ejecutividad. I</w:t>
      </w:r>
      <w:r w:rsidR="00DD5132" w:rsidRPr="004013D0">
        <w:t>mple</w:t>
      </w:r>
      <w:r w:rsidRPr="004013D0">
        <w:t>mentar esa carga sobre el particular se justifica en que previamente, se supone, que la administración ya ha hecho su trabajo, no otro que pechar -en el seno del procedimiento administrativo- con la carga de probar la certeza de los hechos en los que funda la legalidad del acto, utilizando al efecto, entre otros medios, los correspondientes informes técnicos</w:t>
      </w:r>
      <w:r w:rsidR="00DD5132" w:rsidRPr="004013D0">
        <w:t xml:space="preserve"> y jurídicos</w:t>
      </w:r>
      <w:r w:rsidRPr="004013D0">
        <w:t>.</w:t>
      </w:r>
    </w:p>
    <w:p w14:paraId="71A725AB" w14:textId="77777777" w:rsidR="007721B6" w:rsidRPr="004013D0" w:rsidRDefault="007721B6" w:rsidP="007721B6">
      <w:pPr>
        <w:widowControl w:val="0"/>
        <w:autoSpaceDE w:val="0"/>
        <w:autoSpaceDN w:val="0"/>
        <w:adjustRightInd w:val="0"/>
        <w:jc w:val="both"/>
      </w:pPr>
    </w:p>
    <w:p w14:paraId="345D1239" w14:textId="126E18F8" w:rsidR="007721B6" w:rsidRPr="004013D0" w:rsidRDefault="007721B6" w:rsidP="007721B6">
      <w:pPr>
        <w:widowControl w:val="0"/>
        <w:autoSpaceDE w:val="0"/>
        <w:autoSpaceDN w:val="0"/>
        <w:adjustRightInd w:val="0"/>
        <w:jc w:val="both"/>
      </w:pPr>
      <w:r w:rsidRPr="004013D0">
        <w:tab/>
        <w:t xml:space="preserve">Esa es la transcendencia del informe del funcionario: como si de un acto administrativo con fuerza decisoria se tratase, con esa misma presunción de legalidad que las anteriores normas le otorgan, las administraciones públicas se han afanado en justificar </w:t>
      </w:r>
      <w:r w:rsidRPr="004013D0">
        <w:lastRenderedPageBreak/>
        <w:t>la importancia de esos dictámenes</w:t>
      </w:r>
      <w:r w:rsidR="00DD5132" w:rsidRPr="004013D0">
        <w:t>,</w:t>
      </w:r>
      <w:r w:rsidRPr="004013D0">
        <w:t xml:space="preserve"> dotándolos de similar carta de naturaleza que se confiere al dictamen de peritos administrativos, suscritos casi siempre por funcionarios públicos, a los que una consolidada y uniforme doctrina jurisprudencial les ha reconocido esa presunción de veracidad.</w:t>
      </w:r>
    </w:p>
    <w:p w14:paraId="7190ED58" w14:textId="77777777" w:rsidR="007721B6" w:rsidRPr="004013D0" w:rsidRDefault="007721B6" w:rsidP="007721B6">
      <w:pPr>
        <w:widowControl w:val="0"/>
        <w:autoSpaceDE w:val="0"/>
        <w:autoSpaceDN w:val="0"/>
        <w:adjustRightInd w:val="0"/>
        <w:jc w:val="both"/>
      </w:pPr>
    </w:p>
    <w:p w14:paraId="5FEE4499" w14:textId="44E6A8E0" w:rsidR="007721B6" w:rsidRPr="004013D0" w:rsidRDefault="007721B6" w:rsidP="007721B6">
      <w:pPr>
        <w:widowControl w:val="0"/>
        <w:autoSpaceDE w:val="0"/>
        <w:autoSpaceDN w:val="0"/>
        <w:adjustRightInd w:val="0"/>
        <w:jc w:val="both"/>
      </w:pPr>
      <w:r w:rsidRPr="004013D0">
        <w:tab/>
        <w:t>Pero es necesario desde ahora hacer algunas precisiones. La primera, que los informes técnicos, emitidos por funcionarios públicos adscritos a una administración pública, jamás podrán ser considerados “</w:t>
      </w:r>
      <w:r w:rsidRPr="004013D0">
        <w:rPr>
          <w:i/>
          <w:iCs/>
        </w:rPr>
        <w:t>actos administrativos</w:t>
      </w:r>
      <w:r w:rsidRPr="004013D0">
        <w:t>” en sí mismos, con idénticos efectos jurídicos que los finalizadores de un procedimiento. No gozan de igual fuerza dispositiva. Los informes administrativos, en todo caso, pueden ser considerados como “</w:t>
      </w:r>
      <w:r w:rsidRPr="004013D0">
        <w:rPr>
          <w:i/>
          <w:iCs/>
        </w:rPr>
        <w:t>actos de trámite</w:t>
      </w:r>
      <w:r w:rsidRPr="004013D0">
        <w:t xml:space="preserve">”, como así lo </w:t>
      </w:r>
      <w:r w:rsidR="00DD5132" w:rsidRPr="004013D0">
        <w:t xml:space="preserve">ha venido </w:t>
      </w:r>
      <w:r w:rsidR="00072565" w:rsidRPr="004013D0">
        <w:t>reconociendo</w:t>
      </w:r>
      <w:r w:rsidRPr="004013D0">
        <w:t xml:space="preserve"> gran parte de la doctrina tradicional</w:t>
      </w:r>
      <w:r w:rsidRPr="004013D0">
        <w:rPr>
          <w:vertAlign w:val="superscript"/>
        </w:rPr>
        <w:footnoteReference w:id="5"/>
      </w:r>
      <w:r w:rsidR="00DD5132" w:rsidRPr="004013D0">
        <w:t>. N</w:t>
      </w:r>
      <w:r w:rsidRPr="004013D0">
        <w:t>o son más que una declaración de juicio realizada por un órgano que se supone especialmente cualificado en la materia o en las materias que se sustancian en el procedimiento y que, por tanto, ha de servir para ilustrar al órgano decisor</w:t>
      </w:r>
      <w:r w:rsidRPr="004013D0">
        <w:rPr>
          <w:vertAlign w:val="superscript"/>
        </w:rPr>
        <w:footnoteReference w:id="6"/>
      </w:r>
      <w:r w:rsidR="00DD5132" w:rsidRPr="004013D0">
        <w:t>, pero no más.</w:t>
      </w:r>
    </w:p>
    <w:p w14:paraId="52CA96B2" w14:textId="77777777" w:rsidR="007721B6" w:rsidRPr="004013D0" w:rsidRDefault="007721B6" w:rsidP="007721B6">
      <w:pPr>
        <w:widowControl w:val="0"/>
        <w:autoSpaceDE w:val="0"/>
        <w:autoSpaceDN w:val="0"/>
        <w:adjustRightInd w:val="0"/>
        <w:jc w:val="both"/>
      </w:pPr>
    </w:p>
    <w:p w14:paraId="410400D5" w14:textId="77777777" w:rsidR="007721B6" w:rsidRPr="004013D0" w:rsidRDefault="007721B6" w:rsidP="007721B6">
      <w:pPr>
        <w:widowControl w:val="0"/>
        <w:autoSpaceDE w:val="0"/>
        <w:autoSpaceDN w:val="0"/>
        <w:adjustRightInd w:val="0"/>
        <w:ind w:firstLine="708"/>
        <w:jc w:val="both"/>
      </w:pPr>
      <w:r w:rsidRPr="004013D0">
        <w:t>Del artículo 79 de la </w:t>
      </w:r>
      <w:hyperlink r:id="rId9" w:history="1">
        <w:r w:rsidRPr="004013D0">
          <w:t xml:space="preserve">LPAC´15 </w:t>
        </w:r>
      </w:hyperlink>
      <w:r w:rsidRPr="004013D0">
        <w:t>se infiere que los informes tienen que proceder de un órgano distinto al competente para instruir el procedimiento, órgano que puede pertenecer a la misma o distinta Administración, tal y como expresamente prevé el </w:t>
      </w:r>
      <w:hyperlink r:id="rId10" w:history="1">
        <w:r w:rsidRPr="004013D0">
          <w:t>art. 80.4 LPAC´15</w:t>
        </w:r>
      </w:hyperlink>
      <w:r w:rsidRPr="004013D0">
        <w:t>. Salvo disposición expresa en contrario, los informes serán facultativos y no vinculantes, lo que supone que los informes pueden ser clasificados en cuanto a la necesidad de su presencia en el procedimiento como preceptivo o facultativo y en cuanto a que supediten la decisión del órgano tramitador en vinculante o no vinculante, según las normas procedimentales que expresamente regulen estos trámites.</w:t>
      </w:r>
    </w:p>
    <w:p w14:paraId="51A0C0DF" w14:textId="77777777" w:rsidR="007721B6" w:rsidRPr="004013D0" w:rsidRDefault="007721B6" w:rsidP="007721B6">
      <w:pPr>
        <w:widowControl w:val="0"/>
        <w:autoSpaceDE w:val="0"/>
        <w:autoSpaceDN w:val="0"/>
        <w:adjustRightInd w:val="0"/>
        <w:ind w:firstLine="708"/>
        <w:jc w:val="both"/>
      </w:pPr>
    </w:p>
    <w:p w14:paraId="1F140E85" w14:textId="4592BB1E" w:rsidR="007721B6" w:rsidRPr="004013D0" w:rsidRDefault="007721B6" w:rsidP="007721B6">
      <w:pPr>
        <w:widowControl w:val="0"/>
        <w:autoSpaceDE w:val="0"/>
        <w:autoSpaceDN w:val="0"/>
        <w:adjustRightInd w:val="0"/>
        <w:ind w:firstLine="708"/>
        <w:jc w:val="both"/>
      </w:pPr>
      <w:r w:rsidRPr="004013D0">
        <w:t>Por su parte, los actos administrativos (todos, sin distinción) son actos que provienen de una de las Entidades que integran la administración pública sometidos al Derecho Administrativo. Como señala la doctrina más autorizada</w:t>
      </w:r>
      <w:r w:rsidRPr="004013D0">
        <w:rPr>
          <w:vertAlign w:val="superscript"/>
        </w:rPr>
        <w:footnoteReference w:id="7"/>
      </w:r>
      <w:r w:rsidRPr="004013D0">
        <w:t xml:space="preserve">, los actos administrativos son actos jurídicos, incluyéndose en ellos toda manifestación de voluntad, de juicio, de conocimiento, que produzca efectos jurídicos-administrativos. Y esos efectos se producirán, únicamente, cuando un acto </w:t>
      </w:r>
      <w:r w:rsidR="00DD5132" w:rsidRPr="004013D0">
        <w:t xml:space="preserve">(de los llamados definitivos) </w:t>
      </w:r>
      <w:r w:rsidRPr="004013D0">
        <w:t>reúna todos los requisitos que el ordenamiento exija.</w:t>
      </w:r>
    </w:p>
    <w:p w14:paraId="5F7DC02F" w14:textId="77777777" w:rsidR="007721B6" w:rsidRPr="004013D0" w:rsidRDefault="007721B6" w:rsidP="007721B6">
      <w:pPr>
        <w:widowControl w:val="0"/>
        <w:autoSpaceDE w:val="0"/>
        <w:autoSpaceDN w:val="0"/>
        <w:adjustRightInd w:val="0"/>
        <w:jc w:val="both"/>
      </w:pPr>
    </w:p>
    <w:p w14:paraId="7642A9EE" w14:textId="4027474A" w:rsidR="007721B6" w:rsidRPr="004013D0" w:rsidRDefault="007721B6" w:rsidP="007721B6">
      <w:pPr>
        <w:widowControl w:val="0"/>
        <w:autoSpaceDE w:val="0"/>
        <w:autoSpaceDN w:val="0"/>
        <w:adjustRightInd w:val="0"/>
        <w:jc w:val="both"/>
      </w:pPr>
      <w:r w:rsidRPr="004013D0">
        <w:tab/>
        <w:t>Como arriba razonamos, el actual artículo 39 de la LPAC´15, de 1 de octubre, contiene dos asertos en forma de presunción: de una parte, la de validez, y otra, la de eficacia</w:t>
      </w:r>
      <w:r w:rsidRPr="004013D0">
        <w:rPr>
          <w:vertAlign w:val="superscript"/>
        </w:rPr>
        <w:footnoteReference w:id="8"/>
      </w:r>
      <w:r w:rsidRPr="004013D0">
        <w:t xml:space="preserve">. Ahora bien, con respecto a la primera, la presunción de validez, no resulta acertado </w:t>
      </w:r>
      <w:r w:rsidR="00DD5132" w:rsidRPr="004013D0">
        <w:t>extenderla</w:t>
      </w:r>
      <w:r w:rsidRPr="004013D0">
        <w:t xml:space="preserve"> a todos los actos administrativos y </w:t>
      </w:r>
      <w:r w:rsidR="00DD5132" w:rsidRPr="004013D0">
        <w:t>en</w:t>
      </w:r>
      <w:r w:rsidRPr="004013D0">
        <w:t xml:space="preserve"> favor de </w:t>
      </w:r>
      <w:r w:rsidR="00DD5132" w:rsidRPr="004013D0">
        <w:t>cualquier</w:t>
      </w:r>
      <w:r w:rsidRPr="004013D0">
        <w:t xml:space="preserve"> </w:t>
      </w:r>
      <w:r w:rsidR="00DD5132" w:rsidRPr="004013D0">
        <w:t>administración</w:t>
      </w:r>
      <w:r w:rsidRPr="004013D0">
        <w:t xml:space="preserve"> pública, esto es, otorgarle un carácter totalizador. Debe restársele la funcionalidad que en ocasiones se le ha querido atribuir por parte de las administraciones </w:t>
      </w:r>
      <w:r w:rsidRPr="004013D0">
        <w:lastRenderedPageBreak/>
        <w:t>públicas, imponiéndole límites para evitar que acabe convirtiéndose en el refugio seguro, en el argumento más recurrente, sólido e incontestable de las administraciones públicas que han intentado incesantemente encontrar en él una trascendencia mucho mayor de lo que el legislador pudo y quiso concederle a este principio desde que por primera vez viera la luz en nuestro ordenamiento jurídico.</w:t>
      </w:r>
      <w:r w:rsidRPr="004013D0">
        <w:rPr>
          <w:vertAlign w:val="superscript"/>
        </w:rPr>
        <w:footnoteReference w:id="9"/>
      </w:r>
    </w:p>
    <w:p w14:paraId="767E0E03" w14:textId="77777777" w:rsidR="007721B6" w:rsidRPr="004013D0" w:rsidRDefault="007721B6" w:rsidP="007721B6">
      <w:pPr>
        <w:widowControl w:val="0"/>
        <w:autoSpaceDE w:val="0"/>
        <w:autoSpaceDN w:val="0"/>
        <w:adjustRightInd w:val="0"/>
        <w:jc w:val="both"/>
      </w:pPr>
    </w:p>
    <w:p w14:paraId="5CEC8159" w14:textId="77777777" w:rsidR="007721B6" w:rsidRPr="004013D0" w:rsidRDefault="007721B6" w:rsidP="007721B6">
      <w:pPr>
        <w:widowControl w:val="0"/>
        <w:autoSpaceDE w:val="0"/>
        <w:autoSpaceDN w:val="0"/>
        <w:adjustRightInd w:val="0"/>
        <w:jc w:val="both"/>
      </w:pPr>
      <w:r w:rsidRPr="004013D0">
        <w:tab/>
        <w:t>Parada Vázquez</w:t>
      </w:r>
      <w:r w:rsidRPr="004013D0">
        <w:rPr>
          <w:vertAlign w:val="superscript"/>
        </w:rPr>
        <w:footnoteReference w:id="10"/>
      </w:r>
      <w:r w:rsidRPr="004013D0">
        <w:t xml:space="preserve"> ya explicaba que esta presunción de validez no es ninguna singularidad ni algo exclusivo y predicable únicamente de los actos administrativos, pues también lo son de todos los actos jurídicos en general y, por ello, hasta de los actos privados, “</w:t>
      </w:r>
      <w:r w:rsidRPr="004013D0">
        <w:rPr>
          <w:i/>
          <w:iCs/>
        </w:rPr>
        <w:t>pues no hay razón para dudar de la legitimidad de los actos jurídicos de los particulares y, de otro lado, porque sería inorganizable un sistema judicial ante el que hubiera que homologar o acreditar la validez de todos los actos jurídicos</w:t>
      </w:r>
      <w:r w:rsidRPr="004013D0">
        <w:t>”. Por consiguiente, la verdadera singularidad que distingue y separa la privilegiada posición jurídica de la administración pública, atrincherada en sus potestades administrativas, de la de los particulares no se encuentra en la presunción de validez de los actos administrativos, sino en la ejecutividad y ejecutoriedad, es decir, en su especial fuerza vinculante, en la indiscutible posibilidad de llevar a efecto el mandato que el acto incorpora, violentando, para ello, si preciso fuere, la posición y la libertad personal del administrado.</w:t>
      </w:r>
    </w:p>
    <w:p w14:paraId="782B21B3" w14:textId="77777777" w:rsidR="007721B6" w:rsidRPr="004013D0" w:rsidRDefault="007721B6" w:rsidP="007721B6">
      <w:pPr>
        <w:widowControl w:val="0"/>
        <w:autoSpaceDE w:val="0"/>
        <w:autoSpaceDN w:val="0"/>
        <w:adjustRightInd w:val="0"/>
        <w:jc w:val="both"/>
      </w:pPr>
    </w:p>
    <w:p w14:paraId="29B8BF39" w14:textId="577997A2" w:rsidR="007721B6" w:rsidRPr="004013D0" w:rsidRDefault="007721B6" w:rsidP="007721B6">
      <w:pPr>
        <w:widowControl w:val="0"/>
        <w:autoSpaceDE w:val="0"/>
        <w:autoSpaceDN w:val="0"/>
        <w:adjustRightInd w:val="0"/>
        <w:jc w:val="both"/>
      </w:pPr>
      <w:r w:rsidRPr="004013D0">
        <w:tab/>
        <w:t>Y de igual manera lo interpret</w:t>
      </w:r>
      <w:r w:rsidR="00DD5132" w:rsidRPr="004013D0">
        <w:t>a</w:t>
      </w:r>
      <w:r w:rsidRPr="004013D0">
        <w:t xml:space="preserve"> Rebollo Puig </w:t>
      </w:r>
      <w:r w:rsidRPr="004013D0">
        <w:rPr>
          <w:vertAlign w:val="superscript"/>
        </w:rPr>
        <w:footnoteReference w:id="11"/>
      </w:r>
      <w:r w:rsidRPr="004013D0">
        <w:t>, cuando recuerda, tras un detallado análisis doctrinal, que la presunción de validez apenas goza del favor de la doctrina española, siendo criticada como un privilegio administrativo infundado, innecesario y peligroso que, incluso, en ocasiones, ha permitido que las administraciones públicas se hayan amparado en él cuando conocían que sus actos se encontraban repletos de graves vicios de invalidez. Por ello, autores como González Navarro</w:t>
      </w:r>
      <w:r w:rsidRPr="004013D0">
        <w:rPr>
          <w:vertAlign w:val="superscript"/>
        </w:rPr>
        <w:footnoteReference w:id="12"/>
      </w:r>
      <w:r w:rsidRPr="004013D0">
        <w:t xml:space="preserve"> han llegado a afirmar muy expresivamente que “</w:t>
      </w:r>
      <w:r w:rsidRPr="004013D0">
        <w:rPr>
          <w:i/>
          <w:iCs/>
        </w:rPr>
        <w:t>es contra toda razón presumir la validez de los actos administrativos cuando con toda normalidad los poderes públicos actúan tantas veces, y sin empacho alguno, … desligados de la Ley y del Derecho…”.</w:t>
      </w:r>
    </w:p>
    <w:p w14:paraId="2F8CB677" w14:textId="77777777" w:rsidR="007721B6" w:rsidRPr="004013D0" w:rsidRDefault="007721B6" w:rsidP="007721B6">
      <w:pPr>
        <w:widowControl w:val="0"/>
        <w:autoSpaceDE w:val="0"/>
        <w:autoSpaceDN w:val="0"/>
        <w:adjustRightInd w:val="0"/>
        <w:jc w:val="both"/>
        <w:rPr>
          <w:b/>
          <w:bCs/>
        </w:rPr>
      </w:pPr>
    </w:p>
    <w:p w14:paraId="583F131A" w14:textId="5617DE12" w:rsidR="007721B6" w:rsidRPr="004013D0" w:rsidRDefault="007721B6" w:rsidP="007721B6">
      <w:pPr>
        <w:widowControl w:val="0"/>
        <w:autoSpaceDE w:val="0"/>
        <w:autoSpaceDN w:val="0"/>
        <w:adjustRightInd w:val="0"/>
        <w:jc w:val="both"/>
      </w:pPr>
      <w:r w:rsidRPr="004013D0">
        <w:tab/>
        <w:t>Pod</w:t>
      </w:r>
      <w:r w:rsidR="00DD5132" w:rsidRPr="004013D0">
        <w:t>r</w:t>
      </w:r>
      <w:r w:rsidRPr="004013D0">
        <w:t>íamos concluir</w:t>
      </w:r>
      <w:r w:rsidR="00DD5132" w:rsidRPr="004013D0">
        <w:t>, pues,</w:t>
      </w:r>
      <w:r w:rsidRPr="004013D0">
        <w:t xml:space="preserve"> en que la presunción de la que hablamos no se extiende a todos los actos administrativos. Esta presunción sólo tiene verdadero sentido para los actos administrativos que consisten en verdaderas declaraciones de voluntad</w:t>
      </w:r>
      <w:r w:rsidRPr="004013D0">
        <w:rPr>
          <w:vertAlign w:val="superscript"/>
        </w:rPr>
        <w:footnoteReference w:id="13"/>
      </w:r>
      <w:r w:rsidRPr="004013D0">
        <w:t xml:space="preserve">, (esto es, en actos administrativos finalizadores de un procedimiento), beneficiándose de la misma la parte decisoria, ya que las premisas de hecho y de derecho, así como las simples actuaciones administrativas materiales, quedan al margen de dicha presunción. Como quiera que esa presunción de veracidad sólo afecta a ciertos actos, </w:t>
      </w:r>
      <w:r w:rsidR="00DD5132" w:rsidRPr="004013D0">
        <w:t xml:space="preserve">debiéramos concluir </w:t>
      </w:r>
      <w:r w:rsidR="00DD5132" w:rsidRPr="004013D0">
        <w:lastRenderedPageBreak/>
        <w:t>en</w:t>
      </w:r>
      <w:r w:rsidRPr="004013D0">
        <w:t xml:space="preserve"> que no deben extrapolarse a los dictámenes de peritos, por mucho que provengan – en su gran mayoría, ya que, de lo contrario, ningún efecto jurídico superior podría proporcionársele- de funcionarios públicos adscritos a una administración pública, a los que la doctrina le ha dotado de alto margen de imparcialidad y objetividad.</w:t>
      </w:r>
    </w:p>
    <w:p w14:paraId="06CCBBDE" w14:textId="77777777" w:rsidR="007721B6" w:rsidRPr="004013D0" w:rsidRDefault="007721B6" w:rsidP="007721B6">
      <w:pPr>
        <w:widowControl w:val="0"/>
        <w:autoSpaceDE w:val="0"/>
        <w:autoSpaceDN w:val="0"/>
        <w:adjustRightInd w:val="0"/>
        <w:jc w:val="both"/>
      </w:pPr>
    </w:p>
    <w:p w14:paraId="774FF668" w14:textId="19183A4F" w:rsidR="007721B6" w:rsidRPr="004013D0" w:rsidRDefault="007721B6" w:rsidP="007721B6">
      <w:pPr>
        <w:widowControl w:val="0"/>
        <w:autoSpaceDE w:val="0"/>
        <w:autoSpaceDN w:val="0"/>
        <w:adjustRightInd w:val="0"/>
        <w:jc w:val="both"/>
      </w:pPr>
      <w:r w:rsidRPr="004013D0">
        <w:tab/>
        <w:t xml:space="preserve">En el ámbito del Derecho Administrativo </w:t>
      </w:r>
      <w:r w:rsidR="00EF3E39" w:rsidRPr="004013D0">
        <w:rPr>
          <w:i/>
          <w:iCs/>
        </w:rPr>
        <w:t>procesal</w:t>
      </w:r>
      <w:r w:rsidR="00EF3E39" w:rsidRPr="004013D0">
        <w:t xml:space="preserve"> </w:t>
      </w:r>
      <w:r w:rsidRPr="004013D0">
        <w:t>no existe previsión legal ni reglamentaria que regule la forma, eficacia, necesidad y alcance de los dictámenes periciales. Por ello, por imposición de la Disposición Final Primera de la Ley 29/1998, de 13 de julio, reguladora de la Ley de la Jurisdicción Contencioso Administrativa -en adelante LJCA-, se ha de acudir a las normas civiles. Los dictámenes periciales deben valorarse, tal y como ordena el artículo 348 de la Ley de Enjuiciamiento Civil, “</w:t>
      </w:r>
      <w:r w:rsidRPr="004013D0">
        <w:rPr>
          <w:i/>
          <w:iCs/>
        </w:rPr>
        <w:t>según las reglas de la sana crítica</w:t>
      </w:r>
      <w:r w:rsidRPr="004013D0">
        <w:t>”. El dictamen pericial no es, pues, una prueba tasada o legal, cuya fuerza est</w:t>
      </w:r>
      <w:r w:rsidR="00072565" w:rsidRPr="004013D0">
        <w:t>é</w:t>
      </w:r>
      <w:r w:rsidRPr="004013D0">
        <w:t xml:space="preserve"> predeterminada por la Ley y no pueda ser destruida por otros medios. La valoración según las reglas de la sana crítica no deja de ser una manifestación de libre valoración de la prueba o valoración en conciencia, que permite que el juzgador pueda formar su convicción sobre los hechos con libertad, dando a aquella el peso que considere adecuado. Se relaciona evidentemente con el deber constitucional de motivación de las sentencias (artículo 120.3 CE) como exigencia de justificación racional de la resolución</w:t>
      </w:r>
      <w:r w:rsidRPr="004013D0">
        <w:rPr>
          <w:vertAlign w:val="superscript"/>
        </w:rPr>
        <w:footnoteReference w:id="14"/>
      </w:r>
      <w:r w:rsidRPr="004013D0">
        <w:t xml:space="preserve"> y, por tanto, con el derecho a la tutela judicial efectiva que protege el artículo 24.1 CE</w:t>
      </w:r>
      <w:r w:rsidRPr="004013D0">
        <w:rPr>
          <w:vertAlign w:val="superscript"/>
        </w:rPr>
        <w:footnoteReference w:id="15"/>
      </w:r>
      <w:r w:rsidRPr="004013D0">
        <w:t>. Los tribunales han formulado diversas pautas orientadoras de la valoración de la prueba pericial que son aplicación del criterio general en casos concretos, las cuales han sido sistematizadas por la doctrina</w:t>
      </w:r>
      <w:r w:rsidRPr="004013D0">
        <w:rPr>
          <w:vertAlign w:val="superscript"/>
        </w:rPr>
        <w:footnoteReference w:id="16"/>
      </w:r>
      <w:r w:rsidRPr="004013D0">
        <w:t>.</w:t>
      </w:r>
    </w:p>
    <w:p w14:paraId="51ACEDEA" w14:textId="77777777" w:rsidR="007721B6" w:rsidRPr="004013D0" w:rsidRDefault="007721B6" w:rsidP="007721B6">
      <w:pPr>
        <w:widowControl w:val="0"/>
        <w:autoSpaceDE w:val="0"/>
        <w:autoSpaceDN w:val="0"/>
        <w:adjustRightInd w:val="0"/>
        <w:jc w:val="both"/>
      </w:pPr>
    </w:p>
    <w:p w14:paraId="723006D7" w14:textId="33515DFC" w:rsidR="007721B6" w:rsidRPr="004013D0" w:rsidRDefault="007721B6" w:rsidP="007721B6">
      <w:pPr>
        <w:widowControl w:val="0"/>
        <w:autoSpaceDE w:val="0"/>
        <w:autoSpaceDN w:val="0"/>
        <w:adjustRightInd w:val="0"/>
        <w:jc w:val="both"/>
      </w:pPr>
      <w:r w:rsidRPr="004013D0">
        <w:tab/>
        <w:t xml:space="preserve">Pero no era esa la línea jurisprudencial de los tribunales cuando se trataba de ponderar el peso de la prueba pericial en procedimientos contenciosos relativos a expropiación forzosa, ruina urbanística, responsabilidad patrimonial y tantos otros aspectos, donde el valor del perito funcionario se revela como una </w:t>
      </w:r>
      <w:r w:rsidR="00EF3E39" w:rsidRPr="004013D0">
        <w:t>suerte</w:t>
      </w:r>
      <w:r w:rsidRPr="004013D0">
        <w:t xml:space="preserve"> de obstáculo insalvable para el litigante afectado.</w:t>
      </w:r>
    </w:p>
    <w:p w14:paraId="37836855" w14:textId="77777777" w:rsidR="007721B6" w:rsidRPr="004013D0" w:rsidRDefault="007721B6" w:rsidP="007721B6">
      <w:pPr>
        <w:widowControl w:val="0"/>
        <w:autoSpaceDE w:val="0"/>
        <w:autoSpaceDN w:val="0"/>
        <w:adjustRightInd w:val="0"/>
        <w:jc w:val="both"/>
      </w:pPr>
    </w:p>
    <w:p w14:paraId="47465307" w14:textId="3311666E" w:rsidR="007721B6" w:rsidRPr="004013D0" w:rsidRDefault="007721B6" w:rsidP="007721B6">
      <w:pPr>
        <w:widowControl w:val="0"/>
        <w:autoSpaceDE w:val="0"/>
        <w:autoSpaceDN w:val="0"/>
        <w:adjustRightInd w:val="0"/>
        <w:jc w:val="both"/>
      </w:pPr>
      <w:r w:rsidRPr="004013D0">
        <w:tab/>
        <w:t>Pero es posible que todo deba reinterpretarse a la luz de la nueva orientación que el Tribunal Supremo ha dispensado al tema que nos ocupa. En efecto, en la reciente sentencia de 17 de febrero de 2022 ha propuesto una novedosa doctrina sobre el valor pericial de los informes de la Administración, rechazando de forma contundente que gocen de un plus de credibilidad: los expertos al servicio de la Administración pueden actuar como peritos y sus dictámenes -</w:t>
      </w:r>
      <w:r w:rsidR="00072565" w:rsidRPr="004013D0">
        <w:t>como</w:t>
      </w:r>
      <w:r w:rsidRPr="004013D0">
        <w:t xml:space="preserve"> cualquier otr</w:t>
      </w:r>
      <w:r w:rsidR="00072565" w:rsidRPr="004013D0">
        <w:t>a opinión de peritos</w:t>
      </w:r>
      <w:r w:rsidRPr="004013D0">
        <w:t xml:space="preserve">- han de ser valorados de manera libre y motivada, teniendo en cuenta que no es lo mismo que un informe o dictamen emanado de la Administración se haga valer como medio de prueba </w:t>
      </w:r>
      <w:r w:rsidRPr="004013D0">
        <w:lastRenderedPageBreak/>
        <w:t xml:space="preserve">en un litigio entre terceros o en un litigio en el que ella es parte. Debe ponderarse el mayor o menor grado de dependencia del experto con respecto al órgano administrativo llamado a decidir y el </w:t>
      </w:r>
      <w:r w:rsidR="00072565" w:rsidRPr="004013D0">
        <w:t xml:space="preserve">Tribunal </w:t>
      </w:r>
      <w:r w:rsidRPr="004013D0">
        <w:t>Supremo no olvida que algunos informes no pueden ser considerados como dictámenes periciales y solo tendrán valor como documentos administrativos, siempre y cuando no sean ratificados por su autor. Como cualquier otro dictamen pericial, deben de ser valorados según las reglas de la sana crítica de manera libre y motivada, sin otorgarles automáticamente mayor fuerza probatoria por el solo hecho de provenir de la Administración.</w:t>
      </w:r>
    </w:p>
    <w:p w14:paraId="6FEC1EB0" w14:textId="77777777" w:rsidR="007721B6" w:rsidRPr="004013D0" w:rsidRDefault="007721B6" w:rsidP="007721B6">
      <w:pPr>
        <w:widowControl w:val="0"/>
        <w:autoSpaceDE w:val="0"/>
        <w:autoSpaceDN w:val="0"/>
        <w:adjustRightInd w:val="0"/>
        <w:ind w:firstLine="708"/>
        <w:jc w:val="both"/>
      </w:pPr>
    </w:p>
    <w:p w14:paraId="50623C66" w14:textId="3D93629A" w:rsidR="007721B6" w:rsidRPr="004013D0" w:rsidRDefault="007721B6" w:rsidP="007721B6">
      <w:pPr>
        <w:widowControl w:val="0"/>
        <w:autoSpaceDE w:val="0"/>
        <w:autoSpaceDN w:val="0"/>
        <w:adjustRightInd w:val="0"/>
        <w:ind w:firstLine="708"/>
        <w:jc w:val="both"/>
      </w:pPr>
      <w:r w:rsidRPr="004013D0">
        <w:t xml:space="preserve">Esa es la doctrina que emana de la nueva sentencia del Alto Tribunal y cuyas consecuencias jurídicas vamos a desgranar en este comentario. </w:t>
      </w:r>
    </w:p>
    <w:p w14:paraId="5A3A8336" w14:textId="11C8A395" w:rsidR="00072565" w:rsidRPr="004013D0" w:rsidRDefault="00072565" w:rsidP="007721B6">
      <w:pPr>
        <w:widowControl w:val="0"/>
        <w:autoSpaceDE w:val="0"/>
        <w:autoSpaceDN w:val="0"/>
        <w:adjustRightInd w:val="0"/>
        <w:ind w:firstLine="708"/>
        <w:jc w:val="both"/>
      </w:pPr>
    </w:p>
    <w:p w14:paraId="5938535C" w14:textId="77777777" w:rsidR="00072565" w:rsidRPr="004013D0" w:rsidRDefault="00072565" w:rsidP="007721B6">
      <w:pPr>
        <w:widowControl w:val="0"/>
        <w:autoSpaceDE w:val="0"/>
        <w:autoSpaceDN w:val="0"/>
        <w:adjustRightInd w:val="0"/>
        <w:ind w:firstLine="708"/>
        <w:jc w:val="both"/>
      </w:pPr>
    </w:p>
    <w:p w14:paraId="63B3F5A3" w14:textId="77777777" w:rsidR="007721B6" w:rsidRPr="004013D0" w:rsidRDefault="007721B6" w:rsidP="007721B6">
      <w:pPr>
        <w:jc w:val="both"/>
        <w:rPr>
          <w:rFonts w:eastAsia="Calibri"/>
          <w:b/>
          <w:bCs/>
          <w:iCs/>
          <w:lang w:eastAsia="en-US"/>
        </w:rPr>
      </w:pPr>
    </w:p>
    <w:p w14:paraId="09E34D3A" w14:textId="77777777" w:rsidR="007721B6" w:rsidRPr="004013D0" w:rsidRDefault="007721B6" w:rsidP="007721B6">
      <w:pPr>
        <w:ind w:firstLine="708"/>
        <w:jc w:val="both"/>
      </w:pPr>
    </w:p>
    <w:p w14:paraId="701669D5" w14:textId="197BA499" w:rsidR="007721B6" w:rsidRDefault="007721B6" w:rsidP="007721B6">
      <w:pPr>
        <w:widowControl w:val="0"/>
        <w:autoSpaceDE w:val="0"/>
        <w:autoSpaceDN w:val="0"/>
        <w:adjustRightInd w:val="0"/>
        <w:spacing w:line="360" w:lineRule="auto"/>
        <w:ind w:firstLine="708"/>
        <w:jc w:val="both"/>
        <w:rPr>
          <w:b/>
          <w:u w:val="single"/>
        </w:rPr>
      </w:pPr>
      <w:r w:rsidRPr="004013D0">
        <w:rPr>
          <w:b/>
          <w:u w:val="single"/>
        </w:rPr>
        <w:t xml:space="preserve">III.- </w:t>
      </w:r>
      <w:r w:rsidR="00637E85">
        <w:rPr>
          <w:b/>
          <w:u w:val="single"/>
        </w:rPr>
        <w:t>Hacia e</w:t>
      </w:r>
      <w:r w:rsidRPr="004013D0">
        <w:rPr>
          <w:b/>
          <w:u w:val="single"/>
        </w:rPr>
        <w:t>l cambio de criterio: los antecedentes de la sentencia.</w:t>
      </w:r>
    </w:p>
    <w:p w14:paraId="37663258" w14:textId="77777777" w:rsidR="00D33D0B" w:rsidRPr="004013D0" w:rsidRDefault="00D33D0B" w:rsidP="007721B6">
      <w:pPr>
        <w:widowControl w:val="0"/>
        <w:autoSpaceDE w:val="0"/>
        <w:autoSpaceDN w:val="0"/>
        <w:adjustRightInd w:val="0"/>
        <w:spacing w:line="360" w:lineRule="auto"/>
        <w:ind w:firstLine="708"/>
        <w:jc w:val="both"/>
        <w:rPr>
          <w:b/>
          <w:u w:val="single"/>
        </w:rPr>
      </w:pPr>
    </w:p>
    <w:p w14:paraId="26E70053" w14:textId="77777777" w:rsidR="007721B6" w:rsidRPr="004013D0" w:rsidRDefault="007721B6" w:rsidP="007721B6">
      <w:pPr>
        <w:ind w:firstLine="708"/>
        <w:jc w:val="both"/>
      </w:pPr>
      <w:r w:rsidRPr="004013D0">
        <w:t xml:space="preserve"> </w:t>
      </w:r>
    </w:p>
    <w:p w14:paraId="07043205" w14:textId="77777777" w:rsidR="007721B6" w:rsidRPr="004013D0" w:rsidRDefault="007721B6" w:rsidP="007721B6">
      <w:pPr>
        <w:ind w:firstLine="708"/>
        <w:jc w:val="both"/>
      </w:pPr>
      <w:r w:rsidRPr="004013D0">
        <w:t>Un particular, en nombre propio y como mandatario de su madre y hermanos, solicitó autorización para la exportación del cuadro de Joaquín Sorolla y Bastida, titulado “Fin de jornada”.</w:t>
      </w:r>
    </w:p>
    <w:p w14:paraId="46FF9054" w14:textId="77777777" w:rsidR="007721B6" w:rsidRPr="004013D0" w:rsidRDefault="007721B6" w:rsidP="007721B6">
      <w:pPr>
        <w:ind w:firstLine="708"/>
        <w:jc w:val="both"/>
      </w:pPr>
    </w:p>
    <w:p w14:paraId="5550CE4A" w14:textId="77777777" w:rsidR="007721B6" w:rsidRPr="004013D0" w:rsidRDefault="007721B6" w:rsidP="007721B6">
      <w:pPr>
        <w:ind w:firstLine="708"/>
        <w:jc w:val="both"/>
      </w:pPr>
      <w:r w:rsidRPr="004013D0">
        <w:t>La Junta de Calificación, Valoración y Exportación del Patrimonio Histórico Español informó negativamente dicha solicitud, resultando denegada finalmente mediante resolución de la Dirección General de Bellas Artes, de 26 de octubre de 2016, por considerar que el cuadro posee un valor excepcional a los efectos de la legislación sobre el patrimonio histórico español y que, por consiguiente, debe permanecer en territorio nacional.</w:t>
      </w:r>
    </w:p>
    <w:p w14:paraId="1806DCAE" w14:textId="77777777" w:rsidR="007721B6" w:rsidRPr="004013D0" w:rsidRDefault="007721B6" w:rsidP="007721B6">
      <w:pPr>
        <w:ind w:firstLine="708"/>
        <w:jc w:val="both"/>
      </w:pPr>
    </w:p>
    <w:p w14:paraId="5A4CB2FC" w14:textId="77777777" w:rsidR="007721B6" w:rsidRPr="004013D0" w:rsidRDefault="007721B6" w:rsidP="007721B6">
      <w:pPr>
        <w:ind w:firstLine="708"/>
        <w:jc w:val="both"/>
      </w:pPr>
      <w:r w:rsidRPr="004013D0">
        <w:t>Interpuesto recurso contencioso administrativo ante la Sala del Tribunal Superior de Justicia de Madrid, se formula demanda en donde los recurrentes aportan dos dictámenes, ambos elaborados por especialistas de la obra de Sorolla. En ambos la conclusión es idéntica: los méritos del cuadro son innegables, pero no excepcionales en el contexto de la obra del artista, por lo que es permisible su exportación fuera del territorio nacional.</w:t>
      </w:r>
    </w:p>
    <w:p w14:paraId="4B7B5B17" w14:textId="77777777" w:rsidR="007721B6" w:rsidRPr="004013D0" w:rsidRDefault="007721B6" w:rsidP="007721B6">
      <w:pPr>
        <w:ind w:firstLine="708"/>
        <w:jc w:val="both"/>
      </w:pPr>
    </w:p>
    <w:p w14:paraId="5662709F" w14:textId="65EFCBBE" w:rsidR="007721B6" w:rsidRPr="004013D0" w:rsidRDefault="007721B6" w:rsidP="007721B6">
      <w:pPr>
        <w:ind w:firstLine="708"/>
        <w:jc w:val="both"/>
      </w:pPr>
      <w:r w:rsidRPr="004013D0">
        <w:t xml:space="preserve">En contraposición, el Abogado del Estado presentó junto con su escrito de contestación a la demanda dos nuevos informes, que se unían los ya elaborados en el año 2007 por expertos que ocupaban puestos cuya designación corresponde a la Administración del Estado: por un lado, </w:t>
      </w:r>
      <w:r w:rsidR="0089512D" w:rsidRPr="004013D0">
        <w:t>el</w:t>
      </w:r>
      <w:r w:rsidRPr="004013D0">
        <w:t xml:space="preserve"> de la Jefa de Área de Colecciones de la Subdirección General de Museos Estatales, y por otro, </w:t>
      </w:r>
      <w:r w:rsidR="0089512D" w:rsidRPr="004013D0">
        <w:t xml:space="preserve">un </w:t>
      </w:r>
      <w:r w:rsidRPr="004013D0">
        <w:t xml:space="preserve">informe de la Subdirectora General de Promoción de las Bellas Artes. Ambos concluyeron que el cuadro posee tal valor que justifica su permanencia en España. </w:t>
      </w:r>
    </w:p>
    <w:p w14:paraId="198779DA" w14:textId="77777777" w:rsidR="007721B6" w:rsidRPr="004013D0" w:rsidRDefault="007721B6" w:rsidP="007721B6">
      <w:pPr>
        <w:ind w:firstLine="708"/>
        <w:jc w:val="both"/>
      </w:pPr>
    </w:p>
    <w:p w14:paraId="50427C33" w14:textId="17638323" w:rsidR="007721B6" w:rsidRPr="004013D0" w:rsidRDefault="007721B6" w:rsidP="007721B6">
      <w:pPr>
        <w:ind w:firstLine="708"/>
        <w:jc w:val="both"/>
      </w:pPr>
      <w:r w:rsidRPr="004013D0">
        <w:t>Con fecha 12 de junio de 2019, se dicta sentencia por el TSJ de Madrid, desestimando el recurso sobre la base, casi exclusiva, de que</w:t>
      </w:r>
      <w:r w:rsidR="0089512D" w:rsidRPr="004013D0">
        <w:t>,</w:t>
      </w:r>
      <w:r w:rsidRPr="004013D0">
        <w:t xml:space="preserve"> a la hora de valorar todo el material probatorio, se debe otorgar mayor peso al procedente de la administración. Lo justifica sobre la base de la “</w:t>
      </w:r>
      <w:r w:rsidRPr="004013D0">
        <w:rPr>
          <w:i/>
          <w:iCs/>
        </w:rPr>
        <w:t>mayor objetividad e imparcialidad”</w:t>
      </w:r>
      <w:r w:rsidRPr="004013D0">
        <w:t xml:space="preserve"> de los expertos de ésta, sin descender al caso concreto, realizando un análisis detallado de los argumentos </w:t>
      </w:r>
      <w:r w:rsidRPr="004013D0">
        <w:lastRenderedPageBreak/>
        <w:t xml:space="preserve">recogidos en todos y cada uno de los informes y dictámenes </w:t>
      </w:r>
      <w:r w:rsidR="0089512D" w:rsidRPr="004013D0">
        <w:t>obrantes</w:t>
      </w:r>
      <w:r w:rsidRPr="004013D0">
        <w:t xml:space="preserve"> en las actuaciones. Literalmente señala:</w:t>
      </w:r>
    </w:p>
    <w:p w14:paraId="21A39947" w14:textId="77777777" w:rsidR="007721B6" w:rsidRPr="004013D0" w:rsidRDefault="007721B6" w:rsidP="007721B6">
      <w:pPr>
        <w:ind w:firstLine="708"/>
        <w:jc w:val="both"/>
      </w:pPr>
    </w:p>
    <w:p w14:paraId="1C3C1016" w14:textId="77777777" w:rsidR="007721B6" w:rsidRPr="004013D0" w:rsidRDefault="007721B6" w:rsidP="007721B6">
      <w:pPr>
        <w:ind w:firstLine="708"/>
        <w:jc w:val="both"/>
        <w:rPr>
          <w:i/>
          <w:iCs/>
        </w:rPr>
      </w:pPr>
      <w:r w:rsidRPr="004013D0">
        <w:rPr>
          <w:i/>
          <w:iCs/>
        </w:rPr>
        <w:t xml:space="preserve">“En este sentido y con las salvedades ya conocidas a tenor de la jurisprudencia post LEC 2000 en cuanto a la valoración de la prueba pericial en general , no deja de tener, a nuestro entender en estos casos al menos, una cierta preeminencia, en función siempre de las circunstancias concurrentes, la pericial de expertos oficiales por razón de su, en principio, mayor objetividad e imparcialidad, lo que aquí resultaría aplicable, dadas además las circunstancias de los peritos de la actora y de la propia Administración (…)”. </w:t>
      </w:r>
    </w:p>
    <w:p w14:paraId="4741E6EC" w14:textId="77777777" w:rsidR="007721B6" w:rsidRPr="004013D0" w:rsidRDefault="007721B6" w:rsidP="007721B6">
      <w:pPr>
        <w:ind w:firstLine="708"/>
        <w:jc w:val="both"/>
      </w:pPr>
    </w:p>
    <w:p w14:paraId="4644B7C9" w14:textId="1753B507" w:rsidR="007721B6" w:rsidRPr="004013D0" w:rsidRDefault="007721B6" w:rsidP="007721B6">
      <w:pPr>
        <w:ind w:firstLine="708"/>
        <w:jc w:val="both"/>
      </w:pPr>
      <w:r w:rsidRPr="004013D0">
        <w:t xml:space="preserve">Preparado recurso de </w:t>
      </w:r>
      <w:r w:rsidR="00637E85" w:rsidRPr="004013D0">
        <w:t>casación</w:t>
      </w:r>
      <w:r w:rsidR="00637E85">
        <w:t>,</w:t>
      </w:r>
      <w:r w:rsidRPr="004013D0">
        <w:t xml:space="preserve"> fue admitido por la Sección 1ª de esta Sala mediante auto de 3 de junio de 2020. Las cuestiones declaradas de interés casacional objetivo fueron: </w:t>
      </w:r>
    </w:p>
    <w:p w14:paraId="554B81DF" w14:textId="77777777" w:rsidR="007721B6" w:rsidRPr="004013D0" w:rsidRDefault="007721B6" w:rsidP="007721B6">
      <w:pPr>
        <w:ind w:firstLine="708"/>
        <w:jc w:val="both"/>
      </w:pPr>
    </w:p>
    <w:p w14:paraId="4CC21869" w14:textId="77777777" w:rsidR="007721B6" w:rsidRPr="004013D0" w:rsidRDefault="007721B6" w:rsidP="007721B6">
      <w:pPr>
        <w:ind w:firstLine="708"/>
        <w:jc w:val="both"/>
        <w:rPr>
          <w:i/>
          <w:iCs/>
        </w:rPr>
      </w:pPr>
      <w:r w:rsidRPr="004013D0">
        <w:rPr>
          <w:i/>
          <w:iCs/>
        </w:rPr>
        <w:t>"[...] SEGUNDO. Precisar que las cuestiones en las que, en principio, se entienden que existe interés casacional objetivo para la formación de jurisprudencia son:</w:t>
      </w:r>
    </w:p>
    <w:p w14:paraId="4D2F4A29" w14:textId="77777777" w:rsidR="007721B6" w:rsidRPr="004013D0" w:rsidRDefault="007721B6" w:rsidP="007721B6">
      <w:pPr>
        <w:ind w:firstLine="708"/>
        <w:jc w:val="both"/>
        <w:rPr>
          <w:i/>
          <w:iCs/>
        </w:rPr>
      </w:pPr>
    </w:p>
    <w:p w14:paraId="2A3CF4D1" w14:textId="2DD67D88" w:rsidR="007721B6" w:rsidRPr="004013D0" w:rsidRDefault="007721B6" w:rsidP="007721B6">
      <w:pPr>
        <w:ind w:firstLine="708"/>
        <w:jc w:val="both"/>
        <w:rPr>
          <w:i/>
          <w:iCs/>
        </w:rPr>
      </w:pPr>
      <w:r w:rsidRPr="004013D0">
        <w:rPr>
          <w:i/>
          <w:iCs/>
        </w:rPr>
        <w:t xml:space="preserve">1º) Naturaleza y valor probatorio de los informes de la Administración obrantes en el expediente administrativo </w:t>
      </w:r>
      <w:r w:rsidR="0089512D" w:rsidRPr="004013D0">
        <w:rPr>
          <w:i/>
          <w:iCs/>
        </w:rPr>
        <w:t>más</w:t>
      </w:r>
      <w:r w:rsidRPr="004013D0">
        <w:rPr>
          <w:i/>
          <w:iCs/>
        </w:rPr>
        <w:t xml:space="preserve"> los aportados en sede judicial como pericial, todos elaborados por funcionarios o técnicos de la Administración, y, en particular, si deben ser tenidos como informes de parte y ser valorados como tales o, si por el hecho de proceder de funcionarios de los que se presume objetividad tienen un plus de fuerza probatoria frente a los informes de parte.</w:t>
      </w:r>
    </w:p>
    <w:p w14:paraId="7F88BB4E" w14:textId="77777777" w:rsidR="007721B6" w:rsidRPr="004013D0" w:rsidRDefault="007721B6" w:rsidP="007721B6">
      <w:pPr>
        <w:ind w:firstLine="708"/>
        <w:jc w:val="both"/>
        <w:rPr>
          <w:i/>
          <w:iCs/>
        </w:rPr>
      </w:pPr>
    </w:p>
    <w:p w14:paraId="3B86A72E" w14:textId="77777777" w:rsidR="007721B6" w:rsidRPr="004013D0" w:rsidRDefault="007721B6" w:rsidP="007721B6">
      <w:pPr>
        <w:ind w:firstLine="708"/>
        <w:jc w:val="both"/>
        <w:rPr>
          <w:i/>
          <w:iCs/>
        </w:rPr>
      </w:pPr>
      <w:r w:rsidRPr="004013D0">
        <w:rPr>
          <w:i/>
          <w:iCs/>
        </w:rPr>
        <w:t>2º) La determinación del carácter reglado o discrecional de las decisiones de la administración en materia de concesión o denegación de permisos de exportación de obras del patrimonio histórico artístico y, en su caso, los elementos que deben tomarse en consideración.</w:t>
      </w:r>
      <w:r w:rsidRPr="004013D0">
        <w:rPr>
          <w:i/>
          <w:iCs/>
        </w:rPr>
        <w:br/>
      </w:r>
    </w:p>
    <w:p w14:paraId="37C875B0" w14:textId="77777777" w:rsidR="007721B6" w:rsidRPr="004013D0" w:rsidRDefault="007721B6" w:rsidP="007721B6">
      <w:pPr>
        <w:ind w:firstLine="708"/>
        <w:jc w:val="both"/>
        <w:rPr>
          <w:i/>
          <w:iCs/>
        </w:rPr>
      </w:pPr>
      <w:r w:rsidRPr="004013D0">
        <w:rPr>
          <w:i/>
          <w:iCs/>
        </w:rPr>
        <w:t xml:space="preserve">TERCERO. Identificar como normas jurídicas que, en principio, habrán de ser objeto de interpretación las contenidas en los artículos 335.1, 336 y 348 LEC, sin perjuicio de que la sentencia pueda extenderse a otras cuestiones y normas jurídicas si así lo exigiere el debate finalmente trabado en el recurso, ex artículo 90.4 de la LJCA. [...]". </w:t>
      </w:r>
    </w:p>
    <w:p w14:paraId="2057C2F2" w14:textId="5F456146" w:rsidR="007721B6" w:rsidRDefault="007721B6" w:rsidP="007721B6">
      <w:pPr>
        <w:ind w:firstLine="708"/>
        <w:jc w:val="both"/>
      </w:pPr>
    </w:p>
    <w:p w14:paraId="03B19C84" w14:textId="4FCE1E83" w:rsidR="00D33D0B" w:rsidRDefault="00D33D0B" w:rsidP="007721B6">
      <w:pPr>
        <w:ind w:firstLine="708"/>
        <w:jc w:val="both"/>
      </w:pPr>
    </w:p>
    <w:p w14:paraId="31756806" w14:textId="77777777" w:rsidR="00D33D0B" w:rsidRPr="004013D0" w:rsidRDefault="00D33D0B" w:rsidP="007721B6">
      <w:pPr>
        <w:ind w:firstLine="708"/>
        <w:jc w:val="both"/>
      </w:pPr>
    </w:p>
    <w:p w14:paraId="61DE87DE" w14:textId="77777777" w:rsidR="007721B6" w:rsidRPr="004013D0" w:rsidRDefault="007721B6" w:rsidP="007721B6">
      <w:pPr>
        <w:ind w:firstLine="708"/>
        <w:jc w:val="both"/>
      </w:pPr>
    </w:p>
    <w:p w14:paraId="310F3434" w14:textId="00247F42" w:rsidR="007721B6" w:rsidRDefault="007721B6" w:rsidP="007721B6">
      <w:pPr>
        <w:ind w:firstLine="708"/>
        <w:jc w:val="both"/>
        <w:rPr>
          <w:b/>
          <w:bCs/>
          <w:u w:val="single"/>
        </w:rPr>
      </w:pPr>
      <w:r w:rsidRPr="004013D0">
        <w:rPr>
          <w:b/>
          <w:bCs/>
          <w:u w:val="single"/>
        </w:rPr>
        <w:t>IV.- La corriente doctrinal tradicional: la prevalencia de los dictámenes de peritos administrativos.</w:t>
      </w:r>
    </w:p>
    <w:p w14:paraId="1332A89F" w14:textId="77777777" w:rsidR="00D33D0B" w:rsidRPr="004013D0" w:rsidRDefault="00D33D0B" w:rsidP="007721B6">
      <w:pPr>
        <w:ind w:firstLine="708"/>
        <w:jc w:val="both"/>
        <w:rPr>
          <w:b/>
          <w:bCs/>
          <w:u w:val="single"/>
        </w:rPr>
      </w:pPr>
    </w:p>
    <w:p w14:paraId="2F527F97" w14:textId="77777777" w:rsidR="007721B6" w:rsidRPr="004013D0" w:rsidRDefault="007721B6" w:rsidP="007721B6">
      <w:pPr>
        <w:jc w:val="both"/>
        <w:rPr>
          <w:b/>
          <w:bCs/>
          <w:u w:val="single"/>
        </w:rPr>
      </w:pPr>
    </w:p>
    <w:p w14:paraId="0AF58F63" w14:textId="77777777" w:rsidR="007721B6" w:rsidRPr="004013D0" w:rsidRDefault="007721B6" w:rsidP="007721B6">
      <w:pPr>
        <w:ind w:firstLine="708"/>
        <w:jc w:val="both"/>
      </w:pPr>
      <w:r w:rsidRPr="004013D0">
        <w:t>Ha sido reiterada y constante la doctrina jurisprudencial que destaca que en el proceso contencioso administrativo la prueba se rige por los mismos principios que la regulan en el proceso civil y no se puede olvidar que la base de la convicción del Juzgador para dictar sentencia descansa en la valoración conjunta y ponderada de toda la prueba practicada. El Juez "a quo" ha de valorar los medios de prueba, salvo las excepciones legalmente previstas como la del </w:t>
      </w:r>
      <w:hyperlink r:id="rId11" w:anchor="I448')" w:tooltip="enlace" w:history="1">
        <w:r w:rsidRPr="004013D0">
          <w:t>artículo 319 de la Ley 1/2.000, de 7 de Enero</w:t>
        </w:r>
      </w:hyperlink>
      <w:r w:rsidRPr="004013D0">
        <w:t>, de Enjuiciamiento Civil, para los documentos públicos, "</w:t>
      </w:r>
      <w:r w:rsidRPr="004013D0">
        <w:rPr>
          <w:i/>
          <w:iCs/>
        </w:rPr>
        <w:t>según las reglas de la sana crítica</w:t>
      </w:r>
      <w:r w:rsidRPr="004013D0">
        <w:t xml:space="preserve">", </w:t>
      </w:r>
      <w:r w:rsidRPr="004013D0">
        <w:lastRenderedPageBreak/>
        <w:t>-artículos 316.2 para el interrogatorio de las partes, 326, último párrafo, para los documentos privados, 334 para las copias reprográficas, 348 para la prueba pericial y 376 para la testifical, todos ellos de la </w:t>
      </w:r>
      <w:hyperlink r:id="rId12" w:tooltip="enlace" w:history="1">
        <w:r w:rsidRPr="004013D0">
          <w:t>Ley de Enjuiciamiento Civil</w:t>
        </w:r>
      </w:hyperlink>
      <w:r w:rsidRPr="004013D0">
        <w:t xml:space="preserve"> antes citada-. </w:t>
      </w:r>
    </w:p>
    <w:p w14:paraId="098A800A" w14:textId="77777777" w:rsidR="007721B6" w:rsidRPr="004013D0" w:rsidRDefault="007721B6" w:rsidP="007721B6">
      <w:pPr>
        <w:ind w:firstLine="708"/>
        <w:jc w:val="both"/>
      </w:pPr>
    </w:p>
    <w:p w14:paraId="215EC684" w14:textId="77777777" w:rsidR="007721B6" w:rsidRPr="004013D0" w:rsidRDefault="007721B6" w:rsidP="007721B6">
      <w:pPr>
        <w:ind w:firstLine="708"/>
        <w:jc w:val="both"/>
      </w:pPr>
      <w:r w:rsidRPr="004013D0">
        <w:t>Ello implica que, en principio, ha de respetarse la valoración efectuada por el Juez de instancia siempre que la misma no sea manifiestamente ilógica, irracional, arbitraria, absurda o conculque principios generales del derecho</w:t>
      </w:r>
      <w:r w:rsidRPr="004013D0">
        <w:rPr>
          <w:vertAlign w:val="superscript"/>
        </w:rPr>
        <w:footnoteReference w:id="17"/>
      </w:r>
      <w:r w:rsidRPr="004013D0">
        <w:t>, sin que esté permitido sustituir la lógica o la sana crítica del Juzgador actuante por la de la parte</w:t>
      </w:r>
      <w:r w:rsidRPr="004013D0">
        <w:rPr>
          <w:vertAlign w:val="superscript"/>
        </w:rPr>
        <w:footnoteReference w:id="18"/>
      </w:r>
      <w:r w:rsidRPr="004013D0">
        <w:t>. De ahí que, en la valoración de la prueba practicada en el curso del proceso, debe primar el criterio objetivo e imparcial del Juzgador de Instancia sobre el juicio hermenéutico, subjetivo, interesado y necesariamente parcial de la parte apelante, de modo que es preciso acreditar una equivocación clara y evidente en el juicio valorativo del órgano jurisdiccional para acoger ese motivo de apelación.</w:t>
      </w:r>
    </w:p>
    <w:p w14:paraId="4BF28959" w14:textId="77777777" w:rsidR="007721B6" w:rsidRPr="004013D0" w:rsidRDefault="007721B6" w:rsidP="007721B6">
      <w:pPr>
        <w:ind w:firstLine="708"/>
        <w:jc w:val="both"/>
      </w:pPr>
    </w:p>
    <w:p w14:paraId="4323ADFC" w14:textId="45D28B1F" w:rsidR="007721B6" w:rsidRPr="004013D0" w:rsidRDefault="007721B6" w:rsidP="007721B6">
      <w:pPr>
        <w:ind w:firstLine="708"/>
        <w:jc w:val="both"/>
      </w:pPr>
      <w:r w:rsidRPr="004013D0">
        <w:t xml:space="preserve">Así pues, en el Derecho Administrativo, como en el </w:t>
      </w:r>
      <w:r w:rsidR="00637E85">
        <w:t>ámbito c</w:t>
      </w:r>
      <w:r w:rsidRPr="004013D0">
        <w:t>ivil, la valoración de los dictámenes periciales, y más concretamente, las conclusiones a las que lleguen deberán examinarse depurando sus razonamientos</w:t>
      </w:r>
      <w:r w:rsidRPr="004013D0">
        <w:rPr>
          <w:vertAlign w:val="superscript"/>
        </w:rPr>
        <w:footnoteReference w:id="19"/>
      </w:r>
      <w:r w:rsidRPr="004013D0">
        <w:t xml:space="preserve">, ponderándose </w:t>
      </w:r>
      <w:r w:rsidR="00962008" w:rsidRPr="004013D0">
        <w:t>en atención</w:t>
      </w:r>
      <w:r w:rsidRPr="004013D0">
        <w:t xml:space="preserve"> a su fuerza convincente</w:t>
      </w:r>
      <w:r w:rsidRPr="004013D0">
        <w:rPr>
          <w:vertAlign w:val="superscript"/>
        </w:rPr>
        <w:footnoteReference w:id="20"/>
      </w:r>
      <w:r w:rsidRPr="004013D0">
        <w:t>, y es que la prueba pericial no es una prueba tasada, sino de libre apreciación por el Tribunal según las reglas de la sana crítica</w:t>
      </w:r>
      <w:r w:rsidRPr="004013D0">
        <w:rPr>
          <w:vertAlign w:val="superscript"/>
        </w:rPr>
        <w:footnoteReference w:id="21"/>
      </w:r>
      <w:r w:rsidRPr="004013D0">
        <w:t>.</w:t>
      </w:r>
      <w:r w:rsidR="00EC0B2A" w:rsidRPr="004013D0">
        <w:t xml:space="preserve"> Esta debiera ser una práctica procesal admitida pacíficamente en nuestros foros judiciales, pero la realidad ha venido siendo bien otra. L</w:t>
      </w:r>
      <w:r w:rsidRPr="004013D0">
        <w:t xml:space="preserve">os Tribunales de Justicia, pese a lo dispuesto normativamente, han venido dotando de una supuesta imparcialidad y, por tanto, de un plus de credibilidad, a los informes de los técnicos pertenecientes a las administraciones públicas. Tanto es así que, en muchos ámbitos del derecho urbanístico (planeamiento, licencias, ruina o materia sancionadora, expropiación, …) se ha asentado un criterio jurisprudencial consolidado que proporciona una indebida prevalencia e imparcialidad a los dictámenes de peritos administrativos cuando existe una disparidad de informes obrantes en el proceso. </w:t>
      </w:r>
      <w:r w:rsidR="00B671C6" w:rsidRPr="004013D0">
        <w:t>C</w:t>
      </w:r>
      <w:r w:rsidRPr="004013D0">
        <w:t>on carácter genérico, el Supremo (e incluso la Audiencia Nacional, en no tan lejanas fechas</w:t>
      </w:r>
      <w:r w:rsidRPr="004013D0">
        <w:rPr>
          <w:vertAlign w:val="superscript"/>
        </w:rPr>
        <w:footnoteReference w:id="22"/>
      </w:r>
      <w:r w:rsidRPr="004013D0">
        <w:t>) venía validando esta tesis que posteriormente los Tribunales de menor rango han venido acogiendo en las distintas y numerosas materias en las que se integra el Derecho Administrativo.</w:t>
      </w:r>
    </w:p>
    <w:p w14:paraId="4AD675C9" w14:textId="77777777" w:rsidR="007721B6" w:rsidRPr="004013D0" w:rsidRDefault="007721B6" w:rsidP="007721B6">
      <w:pPr>
        <w:ind w:firstLine="708"/>
        <w:jc w:val="both"/>
      </w:pPr>
    </w:p>
    <w:p w14:paraId="207186AC" w14:textId="77777777" w:rsidR="007721B6" w:rsidRPr="004013D0" w:rsidRDefault="007721B6" w:rsidP="007721B6">
      <w:pPr>
        <w:ind w:firstLine="708"/>
        <w:jc w:val="both"/>
      </w:pPr>
      <w:r w:rsidRPr="004013D0">
        <w:lastRenderedPageBreak/>
        <w:t xml:space="preserve">En tal sentido, las sentencias del Tribunal Supremo de 12 de diciembre de 1989, 19 de febrero de 1990, 8 de marzo de 1993 y de 20 de Julio de 1993, entre otras muchas, determinaron que los informes emitidos por los órganos técnicos municipales, así como los de los peritos procesales, gozan de garantía de imparcialidad superior a las que pudieran formular técnicos designados por las partes. Y añadían que </w:t>
      </w:r>
      <w:r w:rsidRPr="004013D0">
        <w:rPr>
          <w:i/>
          <w:iCs/>
        </w:rPr>
        <w:t>"en el supuesto de diversos informes periciales o de técnicos peritos en la materia, es procedente un análisis crítico de los mismos, debiendo el órgano judicial valorar los datos y conocimientos expuestos en los informes, de acuerdo con las reglas de la sana crítica, debiéndose entender la fuerza probatoria de los mismos en la mayor fundamentación y razón de ciencia aportada, debiéndose conceder, en principio, prevalencia, a aquellas afirmaciones o conclusiones que vengan dotadas de una mayor explicación racional, sin olvidar la utilización de otros criterios, como la mayor credibilidad de los técnicos más alejados de los intereses de las partes, y precisamente en aplicación de tales criterios, es de estimar que las conclusiones formuladas por los técnicos municipales están dotadas de presunción de mayor objetividad, al estar alejados de los intereses de parte”</w:t>
      </w:r>
      <w:r w:rsidRPr="004013D0">
        <w:rPr>
          <w:i/>
          <w:iCs/>
          <w:vertAlign w:val="superscript"/>
        </w:rPr>
        <w:footnoteReference w:id="23"/>
      </w:r>
      <w:r w:rsidRPr="004013D0">
        <w:t xml:space="preserve"> </w:t>
      </w:r>
    </w:p>
    <w:p w14:paraId="3E48487B" w14:textId="77777777" w:rsidR="007721B6" w:rsidRPr="004013D0" w:rsidRDefault="007721B6" w:rsidP="007721B6">
      <w:pPr>
        <w:jc w:val="both"/>
      </w:pPr>
    </w:p>
    <w:p w14:paraId="761161E9" w14:textId="77777777" w:rsidR="007721B6" w:rsidRPr="004013D0" w:rsidRDefault="007721B6" w:rsidP="007721B6">
      <w:pPr>
        <w:ind w:firstLine="708"/>
        <w:jc w:val="both"/>
      </w:pPr>
      <w:r w:rsidRPr="004013D0">
        <w:t xml:space="preserve">Un ejemplo paradigmático de la prevalencia de la opinión del funcionario podemos encontrarlo en la </w:t>
      </w:r>
      <w:r w:rsidRPr="004013D0">
        <w:rPr>
          <w:u w:val="single"/>
        </w:rPr>
        <w:t>potestad planificadora de los Ayuntamientos</w:t>
      </w:r>
      <w:r w:rsidRPr="004013D0">
        <w:t>, donde prevalece el criterio de la administración planificadora frente al de la parte actora e, incluso, el del perito judicial</w:t>
      </w:r>
      <w:r w:rsidRPr="004013D0">
        <w:rPr>
          <w:vertAlign w:val="superscript"/>
        </w:rPr>
        <w:footnoteReference w:id="24"/>
      </w:r>
      <w:r w:rsidRPr="004013D0">
        <w:t>. Y es que como tiene declarado el Alto Tribunal al respecto, de la prevalencia del criterio oficial en decisiones estrictamente discrecionales, como se explica en su sentencia de fecha 26 de julio de 2006 (recurso de casación 2393/2003) “«</w:t>
      </w:r>
      <w:r w:rsidRPr="004013D0">
        <w:rPr>
          <w:i/>
          <w:iCs/>
        </w:rPr>
        <w:t>la revisión jurisdiccional de los aspectos discrecionales de la potestad de planeamiento ha de descansar, en primer término, en la verificación de la realidad de los hechos, pues la existencia y las características de éstos escapan a toda discrecionalidad, ya que son tal como la realidad los exterioriza; y, en segundo lugar, en la valoración de si la decisión planificadora discrecional guarda coherencia lógica con aquéllos, de suerte que cuando se aprecie una incongruencia o discordancia de la solución elegida con la realidad que integra su presupuesto, tal decisión resultará viciada por infringir el ordenamiento jurídico y más concretamente el principio de interdicción de la arbitrariedad de los poderes públicos</w:t>
      </w:r>
      <w:r w:rsidRPr="004013D0">
        <w:t>”. Para atacar el ejercicio que de esta discrecionalidad realice la administración, será necesario acreditar que se ha incurrido en ilegalidad, error de hecho o desviación de poder, aportando al proceso una prueba mínimamente concluyente que acredite alguna de esas situaciones.</w:t>
      </w:r>
    </w:p>
    <w:p w14:paraId="13E60F93" w14:textId="77777777" w:rsidR="007721B6" w:rsidRPr="004013D0" w:rsidRDefault="007721B6" w:rsidP="007721B6">
      <w:pPr>
        <w:ind w:firstLine="708"/>
        <w:jc w:val="both"/>
      </w:pPr>
    </w:p>
    <w:p w14:paraId="7BF02B7A" w14:textId="21C06CB7" w:rsidR="007721B6" w:rsidRPr="004013D0" w:rsidRDefault="007721B6" w:rsidP="007721B6">
      <w:pPr>
        <w:ind w:firstLine="708"/>
        <w:jc w:val="both"/>
        <w:rPr>
          <w:i/>
          <w:iCs/>
        </w:rPr>
      </w:pPr>
      <w:r w:rsidRPr="004013D0">
        <w:t xml:space="preserve">Algo parecido ocurre con los recursos contenciosos planteados contra la </w:t>
      </w:r>
      <w:r w:rsidRPr="004013D0">
        <w:rPr>
          <w:u w:val="single"/>
        </w:rPr>
        <w:t>denegación administrativa de licencias urbanísticas</w:t>
      </w:r>
      <w:r w:rsidR="00B671C6" w:rsidRPr="004013D0">
        <w:t xml:space="preserve">. En alguna extraña decisión judicial </w:t>
      </w:r>
      <w:r w:rsidRPr="004013D0">
        <w:t>incluso se extrapola, a nuestro juicio, con flagrante error, lo dispuesto en la ya desaparecida previsión normativa de la Ley 30/1992, de 26 de noviembre, de Régimen Jurídico de las Administraciones Públicas y del Procedimiento Administrativo Común, cuando en su artículo 137.3, relativo a la “</w:t>
      </w:r>
      <w:r w:rsidRPr="004013D0">
        <w:rPr>
          <w:i/>
          <w:iCs/>
        </w:rPr>
        <w:t>presunción de inocencia</w:t>
      </w:r>
      <w:r w:rsidRPr="004013D0">
        <w:t>” como principio inspirador en materia sancionadora, señalaba que “</w:t>
      </w:r>
      <w:r w:rsidRPr="004013D0">
        <w:rPr>
          <w:i/>
          <w:iCs/>
        </w:rPr>
        <w:t xml:space="preserve">los hechos constatados por funcionarios a los que se reconoce la condición de autoridad, y que se formalicen en documento público observando los requisitos legales pertinentes, tendrán valor </w:t>
      </w:r>
      <w:r w:rsidRPr="004013D0">
        <w:rPr>
          <w:i/>
          <w:iCs/>
        </w:rPr>
        <w:lastRenderedPageBreak/>
        <w:t>probatorio sin perjuicio de las pruebas que en defensa de los respectivos derechos o intereses puedan señalar o aportar los propios administrados”.</w:t>
      </w:r>
      <w:r w:rsidRPr="004013D0">
        <w:rPr>
          <w:i/>
          <w:iCs/>
          <w:vertAlign w:val="superscript"/>
        </w:rPr>
        <w:footnoteReference w:id="25"/>
      </w:r>
    </w:p>
    <w:p w14:paraId="47C0E68C" w14:textId="77777777" w:rsidR="007721B6" w:rsidRPr="004013D0" w:rsidRDefault="007721B6" w:rsidP="007721B6">
      <w:pPr>
        <w:jc w:val="both"/>
      </w:pPr>
    </w:p>
    <w:p w14:paraId="4E59732F" w14:textId="77777777" w:rsidR="007721B6" w:rsidRPr="004013D0" w:rsidRDefault="007721B6" w:rsidP="007721B6">
      <w:pPr>
        <w:ind w:firstLine="708"/>
        <w:jc w:val="both"/>
      </w:pPr>
      <w:r w:rsidRPr="004013D0">
        <w:t>Y, por último, no podemos olvidarnos de otras dos materias cuya repercusión en la práctica jurídica no es desdeñable. Nos referimos:</w:t>
      </w:r>
    </w:p>
    <w:p w14:paraId="58A4A23F" w14:textId="77777777" w:rsidR="007721B6" w:rsidRPr="004013D0" w:rsidRDefault="007721B6" w:rsidP="007721B6">
      <w:pPr>
        <w:ind w:firstLine="708"/>
        <w:jc w:val="both"/>
      </w:pPr>
    </w:p>
    <w:p w14:paraId="3EF1325D" w14:textId="7B7909FF" w:rsidR="007721B6" w:rsidRPr="004013D0" w:rsidRDefault="007721B6" w:rsidP="007721B6">
      <w:pPr>
        <w:numPr>
          <w:ilvl w:val="0"/>
          <w:numId w:val="1"/>
        </w:numPr>
        <w:contextualSpacing/>
        <w:jc w:val="both"/>
      </w:pPr>
      <w:r w:rsidRPr="004013D0">
        <w:t xml:space="preserve">Por un lado, a situaciones de </w:t>
      </w:r>
      <w:r w:rsidRPr="004013D0">
        <w:rPr>
          <w:u w:val="single"/>
        </w:rPr>
        <w:t>ruina urbanística</w:t>
      </w:r>
      <w:r w:rsidRPr="004013D0">
        <w:t>, donde se llega a señalar en no pocas ocasiones que</w:t>
      </w:r>
      <w:r w:rsidR="004013D0">
        <w:t>,</w:t>
      </w:r>
      <w:r w:rsidRPr="004013D0">
        <w:t xml:space="preserve"> por la dinámica normal de estos procedimientos, ante una eventual contradicción informativa, el único informe que tiene una cierta dosis de presumible objetividad es el que emana de la administración municipal, y precisamente, en virtud de esa mayor imparcialidad, que se presume, debe ser el que debe prevalecer.</w:t>
      </w:r>
      <w:r w:rsidRPr="004013D0">
        <w:rPr>
          <w:vertAlign w:val="superscript"/>
        </w:rPr>
        <w:footnoteReference w:id="26"/>
      </w:r>
    </w:p>
    <w:p w14:paraId="4625EDB4" w14:textId="77777777" w:rsidR="007721B6" w:rsidRPr="004013D0" w:rsidRDefault="007721B6" w:rsidP="007721B6">
      <w:pPr>
        <w:ind w:left="1068"/>
        <w:contextualSpacing/>
        <w:jc w:val="both"/>
      </w:pPr>
    </w:p>
    <w:p w14:paraId="381CFD04" w14:textId="4E3AF15E" w:rsidR="007721B6" w:rsidRPr="004013D0" w:rsidRDefault="007721B6" w:rsidP="007721B6">
      <w:pPr>
        <w:numPr>
          <w:ilvl w:val="0"/>
          <w:numId w:val="1"/>
        </w:numPr>
        <w:contextualSpacing/>
        <w:jc w:val="both"/>
      </w:pPr>
      <w:r w:rsidRPr="004013D0">
        <w:t xml:space="preserve">Y, por otro, en </w:t>
      </w:r>
      <w:r w:rsidRPr="004013D0">
        <w:rPr>
          <w:u w:val="single"/>
        </w:rPr>
        <w:t>sanciones urbanísticas por obras ilegales</w:t>
      </w:r>
      <w:r w:rsidRPr="004013D0">
        <w:t xml:space="preserve">, y donde no basta la pericial de la actora, frente a la comprobación técnica efectuada por la administración, que prevalece sobre la base de que quien realiza esta última son los empleados al servicio de la administración, quienes actúan </w:t>
      </w:r>
      <w:r w:rsidR="004013D0" w:rsidRPr="004013D0">
        <w:t>de acuerdo con</w:t>
      </w:r>
      <w:r w:rsidRPr="004013D0">
        <w:t xml:space="preserve"> principios de imparcialidad y especialización</w:t>
      </w:r>
      <w:r w:rsidRPr="004013D0">
        <w:rPr>
          <w:vertAlign w:val="superscript"/>
        </w:rPr>
        <w:footnoteReference w:id="27"/>
      </w:r>
      <w:r w:rsidRPr="004013D0">
        <w:t>.</w:t>
      </w:r>
    </w:p>
    <w:p w14:paraId="4B234823" w14:textId="77777777" w:rsidR="007721B6" w:rsidRPr="004013D0" w:rsidRDefault="007721B6" w:rsidP="007721B6">
      <w:pPr>
        <w:ind w:left="720"/>
        <w:contextualSpacing/>
      </w:pPr>
    </w:p>
    <w:p w14:paraId="0C995A86" w14:textId="310A3DD8" w:rsidR="007721B6" w:rsidRPr="004013D0" w:rsidRDefault="004013D0" w:rsidP="007721B6">
      <w:pPr>
        <w:ind w:firstLine="708"/>
        <w:jc w:val="both"/>
      </w:pPr>
      <w:r w:rsidRPr="004013D0">
        <w:t>Los referidos reductos doctrinales</w:t>
      </w:r>
      <w:r w:rsidR="007721B6" w:rsidRPr="004013D0">
        <w:t xml:space="preserve"> constituyen un botón de muestra de la consolidada doctrina jurisprudencial que ha venido acogiendo con sorprendente uniformidad la preeminencia de los informes técnicos emitidos por funcionarios de la administración pública -aunque esta fuera parte del proceso en marcha-, frente a otros dictámenes.</w:t>
      </w:r>
      <w:r>
        <w:t xml:space="preserve"> </w:t>
      </w:r>
      <w:r w:rsidR="007721B6" w:rsidRPr="004013D0">
        <w:t xml:space="preserve">Normalmente, esta situación de superioridad valorativa se ha producido, en la práctica jurídica, cuando los tribunales de justicia no han sabido -o no han querido saber- resolver con </w:t>
      </w:r>
      <w:r w:rsidR="00B671C6" w:rsidRPr="004013D0">
        <w:t xml:space="preserve">otra perspectiva distinta a la dominante, con otro juicio </w:t>
      </w:r>
      <w:r w:rsidRPr="004013D0">
        <w:t>“técnico</w:t>
      </w:r>
      <w:r w:rsidR="00B671C6" w:rsidRPr="004013D0">
        <w:t>”,</w:t>
      </w:r>
      <w:r w:rsidR="007721B6" w:rsidRPr="004013D0">
        <w:t xml:space="preserve"> la disputa en curso, acogiéndose a esta ficticia “</w:t>
      </w:r>
      <w:r w:rsidR="007721B6" w:rsidRPr="004013D0">
        <w:rPr>
          <w:i/>
          <w:iCs/>
        </w:rPr>
        <w:t>presunción de validez</w:t>
      </w:r>
      <w:r w:rsidR="007721B6" w:rsidRPr="004013D0">
        <w:t>” de los informes técnicos administrativos para solventar el asunto.</w:t>
      </w:r>
    </w:p>
    <w:p w14:paraId="723286AA" w14:textId="77777777" w:rsidR="007721B6" w:rsidRPr="004013D0" w:rsidRDefault="007721B6" w:rsidP="007721B6">
      <w:pPr>
        <w:ind w:firstLine="708"/>
        <w:jc w:val="both"/>
      </w:pPr>
    </w:p>
    <w:p w14:paraId="372BD434" w14:textId="5EA7C1CD" w:rsidR="00B671C6" w:rsidRPr="004013D0" w:rsidRDefault="007721B6" w:rsidP="00B671C6">
      <w:pPr>
        <w:ind w:firstLine="708"/>
        <w:jc w:val="both"/>
      </w:pPr>
      <w:r w:rsidRPr="004013D0">
        <w:t xml:space="preserve">Pero esta </w:t>
      </w:r>
      <w:r w:rsidR="00B671C6" w:rsidRPr="004013D0">
        <w:t>orientación parece que va a mudar</w:t>
      </w:r>
      <w:r w:rsidRPr="004013D0">
        <w:t xml:space="preserve">, </w:t>
      </w:r>
      <w:r w:rsidR="00B671C6" w:rsidRPr="004013D0">
        <w:t xml:space="preserve">que se va a </w:t>
      </w:r>
      <w:r w:rsidR="00A344E1" w:rsidRPr="004013D0">
        <w:t xml:space="preserve">rectificar </w:t>
      </w:r>
      <w:r w:rsidRPr="004013D0">
        <w:t>a la luz de la sentencia objeto de este comentario. Cierto sector doctrinal ya lo requería</w:t>
      </w:r>
      <w:r w:rsidRPr="004013D0">
        <w:rPr>
          <w:vertAlign w:val="superscript"/>
        </w:rPr>
        <w:footnoteReference w:id="28"/>
      </w:r>
      <w:r w:rsidRPr="004013D0">
        <w:t xml:space="preserve">, </w:t>
      </w:r>
      <w:r w:rsidR="004013D0">
        <w:t>aunque</w:t>
      </w:r>
      <w:r w:rsidRPr="004013D0">
        <w:t xml:space="preserve"> ahora se ha certificado jurisprudencialmente. </w:t>
      </w:r>
      <w:r w:rsidR="00B671C6" w:rsidRPr="004013D0">
        <w:t>Porque, en aplicación de las arriba referidas normas procesales, esto no debiera suceder; la preeminencia de los informes “oficiales” debe rechazarse como criterio preferente. Deben regir otros aspectos, tanto subjetivos (competencia o reconocimiento profesional) como objetivos (rigor y fundamento del dictamen), que en conjunto considerados deben formar la convicción del juez en torno a la probanza de los hechos discutidos.</w:t>
      </w:r>
    </w:p>
    <w:p w14:paraId="204BC7F4" w14:textId="1642A154" w:rsidR="00A344E1" w:rsidRPr="004013D0" w:rsidRDefault="00A344E1" w:rsidP="00B671C6">
      <w:pPr>
        <w:ind w:firstLine="708"/>
        <w:jc w:val="both"/>
      </w:pPr>
    </w:p>
    <w:p w14:paraId="1533C426" w14:textId="77777777" w:rsidR="00A344E1" w:rsidRPr="004013D0" w:rsidRDefault="00A344E1" w:rsidP="00B671C6">
      <w:pPr>
        <w:ind w:firstLine="708"/>
        <w:jc w:val="both"/>
      </w:pPr>
    </w:p>
    <w:p w14:paraId="17652C9C" w14:textId="2778AC8E" w:rsidR="007721B6" w:rsidRPr="004013D0" w:rsidRDefault="007721B6" w:rsidP="007721B6">
      <w:pPr>
        <w:ind w:firstLine="708"/>
        <w:jc w:val="both"/>
      </w:pPr>
    </w:p>
    <w:p w14:paraId="1F6D1219" w14:textId="77777777" w:rsidR="007721B6" w:rsidRPr="004013D0" w:rsidRDefault="007721B6" w:rsidP="007721B6">
      <w:pPr>
        <w:jc w:val="both"/>
        <w:rPr>
          <w:b/>
          <w:bCs/>
          <w:u w:val="single"/>
        </w:rPr>
      </w:pPr>
    </w:p>
    <w:p w14:paraId="365C101D" w14:textId="158BDB9B" w:rsidR="007721B6" w:rsidRDefault="007721B6" w:rsidP="007721B6">
      <w:pPr>
        <w:ind w:firstLine="708"/>
        <w:jc w:val="both"/>
        <w:rPr>
          <w:b/>
          <w:bCs/>
          <w:u w:val="single"/>
        </w:rPr>
      </w:pPr>
      <w:r w:rsidRPr="004013D0">
        <w:rPr>
          <w:b/>
          <w:bCs/>
          <w:u w:val="single"/>
        </w:rPr>
        <w:t xml:space="preserve">V.- La STS de 17 de febrero de 2022 </w:t>
      </w:r>
      <w:r w:rsidR="006313BC">
        <w:rPr>
          <w:b/>
          <w:bCs/>
          <w:u w:val="single"/>
        </w:rPr>
        <w:t>y su inferencia según los</w:t>
      </w:r>
      <w:r w:rsidRPr="004013D0">
        <w:rPr>
          <w:b/>
          <w:bCs/>
          <w:u w:val="single"/>
        </w:rPr>
        <w:t xml:space="preserve"> distintos ámbitos</w:t>
      </w:r>
      <w:r w:rsidR="006313BC">
        <w:rPr>
          <w:b/>
          <w:bCs/>
          <w:u w:val="single"/>
        </w:rPr>
        <w:t>; en especial, en la expropiación forzosa.</w:t>
      </w:r>
      <w:r w:rsidRPr="004013D0">
        <w:rPr>
          <w:b/>
          <w:bCs/>
          <w:u w:val="single"/>
        </w:rPr>
        <w:t xml:space="preserve">  </w:t>
      </w:r>
    </w:p>
    <w:p w14:paraId="31748CAC" w14:textId="77777777" w:rsidR="00D33D0B" w:rsidRPr="004013D0" w:rsidRDefault="00D33D0B" w:rsidP="007721B6">
      <w:pPr>
        <w:ind w:firstLine="708"/>
        <w:jc w:val="both"/>
        <w:rPr>
          <w:b/>
          <w:bCs/>
          <w:u w:val="single"/>
        </w:rPr>
      </w:pPr>
    </w:p>
    <w:p w14:paraId="04E309DF" w14:textId="77777777" w:rsidR="007721B6" w:rsidRPr="004013D0" w:rsidRDefault="007721B6" w:rsidP="007721B6">
      <w:pPr>
        <w:ind w:firstLine="708"/>
        <w:jc w:val="both"/>
        <w:rPr>
          <w:b/>
          <w:bCs/>
          <w:u w:val="single"/>
        </w:rPr>
      </w:pPr>
    </w:p>
    <w:p w14:paraId="14FE619E" w14:textId="77777777" w:rsidR="007721B6" w:rsidRPr="004013D0" w:rsidRDefault="007721B6" w:rsidP="007721B6">
      <w:pPr>
        <w:ind w:firstLine="708"/>
        <w:jc w:val="both"/>
      </w:pPr>
      <w:r w:rsidRPr="004013D0">
        <w:t>Debemos partir de la premisa, no baladí, que la corriente jurisprudencial que otorgaba prevalencia a los informes técnicos suscritos por funcionarios públicos, por la presunción de veracidad e imparcialidad que en un principio podría parecer que ostentaban quienes los suscribían, no era “</w:t>
      </w:r>
      <w:r w:rsidRPr="004013D0">
        <w:rPr>
          <w:i/>
        </w:rPr>
        <w:t>iure et de iure</w:t>
      </w:r>
      <w:r w:rsidRPr="004013D0">
        <w:t>”, sino “</w:t>
      </w:r>
      <w:r w:rsidRPr="004013D0">
        <w:rPr>
          <w:i/>
        </w:rPr>
        <w:t>iuris tantum</w:t>
      </w:r>
      <w:r w:rsidRPr="004013D0">
        <w:t>”, valiendo prueba en contrario que la desvirtúe en caso de que se pruebe su falta de veracidad, pues “</w:t>
      </w:r>
      <w:r w:rsidRPr="004013D0">
        <w:rPr>
          <w:i/>
          <w:u w:val="single"/>
        </w:rPr>
        <w:t>los informes deben ser valorados considerándolos en su conjunto, sin que el valor preferente que pueda atribuirse a alguno de ellos pueda llegar al extremo de su exclusiva contemplación</w:t>
      </w:r>
      <w:r w:rsidRPr="004013D0">
        <w:t>”</w:t>
      </w:r>
      <w:r w:rsidRPr="004013D0">
        <w:rPr>
          <w:vertAlign w:val="superscript"/>
        </w:rPr>
        <w:footnoteReference w:id="29"/>
      </w:r>
      <w:r w:rsidRPr="004013D0">
        <w:t xml:space="preserve">. </w:t>
      </w:r>
    </w:p>
    <w:p w14:paraId="7DF3A750" w14:textId="77777777" w:rsidR="007721B6" w:rsidRPr="004013D0" w:rsidRDefault="007721B6" w:rsidP="007721B6">
      <w:pPr>
        <w:ind w:firstLine="708"/>
        <w:jc w:val="both"/>
      </w:pPr>
    </w:p>
    <w:p w14:paraId="07669BC1" w14:textId="449E4901" w:rsidR="007721B6" w:rsidRPr="004013D0" w:rsidRDefault="00A344E1" w:rsidP="007721B6">
      <w:pPr>
        <w:ind w:firstLine="708"/>
        <w:jc w:val="both"/>
      </w:pPr>
      <w:r w:rsidRPr="004013D0">
        <w:t>Acaba de anunciarse:</w:t>
      </w:r>
      <w:r w:rsidR="007721B6" w:rsidRPr="004013D0">
        <w:t xml:space="preserve"> esta corriente jurisprudencial ha sufrido un vuelco con ocasión de la reciente STS de 17 de febrero de 2022, recurso de casación 5631/2019, objeto de este comentario.</w:t>
      </w:r>
    </w:p>
    <w:p w14:paraId="0671FFFA" w14:textId="77777777" w:rsidR="007721B6" w:rsidRPr="004013D0" w:rsidRDefault="007721B6" w:rsidP="007721B6">
      <w:pPr>
        <w:jc w:val="both"/>
      </w:pPr>
    </w:p>
    <w:p w14:paraId="5E75CA86" w14:textId="747DF786" w:rsidR="007721B6" w:rsidRPr="004013D0" w:rsidRDefault="007721B6" w:rsidP="007721B6">
      <w:pPr>
        <w:ind w:firstLine="708"/>
        <w:jc w:val="both"/>
      </w:pPr>
      <w:r w:rsidRPr="004013D0">
        <w:t xml:space="preserve">La cuestión que presentaba interés casacional objetivo ya </w:t>
      </w:r>
      <w:r w:rsidR="004013D0" w:rsidRPr="004013D0">
        <w:t>relatada,</w:t>
      </w:r>
      <w:r w:rsidRPr="004013D0">
        <w:t xml:space="preserve"> pero de necesario recuerdo, era relativa a la "</w:t>
      </w:r>
      <w:r w:rsidRPr="004013D0">
        <w:rPr>
          <w:i/>
        </w:rPr>
        <w:t xml:space="preserve">naturaleza y valor probatorio de los informes de la Administración obrantes en el expediente administrativo más los aportados en sede </w:t>
      </w:r>
      <w:r w:rsidRPr="004013D0">
        <w:rPr>
          <w:i/>
        </w:rPr>
        <w:lastRenderedPageBreak/>
        <w:t>judicial como pericial, todos elaborados por funcionarios o técnicos de la Administración</w:t>
      </w:r>
      <w:r w:rsidRPr="004013D0">
        <w:t>".</w:t>
      </w:r>
    </w:p>
    <w:p w14:paraId="67E75310" w14:textId="77777777" w:rsidR="007721B6" w:rsidRPr="004013D0" w:rsidRDefault="007721B6" w:rsidP="007721B6">
      <w:pPr>
        <w:ind w:firstLine="708"/>
        <w:jc w:val="both"/>
      </w:pPr>
    </w:p>
    <w:p w14:paraId="306A8B98" w14:textId="076372EC" w:rsidR="007721B6" w:rsidRPr="004013D0" w:rsidRDefault="007721B6" w:rsidP="007721B6">
      <w:pPr>
        <w:ind w:firstLine="708"/>
        <w:jc w:val="both"/>
      </w:pPr>
      <w:r w:rsidRPr="004013D0">
        <w:t xml:space="preserve">Tras recordar que, en el derecho administrativo, en materia de prueba no hay reglas que otorguen un mayor o menor valor a los informes periciales, señala que, por lo tanto, había que estar a las reglas del proceso civil, esto es, valorándose según las reglas de la sana crítica, ex artículo 348 LEC. Ello no implica que el dictamen pericial sea una prueba tasada o legal, cuya fuerza está predeterminada por la ley y no puede ser destruida por otros medios.  </w:t>
      </w:r>
    </w:p>
    <w:p w14:paraId="0D3C8D1F" w14:textId="66FE9961" w:rsidR="00A344E1" w:rsidRPr="004013D0" w:rsidRDefault="00A344E1" w:rsidP="007721B6">
      <w:pPr>
        <w:ind w:firstLine="708"/>
        <w:jc w:val="both"/>
      </w:pPr>
    </w:p>
    <w:p w14:paraId="504F0424" w14:textId="7808CA76" w:rsidR="00A344E1" w:rsidRPr="004013D0" w:rsidRDefault="00A344E1" w:rsidP="007721B6">
      <w:pPr>
        <w:ind w:firstLine="708"/>
        <w:jc w:val="both"/>
      </w:pPr>
      <w:r w:rsidRPr="004013D0">
        <w:t>En concreto, y e</w:t>
      </w:r>
      <w:r w:rsidR="004013D0">
        <w:t>n</w:t>
      </w:r>
      <w:r w:rsidRPr="004013D0">
        <w:t xml:space="preserve"> torno a la decisión concreta del fallo del TS respecto de la doctrina a seguir en el futuro, reza así:</w:t>
      </w:r>
    </w:p>
    <w:p w14:paraId="4D78F816" w14:textId="34D233A4" w:rsidR="00A344E1" w:rsidRPr="004013D0" w:rsidRDefault="00A344E1" w:rsidP="007721B6">
      <w:pPr>
        <w:ind w:firstLine="708"/>
        <w:jc w:val="both"/>
      </w:pPr>
    </w:p>
    <w:p w14:paraId="2375DF14" w14:textId="02FA278D" w:rsidR="001F7A32" w:rsidRPr="001F7A32" w:rsidRDefault="001F7A32" w:rsidP="001F7A32">
      <w:pPr>
        <w:ind w:left="708"/>
        <w:jc w:val="both"/>
        <w:rPr>
          <w:rStyle w:val="nfasis"/>
        </w:rPr>
      </w:pPr>
      <w:r>
        <w:rPr>
          <w:rStyle w:val="nfasis"/>
        </w:rPr>
        <w:t>“</w:t>
      </w:r>
      <w:r w:rsidRPr="001F7A32">
        <w:rPr>
          <w:rStyle w:val="nfasis"/>
        </w:rPr>
        <w:t xml:space="preserve">OCTAVO.- Aplicando cuanto se ha expuesto, </w:t>
      </w:r>
      <w:bookmarkStart w:id="1" w:name="I145"/>
      <w:bookmarkEnd w:id="1"/>
      <w:r w:rsidRPr="001F7A32">
        <w:rPr>
          <w:rStyle w:val="nfasis"/>
        </w:rPr>
        <w:t xml:space="preserve">el presente recurso de casación debe ser acogido, pues la sentencia impugnada no ha observado la exigencia establecida en el art. 348 de la Ley de Enjuiciamiento Civil de valorar los dictámenes periciales según las reglas de la sana crítica. </w:t>
      </w:r>
    </w:p>
    <w:p w14:paraId="7BFBB849" w14:textId="77777777" w:rsidR="001F7A32" w:rsidRPr="001F7A32" w:rsidRDefault="001F7A32" w:rsidP="001F7A32">
      <w:pPr>
        <w:ind w:firstLine="708"/>
        <w:jc w:val="both"/>
        <w:rPr>
          <w:rStyle w:val="nfasis"/>
        </w:rPr>
      </w:pPr>
    </w:p>
    <w:p w14:paraId="02D9C74D" w14:textId="77777777" w:rsidR="001F7A32" w:rsidRPr="001F7A32" w:rsidRDefault="001F7A32" w:rsidP="001F7A32">
      <w:pPr>
        <w:ind w:left="708"/>
        <w:jc w:val="both"/>
        <w:rPr>
          <w:rStyle w:val="nfasis"/>
        </w:rPr>
      </w:pPr>
      <w:r w:rsidRPr="001F7A32">
        <w:rPr>
          <w:rStyle w:val="nfasis"/>
        </w:rPr>
        <w:t>Tal como se indicó al exponer los antecedentes del asunto, l</w:t>
      </w:r>
      <w:bookmarkStart w:id="2" w:name="I147"/>
      <w:bookmarkEnd w:id="2"/>
      <w:r w:rsidRPr="001F7A32">
        <w:rPr>
          <w:rStyle w:val="nfasis"/>
        </w:rPr>
        <w:t xml:space="preserve">a sentencia impugnada no hace ningún análisis comparativo de los argumentos desarrollados en los distintos informes y dictámenes recogidos en las actuaciones. Sin cuestionar la capacitación técnica de sus autores, basa su decisión fundamentalmente en una pretendida "mayor objetividad e imparcialidad" de los expertos al servicio de la Administración. Y esto, como se ha visto, no es lo que la ley requiere. La sentencia impugnada habría debido examinar la mayor o menor solidez de cada uno de los dictámenes periciales, teniendo en cuenta sus fuentes, su desarrollo expositivo, e incluso el prestigio profesional su autor. </w:t>
      </w:r>
      <w:bookmarkStart w:id="3" w:name="I149"/>
      <w:bookmarkEnd w:id="3"/>
      <w:r w:rsidRPr="001F7A32">
        <w:rPr>
          <w:rStyle w:val="nfasis"/>
        </w:rPr>
        <w:t>Limitándose a decir que cuando concurren un experto privado y uno de la Administración debe darse mayor credibilidad a éste último, la sentencia impugnada no sólo no aporta una motivación suficiente del modo en que se ha formado su convicción sobre los hechos, sino -lo que es peor- termina por otorgar implícitamente el carácter de prueba tasada o legal a los dictámenes e informes provenientes de la Administración.</w:t>
      </w:r>
    </w:p>
    <w:p w14:paraId="77BF9555" w14:textId="77777777" w:rsidR="001F7A32" w:rsidRPr="001F7A32" w:rsidRDefault="001F7A32" w:rsidP="001F7A32">
      <w:pPr>
        <w:ind w:firstLine="708"/>
        <w:jc w:val="both"/>
        <w:rPr>
          <w:rStyle w:val="nfasis"/>
        </w:rPr>
      </w:pPr>
    </w:p>
    <w:p w14:paraId="0BD0DF36" w14:textId="53EE07B3" w:rsidR="001F7A32" w:rsidRPr="001F7A32" w:rsidRDefault="001F7A32" w:rsidP="001F7A32">
      <w:pPr>
        <w:ind w:left="708"/>
        <w:jc w:val="both"/>
        <w:rPr>
          <w:i/>
          <w:iCs/>
        </w:rPr>
      </w:pPr>
      <w:r w:rsidRPr="001F7A32">
        <w:rPr>
          <w:rStyle w:val="nfasis"/>
        </w:rPr>
        <w:t>(…) Por ello, el presente recurso de casación debe prosperar, con la consiguiente anulación de la sentencia impugnada”.</w:t>
      </w:r>
    </w:p>
    <w:p w14:paraId="509B3D42" w14:textId="77777777" w:rsidR="00A344E1" w:rsidRPr="004013D0" w:rsidRDefault="00A344E1" w:rsidP="007721B6">
      <w:pPr>
        <w:ind w:firstLine="708"/>
        <w:jc w:val="both"/>
      </w:pPr>
    </w:p>
    <w:p w14:paraId="027A0696" w14:textId="77777777" w:rsidR="007721B6" w:rsidRPr="004013D0" w:rsidRDefault="007721B6" w:rsidP="007721B6">
      <w:pPr>
        <w:jc w:val="both"/>
        <w:rPr>
          <w:b/>
        </w:rPr>
      </w:pPr>
    </w:p>
    <w:p w14:paraId="1E5B5D18" w14:textId="77777777" w:rsidR="007721B6" w:rsidRPr="004013D0" w:rsidRDefault="007721B6" w:rsidP="007721B6">
      <w:pPr>
        <w:jc w:val="both"/>
      </w:pPr>
      <w:r w:rsidRPr="004013D0">
        <w:tab/>
        <w:t xml:space="preserve">Pero no se queda ahí, pues una vez realizadas estas primeras aproximaciones, entiende necesario realizar tres consideraciones adicionales a fin de dar cumplida prueba al interés casacional objetivo para la formación de la jurisprudencia. </w:t>
      </w:r>
      <w:r w:rsidRPr="004013D0">
        <w:tab/>
      </w:r>
    </w:p>
    <w:p w14:paraId="320F28D4" w14:textId="77777777" w:rsidR="007721B6" w:rsidRPr="004013D0" w:rsidRDefault="007721B6" w:rsidP="007721B6">
      <w:pPr>
        <w:jc w:val="both"/>
      </w:pPr>
    </w:p>
    <w:p w14:paraId="0A9E25F6" w14:textId="77777777" w:rsidR="007721B6" w:rsidRPr="004013D0" w:rsidRDefault="007721B6" w:rsidP="007721B6">
      <w:pPr>
        <w:ind w:firstLine="708"/>
        <w:jc w:val="both"/>
      </w:pPr>
      <w:r w:rsidRPr="004013D0">
        <w:rPr>
          <w:u w:val="single"/>
        </w:rPr>
        <w:t>La primera</w:t>
      </w:r>
      <w:r w:rsidRPr="004013D0">
        <w:t xml:space="preserve"> es que no es lo mismo que un informe o dictamen emanado de la Administración se haga valer como medio de prueba en un litigio entre terceros o en un litigio en que esa misma Administración es parte. En este último supuesto, no tiene sentido decir que el informe o dictamen goza de imparcialidad y, por ello, merece un </w:t>
      </w:r>
      <w:r w:rsidRPr="004013D0">
        <w:rPr>
          <w:i/>
          <w:iCs/>
        </w:rPr>
        <w:t xml:space="preserve">plus </w:t>
      </w:r>
      <w:r w:rsidRPr="004013D0">
        <w:t xml:space="preserve">de credibilidad: </w:t>
      </w:r>
      <w:r w:rsidRPr="004013D0">
        <w:rPr>
          <w:u w:val="single"/>
        </w:rPr>
        <w:t>quien es parte no es imparcial</w:t>
      </w:r>
      <w:r w:rsidRPr="004013D0">
        <w:t>. Además, cuando esto ocurre, el dato es relevante, pues exige no eludir la proveniencia puramente administrativa del informe o dictamen, examinando hasta qué punto ello ha podido influir en las conclusiones periciales.</w:t>
      </w:r>
    </w:p>
    <w:p w14:paraId="7022F2C8" w14:textId="77777777" w:rsidR="007721B6" w:rsidRPr="004013D0" w:rsidRDefault="007721B6" w:rsidP="007721B6">
      <w:pPr>
        <w:ind w:firstLine="708"/>
        <w:jc w:val="both"/>
      </w:pPr>
    </w:p>
    <w:p w14:paraId="07C8C724" w14:textId="69108801" w:rsidR="007721B6" w:rsidRPr="004013D0" w:rsidRDefault="007721B6" w:rsidP="007721B6">
      <w:pPr>
        <w:ind w:firstLine="708"/>
        <w:jc w:val="both"/>
      </w:pPr>
      <w:r w:rsidRPr="004013D0">
        <w:rPr>
          <w:u w:val="single"/>
        </w:rPr>
        <w:t>La segunda</w:t>
      </w:r>
      <w:r w:rsidRPr="004013D0">
        <w:t xml:space="preserve">, en conexión con la </w:t>
      </w:r>
      <w:r w:rsidR="00A344E1" w:rsidRPr="004013D0">
        <w:t>anterior,</w:t>
      </w:r>
      <w:r w:rsidRPr="004013D0">
        <w:t xml:space="preserve"> es que no todos los expertos al servicio de la Administración se encuentran en una misma situación de dependencia con respecto al órgano administrativo llamado a decidir. No es lo mismo un funcionario inserto en la estructura jerárquica de la Administración activa que alguien que –aun habiendo sido designado para el cargo por una autoridad administrativa- trabaja en entidades u organismos dotados de cierta autonomía con respecto a la Administración act</w:t>
      </w:r>
      <w:r w:rsidR="00A344E1" w:rsidRPr="004013D0">
        <w:t>uante</w:t>
      </w:r>
      <w:r w:rsidRPr="004013D0">
        <w:t>.</w:t>
      </w:r>
    </w:p>
    <w:p w14:paraId="3C8C5385" w14:textId="77777777" w:rsidR="007721B6" w:rsidRPr="004013D0" w:rsidRDefault="007721B6" w:rsidP="007721B6">
      <w:pPr>
        <w:ind w:firstLine="708"/>
        <w:jc w:val="both"/>
      </w:pPr>
    </w:p>
    <w:p w14:paraId="6E6CEBEE" w14:textId="3E62A2E9" w:rsidR="007721B6" w:rsidRPr="004013D0" w:rsidRDefault="007721B6" w:rsidP="007721B6">
      <w:pPr>
        <w:ind w:firstLine="708"/>
        <w:jc w:val="both"/>
      </w:pPr>
      <w:r w:rsidRPr="004013D0">
        <w:rPr>
          <w:u w:val="single"/>
        </w:rPr>
        <w:t>Y la tercera</w:t>
      </w:r>
      <w:r w:rsidRPr="004013D0">
        <w:t xml:space="preserve"> es que hay supuestos en que los informes de funcion</w:t>
      </w:r>
      <w:r w:rsidR="00AB433E" w:rsidRPr="004013D0">
        <w:t>arios</w:t>
      </w:r>
      <w:r w:rsidRPr="004013D0">
        <w:t>, aun habiendo sido elaborados por auténticos técnicos, no pueden ser considerados como prueba pericial. Ello ocurre destacadamente cuando las partes no tienen ocasión de pedir explicaciones o aclaraciones (arts. 346 y 347de la Ley de Enjuiciamiento Civil y art. 60 de la Ley de la Jurisdicción Contencioso-Administrativa). Dichos informes no tendrán más valor que el que tengan como documentos administrativos, y como tales habrán de ser valorados.</w:t>
      </w:r>
    </w:p>
    <w:p w14:paraId="63A408C3" w14:textId="77777777" w:rsidR="007721B6" w:rsidRPr="004013D0" w:rsidRDefault="007721B6" w:rsidP="007721B6">
      <w:pPr>
        <w:ind w:firstLine="708"/>
        <w:jc w:val="both"/>
      </w:pPr>
    </w:p>
    <w:p w14:paraId="26F1120F" w14:textId="2198A543" w:rsidR="007721B6" w:rsidRPr="004013D0" w:rsidRDefault="008C6412" w:rsidP="007721B6">
      <w:pPr>
        <w:ind w:firstLine="708"/>
        <w:jc w:val="both"/>
      </w:pPr>
      <w:r w:rsidRPr="004013D0">
        <w:t>C</w:t>
      </w:r>
      <w:r w:rsidR="007721B6" w:rsidRPr="004013D0">
        <w:t xml:space="preserve">omo se ve, </w:t>
      </w:r>
      <w:r w:rsidR="00AB433E" w:rsidRPr="004013D0">
        <w:t xml:space="preserve">el </w:t>
      </w:r>
      <w:r w:rsidR="004013D0" w:rsidRPr="004013D0">
        <w:t>Tribunal</w:t>
      </w:r>
      <w:r w:rsidR="00AB433E" w:rsidRPr="004013D0">
        <w:t xml:space="preserve"> Supremo</w:t>
      </w:r>
      <w:r w:rsidR="007721B6" w:rsidRPr="004013D0">
        <w:t xml:space="preserve"> ha </w:t>
      </w:r>
      <w:r w:rsidR="00AB433E" w:rsidRPr="004013D0">
        <w:t>fijado un nuevo criterio</w:t>
      </w:r>
      <w:r w:rsidR="007721B6" w:rsidRPr="004013D0">
        <w:t xml:space="preserve"> a la hora de ponderar la fuerza probatoria de los informes emitidos por funcionarios públicos. </w:t>
      </w:r>
      <w:r w:rsidR="00AB433E" w:rsidRPr="004013D0">
        <w:t>No hay</w:t>
      </w:r>
      <w:r w:rsidR="007721B6" w:rsidRPr="004013D0">
        <w:t xml:space="preserve"> imparcialidad cuando </w:t>
      </w:r>
      <w:r w:rsidR="00AB433E" w:rsidRPr="004013D0">
        <w:t xml:space="preserve">el dictamen </w:t>
      </w:r>
      <w:r w:rsidR="007721B6" w:rsidRPr="004013D0">
        <w:t>dimana de un funcionario público en situación de dependencia jerárquica, debiendo ser valoradas las periciales según las reglas de la sana crítica.</w:t>
      </w:r>
    </w:p>
    <w:p w14:paraId="094E8E89" w14:textId="77777777" w:rsidR="007721B6" w:rsidRPr="004013D0" w:rsidRDefault="007721B6" w:rsidP="007721B6">
      <w:pPr>
        <w:ind w:firstLine="708"/>
        <w:jc w:val="both"/>
      </w:pPr>
    </w:p>
    <w:p w14:paraId="25BEE361" w14:textId="3FF966BF" w:rsidR="007721B6" w:rsidRPr="004013D0" w:rsidRDefault="007721B6" w:rsidP="007721B6">
      <w:pPr>
        <w:ind w:firstLine="708"/>
        <w:jc w:val="both"/>
      </w:pPr>
      <w:r w:rsidRPr="004013D0">
        <w:t xml:space="preserve">El anterior criterio jurisprudencial </w:t>
      </w:r>
      <w:r w:rsidR="004013D0" w:rsidRPr="004013D0">
        <w:t xml:space="preserve">podrá seguir manteniéndose en </w:t>
      </w:r>
      <w:r w:rsidRPr="004013D0">
        <w:t xml:space="preserve">supuestos en que el informe pericial se hacía valer en un litigio en que la administración pública no es parte, sino que ejercía una suerte de valor arbitral entre terceros; circunstancia que puede tener justificación para atribuir imparcialidad a los expertos de la misma. Pero cuando no sucede así, cuando la administración es parte demandada o codemandada, o </w:t>
      </w:r>
      <w:r w:rsidR="004013D0" w:rsidRPr="004013D0">
        <w:t xml:space="preserve">resultará afectada </w:t>
      </w:r>
      <w:r w:rsidRPr="004013D0">
        <w:t xml:space="preserve">directa o indirectamente </w:t>
      </w:r>
      <w:r w:rsidR="004013D0" w:rsidRPr="004013D0">
        <w:t xml:space="preserve">por </w:t>
      </w:r>
      <w:r w:rsidRPr="004013D0">
        <w:t xml:space="preserve">el resultado del litigio, no puede decirse que </w:t>
      </w:r>
      <w:r w:rsidR="004013D0" w:rsidRPr="004013D0">
        <w:t>su</w:t>
      </w:r>
      <w:r w:rsidRPr="004013D0">
        <w:t xml:space="preserve"> dictamen goce de </w:t>
      </w:r>
      <w:r w:rsidR="004013D0" w:rsidRPr="004013D0">
        <w:t xml:space="preserve">presunción de </w:t>
      </w:r>
      <w:r w:rsidRPr="004013D0">
        <w:t xml:space="preserve">imparcialidad. </w:t>
      </w:r>
    </w:p>
    <w:p w14:paraId="2725D043" w14:textId="77777777" w:rsidR="007721B6" w:rsidRPr="004013D0" w:rsidRDefault="007721B6" w:rsidP="007721B6">
      <w:pPr>
        <w:ind w:firstLine="708"/>
        <w:jc w:val="both"/>
      </w:pPr>
    </w:p>
    <w:p w14:paraId="70B373E0" w14:textId="77777777" w:rsidR="007721B6" w:rsidRPr="004013D0" w:rsidRDefault="007721B6" w:rsidP="007721B6">
      <w:pPr>
        <w:ind w:firstLine="708"/>
        <w:jc w:val="both"/>
      </w:pPr>
      <w:r w:rsidRPr="004013D0">
        <w:t>En la mayor parte de los litigios, donde los representantes legales realizan una buena labor de defensa, se suele contratar a especialistas en la materia, técnicos con cualificación superior y, lógicamente, competencia más que suficiente y sobrada para defender su dictamen. Por tanto, acogerse, como proponía hasta ahora cierto sector de la jurisprudencia, a que los dictámenes de peritos de la administración que se realizan por empleados adscritos a órganos especializados gozan de mayor credibilidad que el resto, ninguna virtualidad debe tener ya, puesto que el resto de las partes procesales, en la mayor parte de las ocasiones, suelen presentar también peritajes emitidos por especialistas, cuya probidad debe quedar fuera de toda duda.</w:t>
      </w:r>
    </w:p>
    <w:p w14:paraId="2F715AE7" w14:textId="77777777" w:rsidR="007721B6" w:rsidRPr="004013D0" w:rsidRDefault="007721B6" w:rsidP="007721B6">
      <w:pPr>
        <w:ind w:firstLine="708"/>
        <w:jc w:val="both"/>
      </w:pPr>
    </w:p>
    <w:p w14:paraId="055E2090" w14:textId="5D42E858" w:rsidR="007721B6" w:rsidRPr="004013D0" w:rsidRDefault="007721B6" w:rsidP="007721B6">
      <w:pPr>
        <w:ind w:firstLine="708"/>
        <w:jc w:val="both"/>
      </w:pPr>
      <w:r w:rsidRPr="004013D0">
        <w:t>Esta nueva línea jurisprudencial debe tener un efecto jurídico importante en todos los ámbitos del derecho administrativo, permitiendo un cambio doctrinal en donde se diluya</w:t>
      </w:r>
      <w:r w:rsidR="004013D0" w:rsidRPr="004013D0">
        <w:t>n</w:t>
      </w:r>
      <w:r w:rsidRPr="004013D0">
        <w:t xml:space="preserve"> definitivamente </w:t>
      </w:r>
      <w:r w:rsidR="004013D0" w:rsidRPr="004013D0">
        <w:t>todas esas</w:t>
      </w:r>
      <w:r w:rsidRPr="004013D0">
        <w:t xml:space="preserve"> presunci</w:t>
      </w:r>
      <w:r w:rsidR="004013D0" w:rsidRPr="004013D0">
        <w:t>ones</w:t>
      </w:r>
      <w:r w:rsidRPr="004013D0">
        <w:t xml:space="preserve"> de veracidad</w:t>
      </w:r>
      <w:r w:rsidR="004013D0" w:rsidRPr="004013D0">
        <w:t>, imparcialidad, legalidad, …</w:t>
      </w:r>
      <w:r w:rsidRPr="004013D0">
        <w:t xml:space="preserve"> </w:t>
      </w:r>
      <w:r w:rsidR="004013D0" w:rsidRPr="004013D0">
        <w:t xml:space="preserve">con las que se </w:t>
      </w:r>
      <w:r w:rsidR="004013D0" w:rsidRPr="004013D0">
        <w:rPr>
          <w:i/>
          <w:iCs/>
        </w:rPr>
        <w:t>premiaban</w:t>
      </w:r>
      <w:r w:rsidRPr="004013D0">
        <w:t xml:space="preserve"> apriorísticamente</w:t>
      </w:r>
      <w:r w:rsidR="004013D0" w:rsidRPr="004013D0">
        <w:t xml:space="preserve"> a </w:t>
      </w:r>
      <w:r w:rsidRPr="004013D0">
        <w:t xml:space="preserve">los actos administrativos </w:t>
      </w:r>
      <w:r w:rsidR="004013D0" w:rsidRPr="004013D0">
        <w:t>que se escudaban en aquellos</w:t>
      </w:r>
      <w:r w:rsidRPr="004013D0">
        <w:t xml:space="preserve"> informes técnicos emitidos por funcionarios públicos. Debe partirse, a colación de la nueva sentencia, de una posición de igualdad procesal entre las partes, ya que el artículo 348 LEC dispone que los dictámenes periciales deben ser valorados conforme a las reglas de la sana crítica.  En pleitos contenciosos en lo que se </w:t>
      </w:r>
      <w:r w:rsidRPr="004013D0">
        <w:lastRenderedPageBreak/>
        <w:t>impugna es una declaración de ruina urbanística</w:t>
      </w:r>
      <w:r w:rsidR="004013D0" w:rsidRPr="004013D0">
        <w:rPr>
          <w:rStyle w:val="Refdenotaalpie"/>
        </w:rPr>
        <w:footnoteReference w:id="30"/>
      </w:r>
      <w:r w:rsidRPr="004013D0">
        <w:t>, una sanción por obras ilegales o una denegación -o concesión- de licencia, no cabe seguir afirmando que la preeminencia de los informes administrativos debe mantenerse porque la actuación administrativa se circunscribe en “</w:t>
      </w:r>
      <w:r w:rsidRPr="004013D0">
        <w:rPr>
          <w:i/>
          <w:iCs/>
        </w:rPr>
        <w:t>defender el interés público</w:t>
      </w:r>
      <w:r w:rsidRPr="004013D0">
        <w:t xml:space="preserve">”. Partiendo como base de que, si se es parte, no se es imparcial, </w:t>
      </w:r>
      <w:r w:rsidR="00637E85">
        <w:t xml:space="preserve">el argumento </w:t>
      </w:r>
      <w:r w:rsidRPr="004013D0">
        <w:t>es suficiente para apartarse de la anterior corriente doctrinal.</w:t>
      </w:r>
    </w:p>
    <w:p w14:paraId="0713E060" w14:textId="77777777" w:rsidR="007721B6" w:rsidRPr="004013D0" w:rsidRDefault="007721B6" w:rsidP="007721B6">
      <w:pPr>
        <w:ind w:firstLine="708"/>
        <w:jc w:val="both"/>
      </w:pPr>
    </w:p>
    <w:p w14:paraId="5310B94D" w14:textId="77777777" w:rsidR="007721B6" w:rsidRPr="004013D0" w:rsidRDefault="007721B6" w:rsidP="007721B6">
      <w:pPr>
        <w:ind w:firstLine="708"/>
        <w:jc w:val="both"/>
      </w:pPr>
    </w:p>
    <w:p w14:paraId="5EC20346" w14:textId="440C58BE" w:rsidR="007721B6" w:rsidRPr="004013D0" w:rsidRDefault="00637E85" w:rsidP="007721B6">
      <w:pPr>
        <w:ind w:firstLine="708"/>
        <w:jc w:val="both"/>
      </w:pPr>
      <w:r>
        <w:t>Debemos, pues</w:t>
      </w:r>
      <w:r w:rsidR="007721B6" w:rsidRPr="004013D0">
        <w:t>, rechaz</w:t>
      </w:r>
      <w:r>
        <w:t xml:space="preserve">ar </w:t>
      </w:r>
      <w:r w:rsidR="007721B6" w:rsidRPr="004013D0">
        <w:t xml:space="preserve">el argumento esgrimido en </w:t>
      </w:r>
      <w:r>
        <w:t xml:space="preserve">algunas muy </w:t>
      </w:r>
      <w:r w:rsidR="007721B6" w:rsidRPr="004013D0">
        <w:t>recientes sentencias, como la del del Tribunal Superior de Justicia y León de Burgos, Sección 1ª, de 14 de octubre de 2022 (recurso 137/2022), donde se afirma la falta de “</w:t>
      </w:r>
      <w:r w:rsidR="007721B6" w:rsidRPr="004013D0">
        <w:rPr>
          <w:i/>
          <w:iCs/>
        </w:rPr>
        <w:t>implicación máxima</w:t>
      </w:r>
      <w:r w:rsidR="007721B6" w:rsidRPr="004013D0">
        <w:t>” de la administración pública en el citado expediente, al tener la intervención administrativa como único objetivo, el de “</w:t>
      </w:r>
      <w:r w:rsidR="007721B6" w:rsidRPr="004013D0">
        <w:rPr>
          <w:i/>
          <w:iCs/>
        </w:rPr>
        <w:t>mantener la vigilancia de la seguridad de las personas y de los bienes</w:t>
      </w:r>
      <w:r w:rsidR="007721B6" w:rsidRPr="004013D0">
        <w:t>”.</w:t>
      </w:r>
      <w:r>
        <w:t xml:space="preserve"> </w:t>
      </w:r>
      <w:r w:rsidR="007721B6" w:rsidRPr="004013D0">
        <w:t>Es</w:t>
      </w:r>
      <w:r>
        <w:t xml:space="preserve">e tipo de resoluciones </w:t>
      </w:r>
      <w:r w:rsidR="007721B6" w:rsidRPr="004013D0">
        <w:t>se aparta</w:t>
      </w:r>
      <w:r>
        <w:t>n</w:t>
      </w:r>
      <w:r w:rsidR="007721B6" w:rsidRPr="004013D0">
        <w:t xml:space="preserve"> del nuevo criterio doctrinal impuesto por el Supremo, resultando insuficientes y claramente erróneas sus argumentaciones </w:t>
      </w:r>
      <w:r>
        <w:t>en los términos que hemos referido.</w:t>
      </w:r>
      <w:r w:rsidR="007721B6" w:rsidRPr="004013D0">
        <w:t xml:space="preserve"> </w:t>
      </w:r>
    </w:p>
    <w:p w14:paraId="54047BAE" w14:textId="77777777" w:rsidR="007721B6" w:rsidRPr="004013D0" w:rsidRDefault="007721B6" w:rsidP="007721B6">
      <w:pPr>
        <w:ind w:firstLine="708"/>
        <w:jc w:val="both"/>
      </w:pPr>
    </w:p>
    <w:p w14:paraId="4C6F1C7A" w14:textId="77777777" w:rsidR="007721B6" w:rsidRPr="004013D0" w:rsidRDefault="007721B6" w:rsidP="007721B6">
      <w:pPr>
        <w:ind w:firstLine="708"/>
        <w:jc w:val="both"/>
      </w:pPr>
    </w:p>
    <w:p w14:paraId="5DA45F3E" w14:textId="79C6B345" w:rsidR="007721B6" w:rsidRPr="004013D0" w:rsidRDefault="002703EE" w:rsidP="007721B6">
      <w:pPr>
        <w:ind w:firstLine="708"/>
        <w:jc w:val="both"/>
      </w:pPr>
      <w:r w:rsidRPr="004013D0">
        <w:t xml:space="preserve">Se </w:t>
      </w:r>
      <w:r w:rsidR="007721B6" w:rsidRPr="004013D0">
        <w:t xml:space="preserve">ha demostrado que más allá de la apriorística falta de imparcialidad de los funcionarios públicos dependientes jerárquicamente de la administración demandada -o codemandada- en el proceso, en supuestos como el de ruina o de sanciones urbanísticas (en este último caso, con mayor razón si cabe), existe un plus de interés que pueden viciar de subjetividad y parcialidad el informe técnico administrativo de que se trate. </w:t>
      </w:r>
    </w:p>
    <w:p w14:paraId="05E6AF15" w14:textId="77777777" w:rsidR="007721B6" w:rsidRPr="004013D0" w:rsidRDefault="007721B6" w:rsidP="007721B6">
      <w:pPr>
        <w:ind w:firstLine="708"/>
        <w:jc w:val="both"/>
      </w:pPr>
    </w:p>
    <w:p w14:paraId="4F3538A2" w14:textId="3C960937" w:rsidR="007721B6" w:rsidRPr="004013D0" w:rsidRDefault="007721B6" w:rsidP="00380393">
      <w:pPr>
        <w:ind w:firstLine="708"/>
        <w:jc w:val="both"/>
      </w:pPr>
      <w:r w:rsidRPr="004013D0">
        <w:t xml:space="preserve">Sin embargo, a </w:t>
      </w:r>
      <w:r w:rsidR="00721337" w:rsidRPr="004013D0">
        <w:t xml:space="preserve">no </w:t>
      </w:r>
      <w:r w:rsidRPr="004013D0">
        <w:t xml:space="preserve">todas las materias es extensible este nuevo criterio jurisprudencial. Nos referimos, </w:t>
      </w:r>
      <w:r w:rsidRPr="004013D0">
        <w:rPr>
          <w:i/>
          <w:iCs/>
        </w:rPr>
        <w:t xml:space="preserve">ad exemplum </w:t>
      </w:r>
      <w:r w:rsidRPr="004013D0">
        <w:t xml:space="preserve">pero con importantes matizaciones -como ahora veremos-, a la expropiación forzosa. En ese caso, simple y lisamente, el órgano administrativo llamado a decidir </w:t>
      </w:r>
      <w:r w:rsidR="006313BC">
        <w:t xml:space="preserve">mediante un dictamen valorativo el alcance sustantivo del acto terminal (el justiprecio) </w:t>
      </w:r>
      <w:r w:rsidRPr="004013D0">
        <w:t xml:space="preserve">no es la administración expropiante. Esta tarea recae en los Jurados Provinciales de Expropiación o en las Comisiones Provinciales de Valoración </w:t>
      </w:r>
      <w:r w:rsidR="00FE0A56" w:rsidRPr="004013D0">
        <w:t>–</w:t>
      </w:r>
      <w:r w:rsidRPr="004013D0">
        <w:t>organismos autonómicos especializados en valoraciones expropiatorias-, cuya única función es la de determinar el justiprecio de los bienes o derechos susceptibles de expropiación; pero ninguno de ellos es el órgano que finalmente deb</w:t>
      </w:r>
      <w:r w:rsidR="006313BC">
        <w:t>a</w:t>
      </w:r>
      <w:r w:rsidRPr="004013D0">
        <w:t xml:space="preserve"> abonar ese precio</w:t>
      </w:r>
      <w:r w:rsidR="006313BC">
        <w:t xml:space="preserve"> expropiatorio.</w:t>
      </w:r>
      <w:r w:rsidR="006313BC" w:rsidRPr="006313BC">
        <w:rPr>
          <w:i/>
          <w:iCs/>
        </w:rPr>
        <w:t xml:space="preserve"> No se juegan nada en el envite</w:t>
      </w:r>
      <w:r w:rsidR="006313BC">
        <w:t>, si se nos permite la expresión</w:t>
      </w:r>
      <w:r w:rsidRPr="004013D0">
        <w:t xml:space="preserve">. </w:t>
      </w:r>
    </w:p>
    <w:p w14:paraId="2FA1EEE2" w14:textId="77777777" w:rsidR="00380393" w:rsidRPr="004013D0" w:rsidRDefault="00380393" w:rsidP="00380393">
      <w:pPr>
        <w:ind w:firstLine="708"/>
        <w:jc w:val="both"/>
      </w:pPr>
    </w:p>
    <w:p w14:paraId="47CA6D4D" w14:textId="57175983" w:rsidR="007721B6" w:rsidRPr="004013D0" w:rsidRDefault="007721B6" w:rsidP="007721B6">
      <w:pPr>
        <w:ind w:firstLine="708"/>
        <w:jc w:val="both"/>
      </w:pPr>
      <w:r w:rsidRPr="004013D0">
        <w:lastRenderedPageBreak/>
        <w:t xml:space="preserve">Los acuerdos de los Jurados Provinciales de Expropiación Forzosa y las Comisiones Provinciales de Valoración autonómica, de conformidad con una consolidada doctrina jurisprudencial, tienen a su favor el principio del </w:t>
      </w:r>
      <w:r w:rsidRPr="004013D0">
        <w:rPr>
          <w:i/>
        </w:rPr>
        <w:t>favor acti</w:t>
      </w:r>
      <w:r w:rsidRPr="004013D0">
        <w:t>, en cuya virtud se les confiere la presunción de legalidad y acierto</w:t>
      </w:r>
      <w:r w:rsidR="00E43722" w:rsidRPr="004013D0">
        <w:rPr>
          <w:rStyle w:val="Refdenotaalpie"/>
        </w:rPr>
        <w:footnoteReference w:id="31"/>
      </w:r>
      <w:r w:rsidRPr="004013D0">
        <w:t>. Sus decisiones son acogidas con el crédito y autoridad que merecen, entre otras razones, por su alta especialización (doble composición técnica y jurídica) y su independencia, al menos teórica.</w:t>
      </w:r>
    </w:p>
    <w:p w14:paraId="3BD003A1" w14:textId="77777777" w:rsidR="007721B6" w:rsidRPr="004013D0" w:rsidRDefault="007721B6" w:rsidP="007721B6">
      <w:pPr>
        <w:ind w:firstLine="708"/>
        <w:jc w:val="both"/>
      </w:pPr>
    </w:p>
    <w:p w14:paraId="725620FA" w14:textId="75100580" w:rsidR="00380393" w:rsidRPr="004013D0" w:rsidRDefault="00380393" w:rsidP="00380393">
      <w:pPr>
        <w:ind w:firstLine="708"/>
        <w:jc w:val="both"/>
      </w:pPr>
      <w:r w:rsidRPr="004013D0">
        <w:t>El supuesto “interés”</w:t>
      </w:r>
      <w:r w:rsidR="006313BC">
        <w:t xml:space="preserve"> puramente economicista</w:t>
      </w:r>
      <w:r w:rsidRPr="004013D0">
        <w:t xml:space="preserve"> en el resultado final del litigio, por tanto, parecía desvanecerse por esa circunstancia, ya que estos órganos se limitan a ofrecer un juicio de valor fundado en razones de estricta legalidad, pero no </w:t>
      </w:r>
      <w:r w:rsidR="00D07ADF" w:rsidRPr="004013D0">
        <w:t>son</w:t>
      </w:r>
      <w:r w:rsidRPr="004013D0">
        <w:t xml:space="preserve"> los encargados de abonar el justiprecio.</w:t>
      </w:r>
      <w:r w:rsidR="006313BC">
        <w:t xml:space="preserve"> Su interés es sólo </w:t>
      </w:r>
      <w:r w:rsidR="00AA446C">
        <w:t xml:space="preserve">solo el de la legalidad, </w:t>
      </w:r>
      <w:r w:rsidR="006313BC">
        <w:t xml:space="preserve">el de velar por </w:t>
      </w:r>
      <w:r w:rsidR="00AA446C">
        <w:t>la</w:t>
      </w:r>
      <w:r w:rsidR="006313BC">
        <w:t xml:space="preserve"> </w:t>
      </w:r>
      <w:r w:rsidR="00AA446C">
        <w:t>corrección</w:t>
      </w:r>
      <w:r w:rsidR="006313BC">
        <w:t xml:space="preserve"> </w:t>
      </w:r>
      <w:r w:rsidR="00D37231">
        <w:t>de la</w:t>
      </w:r>
      <w:r w:rsidR="006313BC">
        <w:t xml:space="preserve"> actuación </w:t>
      </w:r>
      <w:r w:rsidR="00AA446C">
        <w:t>administrativa</w:t>
      </w:r>
      <w:r w:rsidR="006313BC">
        <w:t xml:space="preserve"> previa del órgano expropiante, </w:t>
      </w:r>
      <w:r w:rsidR="00AA446C">
        <w:t>ofreciendo</w:t>
      </w:r>
      <w:r w:rsidR="006313BC">
        <w:t xml:space="preserve"> su opinión técnico-jurídica acerca del valor real del bien expropiado.</w:t>
      </w:r>
    </w:p>
    <w:p w14:paraId="0A23599D" w14:textId="09318D1E" w:rsidR="00380393" w:rsidRPr="004013D0" w:rsidRDefault="00380393" w:rsidP="00380393">
      <w:pPr>
        <w:ind w:firstLine="708"/>
        <w:jc w:val="both"/>
      </w:pPr>
    </w:p>
    <w:p w14:paraId="70A178A0" w14:textId="67204EFB" w:rsidR="00C23B27" w:rsidRPr="004013D0" w:rsidRDefault="00D37231" w:rsidP="00380393">
      <w:pPr>
        <w:ind w:firstLine="708"/>
        <w:jc w:val="both"/>
      </w:pPr>
      <w:r>
        <w:t xml:space="preserve">Así podríamos admitirlo, aunque sólo sea a efectos dialécticos, </w:t>
      </w:r>
      <w:r w:rsidR="00AA446C">
        <w:t>en lo que respecta a los Jurados Provinciales de Expropiación Forzosa</w:t>
      </w:r>
      <w:r>
        <w:t xml:space="preserve">, </w:t>
      </w:r>
      <w:r w:rsidR="00AA446C" w:rsidRPr="004013D0">
        <w:t>creados</w:t>
      </w:r>
      <w:r>
        <w:t xml:space="preserve"> con carácter universal para todas las expropiaciones</w:t>
      </w:r>
      <w:r w:rsidR="00AA446C" w:rsidRPr="004013D0">
        <w:t xml:space="preserve"> por la LEF en 1954</w:t>
      </w:r>
      <w:r>
        <w:t>, aunque</w:t>
      </w:r>
      <w:r w:rsidR="00AA446C">
        <w:t xml:space="preserve"> hoy </w:t>
      </w:r>
      <w:r>
        <w:t xml:space="preserve">sólo </w:t>
      </w:r>
      <w:r w:rsidR="00AA446C">
        <w:t>aco</w:t>
      </w:r>
      <w:r>
        <w:t>jan</w:t>
      </w:r>
      <w:r w:rsidR="00AA446C">
        <w:t xml:space="preserve"> los expedientes de justiprecio tramitados </w:t>
      </w:r>
      <w:r>
        <w:t xml:space="preserve">en expropiaciones instadas </w:t>
      </w:r>
      <w:r w:rsidR="00AA446C">
        <w:t>por órganos territoriales de la Administración del Estad</w:t>
      </w:r>
      <w:r>
        <w:t>o.</w:t>
      </w:r>
      <w:r w:rsidR="00AA446C">
        <w:t xml:space="preserve"> </w:t>
      </w:r>
      <w:r w:rsidR="00D07ADF" w:rsidRPr="004013D0">
        <w:t>Ahora bien</w:t>
      </w:r>
      <w:r w:rsidR="00380393" w:rsidRPr="004013D0">
        <w:t xml:space="preserve">, </w:t>
      </w:r>
      <w:r>
        <w:t>para</w:t>
      </w:r>
      <w:r w:rsidR="007721B6" w:rsidRPr="004013D0">
        <w:t xml:space="preserve"> las Comisiones Provinciales de Valoración</w:t>
      </w:r>
      <w:r w:rsidR="00AA446C">
        <w:t xml:space="preserve">, con sus </w:t>
      </w:r>
      <w:r w:rsidR="002270A2" w:rsidRPr="004013D0">
        <w:t>distintas regulaciones autonómicas</w:t>
      </w:r>
      <w:r w:rsidR="007721B6" w:rsidRPr="004013D0">
        <w:t xml:space="preserve">, </w:t>
      </w:r>
      <w:r w:rsidR="00E43722" w:rsidRPr="004013D0">
        <w:t>la</w:t>
      </w:r>
      <w:r w:rsidR="007721B6" w:rsidRPr="004013D0">
        <w:t xml:space="preserve"> doctrina</w:t>
      </w:r>
      <w:r w:rsidR="00E43722" w:rsidRPr="004013D0">
        <w:t xml:space="preserve"> científica</w:t>
      </w:r>
      <w:r w:rsidR="007721B6" w:rsidRPr="004013D0">
        <w:rPr>
          <w:vertAlign w:val="superscript"/>
        </w:rPr>
        <w:footnoteReference w:id="32"/>
      </w:r>
      <w:r>
        <w:t xml:space="preserve"> (</w:t>
      </w:r>
      <w:r w:rsidR="00380393" w:rsidRPr="004013D0">
        <w:t>avalada por la opinión mayoritaria de algunas Salas de lo Contencioso Administrativo de los TSJ de Madrid y Castilla la Mancha</w:t>
      </w:r>
      <w:r w:rsidR="00380393" w:rsidRPr="004013D0">
        <w:rPr>
          <w:rStyle w:val="Refdenotaalpie"/>
        </w:rPr>
        <w:footnoteReference w:id="33"/>
      </w:r>
      <w:r>
        <w:t>)</w:t>
      </w:r>
      <w:r w:rsidR="00380393" w:rsidRPr="004013D0">
        <w:t xml:space="preserve"> </w:t>
      </w:r>
      <w:r w:rsidR="00AA446C">
        <w:t xml:space="preserve">ha </w:t>
      </w:r>
      <w:r w:rsidR="007721B6" w:rsidRPr="004013D0">
        <w:t xml:space="preserve"> </w:t>
      </w:r>
      <w:r w:rsidR="00C23B27" w:rsidRPr="004013D0">
        <w:t>introd</w:t>
      </w:r>
      <w:r w:rsidR="00AA446C">
        <w:t>ucido</w:t>
      </w:r>
      <w:r w:rsidR="007721B6" w:rsidRPr="004013D0">
        <w:t xml:space="preserve"> una importante variable: debido a su desigual, parcial y en absoluto independiente composición, con una presencia</w:t>
      </w:r>
      <w:r>
        <w:t xml:space="preserve"> en su seno</w:t>
      </w:r>
      <w:r w:rsidR="007721B6" w:rsidRPr="004013D0">
        <w:t xml:space="preserve"> mayoritaria hasta lo grotesco de funcionarios públicos</w:t>
      </w:r>
      <w:r>
        <w:t xml:space="preserve">, </w:t>
      </w:r>
      <w:r w:rsidR="007721B6" w:rsidRPr="004013D0">
        <w:t>no pueden gozar de dicha supuesta presunción de imparcialidad, pues apenas disponen de una apariencia de autonomía funcional</w:t>
      </w:r>
      <w:r w:rsidR="007721B6" w:rsidRPr="004013D0">
        <w:rPr>
          <w:vertAlign w:val="superscript"/>
        </w:rPr>
        <w:footnoteReference w:id="34"/>
      </w:r>
      <w:r w:rsidR="007721B6" w:rsidRPr="004013D0">
        <w:t>.</w:t>
      </w:r>
      <w:r>
        <w:t xml:space="preserve"> Ese problema </w:t>
      </w:r>
      <w:r w:rsidRPr="004013D0">
        <w:t xml:space="preserve">no </w:t>
      </w:r>
      <w:r>
        <w:t>es tan marcado en los</w:t>
      </w:r>
      <w:r w:rsidRPr="004013D0">
        <w:t xml:space="preserve"> Jurado</w:t>
      </w:r>
      <w:r>
        <w:t>s,</w:t>
      </w:r>
      <w:r w:rsidRPr="004013D0">
        <w:t xml:space="preserve"> </w:t>
      </w:r>
      <w:r>
        <w:t>que aunque conformado por funcionarios, notarios, magistrados y técnicos externos, basan su composición</w:t>
      </w:r>
      <w:r w:rsidRPr="004013D0">
        <w:t xml:space="preserve"> en el triple vértice de la sumariedad, paridad y neutralida</w:t>
      </w:r>
      <w:r>
        <w:t>d.</w:t>
      </w:r>
    </w:p>
    <w:p w14:paraId="215F6E20" w14:textId="77777777" w:rsidR="00C23B27" w:rsidRPr="004013D0" w:rsidRDefault="00C23B27" w:rsidP="00C23B27">
      <w:pPr>
        <w:ind w:firstLine="708"/>
        <w:jc w:val="both"/>
      </w:pPr>
    </w:p>
    <w:p w14:paraId="6597A1D3" w14:textId="48ADA267" w:rsidR="00CA40F8" w:rsidRPr="004013D0" w:rsidRDefault="00CA40F8" w:rsidP="00C23B27">
      <w:pPr>
        <w:ind w:firstLine="708"/>
        <w:jc w:val="both"/>
      </w:pPr>
      <w:r w:rsidRPr="004013D0">
        <w:t xml:space="preserve">Como </w:t>
      </w:r>
      <w:r w:rsidR="00D37231">
        <w:t xml:space="preserve">ya nos </w:t>
      </w:r>
      <w:r w:rsidRPr="004013D0">
        <w:t>advertía Fernández Torres, J.R</w:t>
      </w:r>
      <w:r w:rsidRPr="004013D0">
        <w:rPr>
          <w:rStyle w:val="Refdenotaalpie"/>
        </w:rPr>
        <w:footnoteReference w:id="35"/>
      </w:r>
      <w:r w:rsidRPr="004013D0">
        <w:t>, la gran mayoría de las regulaciones autonómicas, a partir del del año 1995 (tras la STC 37/1987, de 26 de marzo, que introdujo distintas variantes del Jurado Provincial de Expropiación, con el propósito de equiparar</w:t>
      </w:r>
      <w:r w:rsidR="00D37231">
        <w:t>los</w:t>
      </w:r>
      <w:r w:rsidRPr="004013D0">
        <w:t xml:space="preserve"> </w:t>
      </w:r>
      <w:r w:rsidR="00D37231">
        <w:lastRenderedPageBreak/>
        <w:t xml:space="preserve">con </w:t>
      </w:r>
      <w:r w:rsidRPr="004013D0">
        <w:t xml:space="preserve">las comisiones autonómicas), </w:t>
      </w:r>
      <w:r w:rsidR="00D37231">
        <w:t xml:space="preserve">les </w:t>
      </w:r>
      <w:r w:rsidRPr="004013D0">
        <w:t>dotan precisamente de una desigual, parcial y en absoluto independiente composición, siendo una nota prácticamente común a todos ellos, que implica, entre otros defectos, una quiebra manifiesta de la competencia estatal exclusiva en materia de regulación de las condiciones básicas que garanticen la igualdad de todos los españoles en el ejercicio del derecho de propiedad y de legislación sobre expropiación forzosa, además del riesgo patente de erosión por este cauce del derecho fundamental a la tutela judicial efecto.</w:t>
      </w:r>
    </w:p>
    <w:p w14:paraId="6D90BFF0" w14:textId="77777777" w:rsidR="00CA40F8" w:rsidRPr="004013D0" w:rsidRDefault="00CA40F8" w:rsidP="00C23B27">
      <w:pPr>
        <w:ind w:firstLine="708"/>
        <w:jc w:val="both"/>
      </w:pPr>
    </w:p>
    <w:p w14:paraId="63AA5B8E" w14:textId="0309875B" w:rsidR="00C576F6" w:rsidRPr="004013D0" w:rsidRDefault="007721B6" w:rsidP="00C23B27">
      <w:pPr>
        <w:ind w:firstLine="708"/>
        <w:jc w:val="both"/>
      </w:pPr>
      <w:r w:rsidRPr="004013D0">
        <w:t xml:space="preserve">Así </w:t>
      </w:r>
      <w:r w:rsidR="00D07ADF" w:rsidRPr="004013D0">
        <w:t>se p</w:t>
      </w:r>
      <w:r w:rsidR="00762FD9">
        <w:t>udo</w:t>
      </w:r>
      <w:r w:rsidR="00D07ADF" w:rsidRPr="004013D0">
        <w:t xml:space="preserve"> comprobar</w:t>
      </w:r>
      <w:r w:rsidR="00F45BFC" w:rsidRPr="004013D0">
        <w:t xml:space="preserve">, por ejemplo, en la comunidad autónoma de Madrid, con la </w:t>
      </w:r>
      <w:r w:rsidR="00762FD9">
        <w:t xml:space="preserve">primera </w:t>
      </w:r>
      <w:r w:rsidR="00F45BFC" w:rsidRPr="004013D0">
        <w:t>regulación del Jurado Territorial de Expropiación Forzosa de Madrid, contenida en los artículos 102 y 103 de la Ley madrileña 9/1995, de 28 de marzo, de medidas de política territorial, suelo y urbanismo (hasta que el legislador madrileño reinstauró la paridad en la composición del Jurado, mediante la Ley madrileña 2/2004, de 31 de mayo, de Medidas Fiscales y Administrativas)</w:t>
      </w:r>
      <w:r w:rsidR="00C23B27" w:rsidRPr="004013D0">
        <w:t>, y de este modo ocurre</w:t>
      </w:r>
      <w:r w:rsidR="00D07ADF" w:rsidRPr="004013D0">
        <w:t xml:space="preserve">, a día de hoy, </w:t>
      </w:r>
      <w:r w:rsidR="00C576F6" w:rsidRPr="004013D0">
        <w:t>con todas las comunidades autónomas, con la excepciones de Madrid -en la Ley ya referida- y el País Vasco, la cual se ha alineado con la Comunidad de Madrid</w:t>
      </w:r>
      <w:r w:rsidR="00762FD9">
        <w:t xml:space="preserve"> (</w:t>
      </w:r>
      <w:r w:rsidR="00C576F6" w:rsidRPr="004013D0">
        <w:t>Ley 2/2006, de 30 de junio de Suelo y Urbanismo</w:t>
      </w:r>
      <w:r w:rsidR="00762FD9">
        <w:t>)</w:t>
      </w:r>
      <w:r w:rsidR="00C576F6" w:rsidRPr="004013D0">
        <w:t xml:space="preserve">; y que confiere de una composición paritaria al Jurado, con una presidencia que corresponde a un magistrado de la Audiencia, cuatro vocales donde dos representan intereses públicos y otros dos a privados, </w:t>
      </w:r>
      <w:r w:rsidR="00762FD9">
        <w:t>en tanto que</w:t>
      </w:r>
      <w:r w:rsidR="00C576F6" w:rsidRPr="004013D0">
        <w:t xml:space="preserve"> la secretaría incumbe a un letrado autonómico.</w:t>
      </w:r>
    </w:p>
    <w:p w14:paraId="757E730E" w14:textId="77777777" w:rsidR="00C576F6" w:rsidRPr="004013D0" w:rsidRDefault="00C576F6" w:rsidP="00C23B27">
      <w:pPr>
        <w:ind w:firstLine="708"/>
        <w:jc w:val="both"/>
      </w:pPr>
    </w:p>
    <w:p w14:paraId="4DE8CE7E" w14:textId="0AC9F104" w:rsidR="00526D59" w:rsidRPr="004013D0" w:rsidRDefault="00C576F6" w:rsidP="00C23B27">
      <w:pPr>
        <w:ind w:firstLine="708"/>
        <w:jc w:val="both"/>
      </w:pPr>
      <w:r w:rsidRPr="004013D0">
        <w:t xml:space="preserve">En el ámbito de la Comunidad Autónoma andaluza, </w:t>
      </w:r>
      <w:r w:rsidR="00C23B27" w:rsidRPr="004013D0">
        <w:t>el artículo 4 d</w:t>
      </w:r>
      <w:r w:rsidR="00526D59" w:rsidRPr="004013D0">
        <w:t>el Decreto 164/2018, de 18 de septiembre, por el que se aprueba el Reglamento de Organización y Funcionamiento de las Comisiones Provinciales de Valoraciones</w:t>
      </w:r>
      <w:r w:rsidR="00C23B27" w:rsidRPr="004013D0">
        <w:t xml:space="preserve">, dispone que </w:t>
      </w:r>
      <w:r w:rsidR="00526D59" w:rsidRPr="004013D0">
        <w:rPr>
          <w:shd w:val="clear" w:color="auto" w:fill="FFFFFF"/>
        </w:rPr>
        <w:t>las Comisiones Provinciales de Valoraciones estarán compuestas por una Presidencia, las Vocalías y la Secretaría.</w:t>
      </w:r>
    </w:p>
    <w:p w14:paraId="3F1B61DD" w14:textId="18863E7E" w:rsidR="00526D59" w:rsidRPr="004013D0" w:rsidRDefault="00526D59" w:rsidP="00526D59">
      <w:pPr>
        <w:ind w:firstLine="708"/>
        <w:jc w:val="both"/>
        <w:rPr>
          <w:shd w:val="clear" w:color="auto" w:fill="FFFFFF"/>
        </w:rPr>
      </w:pPr>
    </w:p>
    <w:p w14:paraId="28FA04F8" w14:textId="3E0E6CC0" w:rsidR="00526D59" w:rsidRPr="004013D0" w:rsidRDefault="00526D59" w:rsidP="00526D59">
      <w:pPr>
        <w:pStyle w:val="Prrafodelista"/>
        <w:numPr>
          <w:ilvl w:val="0"/>
          <w:numId w:val="1"/>
        </w:numPr>
        <w:jc w:val="both"/>
      </w:pPr>
      <w:r w:rsidRPr="004013D0">
        <w:t xml:space="preserve">La presidencia, por </w:t>
      </w:r>
      <w:r w:rsidRPr="004013D0">
        <w:rPr>
          <w:shd w:val="clear" w:color="auto" w:fill="FFFFFF"/>
        </w:rPr>
        <w:t>la persona titular de la Secretaría General de la Delegación del Gobierno en la correspondiente provincia, siempre que ésta tenga la condición de funcionario de la Junta de Andalucía. Si no lo fuera, la persona titular de la Delegación del Gobierno designará la Presidencia entre personas funcionarias de la Junta de Andalucía de un Cuerpo para cuyo ingreso se requiera titulación superior.</w:t>
      </w:r>
    </w:p>
    <w:p w14:paraId="4A6EC543" w14:textId="16926812" w:rsidR="00526D59" w:rsidRPr="004013D0" w:rsidRDefault="00526D59" w:rsidP="00526D59">
      <w:pPr>
        <w:pStyle w:val="Prrafodelista"/>
        <w:ind w:left="1068"/>
        <w:jc w:val="both"/>
      </w:pPr>
    </w:p>
    <w:p w14:paraId="09AF2E05" w14:textId="209A9D26" w:rsidR="00526D59" w:rsidRPr="004013D0" w:rsidRDefault="00526D59" w:rsidP="00526D59">
      <w:pPr>
        <w:pStyle w:val="Prrafodelista"/>
        <w:ind w:left="1068"/>
        <w:jc w:val="both"/>
      </w:pPr>
      <w:r w:rsidRPr="004013D0">
        <w:t xml:space="preserve">Por tanto, funcionario público. </w:t>
      </w:r>
    </w:p>
    <w:p w14:paraId="216E92C8" w14:textId="77777777" w:rsidR="00526D59" w:rsidRPr="004013D0" w:rsidRDefault="00526D59" w:rsidP="00526D59">
      <w:pPr>
        <w:pStyle w:val="Prrafodelista"/>
        <w:ind w:left="1068"/>
        <w:jc w:val="both"/>
      </w:pPr>
    </w:p>
    <w:p w14:paraId="5D233453" w14:textId="403FA6EF" w:rsidR="00526D59" w:rsidRPr="004013D0" w:rsidRDefault="00526D59" w:rsidP="00526D59">
      <w:pPr>
        <w:pStyle w:val="Prrafodelista"/>
        <w:numPr>
          <w:ilvl w:val="0"/>
          <w:numId w:val="1"/>
        </w:numPr>
        <w:jc w:val="both"/>
      </w:pPr>
      <w:r w:rsidRPr="004013D0">
        <w:t xml:space="preserve">Las Vocalías, por distintos agentes, casi todos, funcionarios públicos. a) Un Letrado o Letrada al servicio del Gabinete Jurídico de la Junta de Andalucía, designado o designada por la Jefatura del Gabinete Jurídico de la Junta de Andalucía. b) Cuatro personas funcionarias al servicio de la Administración de la Junta de Andalucía pertenecientes a un Cuerpo para cuyo ingreso se requiera titulación superior. De ellas, dos, al menos, deberán prestar servicios en la Consejería competente en materia de urbanismo. c) Un Notario o Notaria, designado o designada libremente por la persona titular del Decanato del Colegio Notarial de Andalucía. d) Una persona técnica facultativa designada por la Federación Andaluza de Municipios y Provincias. e) Una persona técnica representante de la Dirección General del Catastro designada por el titular de dicho órgano. f) Cuando se trate de expropiaciones locales, una persona técnica designada por la entidad local interesada en </w:t>
      </w:r>
      <w:r w:rsidR="004D36FA">
        <w:t xml:space="preserve">su </w:t>
      </w:r>
      <w:r w:rsidRPr="004013D0">
        <w:t>representación.</w:t>
      </w:r>
    </w:p>
    <w:p w14:paraId="17231712" w14:textId="77777777" w:rsidR="00526D59" w:rsidRPr="004013D0" w:rsidRDefault="00526D59" w:rsidP="00526D59">
      <w:pPr>
        <w:pStyle w:val="Prrafodelista"/>
        <w:ind w:left="1068"/>
        <w:jc w:val="both"/>
      </w:pPr>
    </w:p>
    <w:p w14:paraId="2635BB90" w14:textId="2AB53695" w:rsidR="00526D59" w:rsidRPr="004013D0" w:rsidRDefault="00526D59" w:rsidP="00526D59">
      <w:pPr>
        <w:pStyle w:val="Prrafodelista"/>
        <w:numPr>
          <w:ilvl w:val="0"/>
          <w:numId w:val="1"/>
        </w:numPr>
        <w:jc w:val="both"/>
      </w:pPr>
      <w:r w:rsidRPr="004013D0">
        <w:lastRenderedPageBreak/>
        <w:t xml:space="preserve">Y la Secretaría, </w:t>
      </w:r>
      <w:r w:rsidRPr="004013D0">
        <w:rPr>
          <w:shd w:val="clear" w:color="auto" w:fill="FFFFFF"/>
        </w:rPr>
        <w:t>una persona funcionaria de la Consejería a la que estén adscritas las Delegaciones del Gobierno de la Junta de Andalucía, perteneciente a un Cuerpo para cuyo ingreso se requiera titulación superior, siendo preferentemente licenciada o graduada en Derecho, designada por la persona titular de la Delegación del Gobierno de la Junta de Andalucía, quien, asimismo, designará a una persona suplente entre el personal funcionario que reúna los mismos requisitos.</w:t>
      </w:r>
    </w:p>
    <w:p w14:paraId="0105F318" w14:textId="60D4CC54" w:rsidR="007721B6" w:rsidRPr="004013D0" w:rsidRDefault="007721B6" w:rsidP="007721B6">
      <w:pPr>
        <w:ind w:firstLine="708"/>
        <w:jc w:val="both"/>
      </w:pPr>
    </w:p>
    <w:p w14:paraId="0EB2DB08" w14:textId="715DDF64" w:rsidR="005B14A3" w:rsidRPr="004013D0" w:rsidRDefault="00526D59" w:rsidP="00D07ADF">
      <w:pPr>
        <w:ind w:firstLine="708"/>
        <w:jc w:val="both"/>
      </w:pPr>
      <w:r w:rsidRPr="004013D0">
        <w:t>Con esta composición</w:t>
      </w:r>
      <w:r w:rsidR="00D07ADF" w:rsidRPr="004013D0">
        <w:t xml:space="preserve"> (de similar naturaleza a la establecida en </w:t>
      </w:r>
      <w:r w:rsidR="00C576F6" w:rsidRPr="004013D0">
        <w:t>las demás legislaciones autonómicas</w:t>
      </w:r>
      <w:r w:rsidR="00D07ADF" w:rsidRPr="004013D0">
        <w:t>)</w:t>
      </w:r>
      <w:r w:rsidRPr="004013D0">
        <w:t xml:space="preserve"> es</w:t>
      </w:r>
      <w:r w:rsidR="007721B6" w:rsidRPr="004013D0">
        <w:t xml:space="preserve"> </w:t>
      </w:r>
      <w:r w:rsidR="00C23B27" w:rsidRPr="004013D0">
        <w:t xml:space="preserve">muy </w:t>
      </w:r>
      <w:r w:rsidR="007721B6" w:rsidRPr="004013D0">
        <w:t>difícil,</w:t>
      </w:r>
      <w:r w:rsidR="00C23B27" w:rsidRPr="004013D0">
        <w:t xml:space="preserve"> por no decir imposible, </w:t>
      </w:r>
      <w:r w:rsidR="007721B6" w:rsidRPr="004013D0">
        <w:t xml:space="preserve">seguir afirmando </w:t>
      </w:r>
      <w:r w:rsidR="005B14A3" w:rsidRPr="004013D0">
        <w:t xml:space="preserve">que los </w:t>
      </w:r>
      <w:r w:rsidR="00762FD9">
        <w:t>Comisiones Provinciales o Jurados</w:t>
      </w:r>
      <w:r w:rsidR="005B14A3" w:rsidRPr="004013D0">
        <w:t xml:space="preserve"> Autonómicos de Expropiación go</w:t>
      </w:r>
      <w:r w:rsidR="00762FD9">
        <w:t>ce</w:t>
      </w:r>
      <w:r w:rsidR="005B14A3" w:rsidRPr="004013D0">
        <w:t>n de presunción de imparcialidad</w:t>
      </w:r>
      <w:r w:rsidR="00762FD9">
        <w:t>, sobre todo si la expropiación la emprende la propia administración autonómica</w:t>
      </w:r>
      <w:r w:rsidR="005B14A3" w:rsidRPr="004013D0">
        <w:t xml:space="preserve">. </w:t>
      </w:r>
      <w:r w:rsidR="00C23B27" w:rsidRPr="004013D0">
        <w:t>El particular expropiado se encuentra prácticamente solo</w:t>
      </w:r>
      <w:r w:rsidR="00721337" w:rsidRPr="004013D0">
        <w:t xml:space="preserve"> -a excepción de la presencia de un Notario, que presuntamente vela por </w:t>
      </w:r>
      <w:r w:rsidR="00762FD9">
        <w:t>la aplicación del derecho común, civil</w:t>
      </w:r>
      <w:r w:rsidR="00721337" w:rsidRPr="004013D0">
        <w:t>-</w:t>
      </w:r>
      <w:r w:rsidR="00C23B27" w:rsidRPr="004013D0">
        <w:t xml:space="preserve"> frente a la administración expropiante, parapetada de funcionarios públicos, muchos de ellos pertenecientes a la propia administración que finalmente debe abonar el justiprecio.</w:t>
      </w:r>
      <w:r w:rsidR="00D07ADF" w:rsidRPr="004013D0">
        <w:t xml:space="preserve"> Por tanto, l</w:t>
      </w:r>
      <w:r w:rsidR="00C23B27" w:rsidRPr="004013D0">
        <w:t xml:space="preserve">a </w:t>
      </w:r>
      <w:r w:rsidR="00762FD9">
        <w:t>ablación</w:t>
      </w:r>
      <w:r w:rsidR="00C23B27" w:rsidRPr="004013D0">
        <w:t xml:space="preserve"> del principio de igualdad de armas es incuestionable, por apartarse del principio de equilibrio de intereses entre la administración expropiante y el particular expropiado que proclama el artículo 32.1 LEF</w:t>
      </w:r>
      <w:r w:rsidR="002270A2" w:rsidRPr="004013D0">
        <w:t>.</w:t>
      </w:r>
    </w:p>
    <w:p w14:paraId="7935701C" w14:textId="77777777" w:rsidR="005B14A3" w:rsidRPr="004013D0" w:rsidRDefault="005B14A3" w:rsidP="00526D59">
      <w:pPr>
        <w:ind w:firstLine="708"/>
        <w:jc w:val="both"/>
      </w:pPr>
    </w:p>
    <w:p w14:paraId="50EF3EC5" w14:textId="0438AFE4" w:rsidR="007721B6" w:rsidRPr="004013D0" w:rsidRDefault="004D36FA" w:rsidP="00F2443E">
      <w:pPr>
        <w:ind w:firstLine="708"/>
        <w:jc w:val="both"/>
      </w:pPr>
      <w:r>
        <w:t>Entendemos,</w:t>
      </w:r>
      <w:r w:rsidR="00F2443E">
        <w:t xml:space="preserve"> además</w:t>
      </w:r>
      <w:r w:rsidR="00762FD9">
        <w:t xml:space="preserve"> por los mismos argumentos empleados en la Sentencia que comentamos, que para este tipo de expropiaciones</w:t>
      </w:r>
      <w:r w:rsidR="00D07ADF" w:rsidRPr="004013D0">
        <w:t xml:space="preserve"> la anticuada doctrina jurisprudencial, por la que señalaba que el acuerdo de la Comisión tendría suficiente fuerza probatoria para el Tribunal </w:t>
      </w:r>
      <w:r w:rsidR="00762FD9">
        <w:t>y que no se vería comprometida por la actividad procesal del expropiado (</w:t>
      </w:r>
      <w:r w:rsidR="00D07ADF" w:rsidRPr="004013D0">
        <w:t xml:space="preserve">si </w:t>
      </w:r>
      <w:r w:rsidR="00762FD9">
        <w:t xml:space="preserve">ésta </w:t>
      </w:r>
      <w:r w:rsidR="00D07ADF" w:rsidRPr="004013D0">
        <w:t>quedaba constreñida su hoja de aprecio</w:t>
      </w:r>
      <w:r w:rsidR="007721B6" w:rsidRPr="004013D0">
        <w:rPr>
          <w:vertAlign w:val="superscript"/>
        </w:rPr>
        <w:footnoteReference w:id="36"/>
      </w:r>
      <w:r w:rsidR="00762FD9">
        <w:t>)</w:t>
      </w:r>
      <w:r w:rsidR="002270A2" w:rsidRPr="004013D0">
        <w:t xml:space="preserve"> parece haber sido</w:t>
      </w:r>
      <w:r w:rsidR="00D07ADF" w:rsidRPr="004013D0">
        <w:t xml:space="preserve"> superada</w:t>
      </w:r>
      <w:r w:rsidR="002270A2" w:rsidRPr="004013D0">
        <w:t>.</w:t>
      </w:r>
      <w:r w:rsidR="00F2443E">
        <w:t xml:space="preserve"> </w:t>
      </w:r>
      <w:r w:rsidR="007721B6" w:rsidRPr="004013D0">
        <w:t>Constan distintas resoluciones judiciales a cuyo tenor ya no se requiere necesariamente una prueba pericial judicial para desvirtuar el acuerdo del Jurado. También una pericia de parte puede alcanzar el valor de prueba concluyente y puede convertirse en dirimente en sentencia, por cuanto se trata de una prueba admitida por la legislación procesal. La ausencia de una prueba pericial judicial no significa que no se pueda desvirtuar la presunción de acierto y legalidad del acuerdo del jurado mediante otro tipo de pruebas, debiendo en todo caso el órgano judicial valorar todo el material probatorio existente, que es en definitiva lo que hace la sentencia de instancia</w:t>
      </w:r>
      <w:r w:rsidR="007721B6" w:rsidRPr="004013D0">
        <w:rPr>
          <w:vertAlign w:val="superscript"/>
        </w:rPr>
        <w:footnoteReference w:id="37"/>
      </w:r>
    </w:p>
    <w:p w14:paraId="0547FEBC" w14:textId="77777777" w:rsidR="007721B6" w:rsidRPr="004013D0" w:rsidRDefault="007721B6" w:rsidP="007721B6">
      <w:pPr>
        <w:jc w:val="both"/>
      </w:pPr>
    </w:p>
    <w:p w14:paraId="2AAD837B" w14:textId="043EC15A" w:rsidR="007721B6" w:rsidRPr="004013D0" w:rsidRDefault="007721B6" w:rsidP="002703EE">
      <w:pPr>
        <w:jc w:val="both"/>
      </w:pPr>
      <w:r w:rsidRPr="004013D0">
        <w:tab/>
        <w:t>E</w:t>
      </w:r>
      <w:r w:rsidR="002270A2" w:rsidRPr="004013D0">
        <w:t xml:space="preserve">n consecuencia, en materia de expropiación forzosa, el cambio jurisprudencial del Supremo </w:t>
      </w:r>
      <w:r w:rsidR="00F2443E">
        <w:t>debe matizarse en su aplicación</w:t>
      </w:r>
      <w:r w:rsidR="002270A2" w:rsidRPr="004013D0">
        <w:t xml:space="preserve">. No </w:t>
      </w:r>
      <w:r w:rsidR="00F2443E">
        <w:t xml:space="preserve">parece que vaya a </w:t>
      </w:r>
      <w:r w:rsidR="002270A2" w:rsidRPr="004013D0">
        <w:t>afecta</w:t>
      </w:r>
      <w:r w:rsidR="00F2443E">
        <w:t>r</w:t>
      </w:r>
      <w:r w:rsidR="002270A2" w:rsidRPr="004013D0">
        <w:t xml:space="preserve"> cuando quien decide el justiprecio es </w:t>
      </w:r>
      <w:r w:rsidR="002703EE" w:rsidRPr="004013D0">
        <w:t>e</w:t>
      </w:r>
      <w:r w:rsidR="002270A2" w:rsidRPr="004013D0">
        <w:t>l Jurado Provincial de Expropiación Forzosa</w:t>
      </w:r>
      <w:r w:rsidR="002703EE" w:rsidRPr="004013D0">
        <w:t xml:space="preserve"> (esto es,</w:t>
      </w:r>
      <w:r w:rsidR="00F2443E">
        <w:t xml:space="preserve"> en </w:t>
      </w:r>
      <w:r w:rsidR="00F2443E">
        <w:lastRenderedPageBreak/>
        <w:t>expropiaciones ejecutadas por</w:t>
      </w:r>
      <w:r w:rsidR="002703EE" w:rsidRPr="004013D0">
        <w:t xml:space="preserve"> la Administración del Estado), órgano paritario, equilibrado e imparcial</w:t>
      </w:r>
      <w:r w:rsidR="00F2443E">
        <w:t xml:space="preserve"> (en teoría),</w:t>
      </w:r>
      <w:r w:rsidR="002703EE" w:rsidRPr="004013D0">
        <w:t xml:space="preserve"> </w:t>
      </w:r>
      <w:r w:rsidR="00F2443E">
        <w:t xml:space="preserve">con la protección que ofrece </w:t>
      </w:r>
      <w:r w:rsidR="002703EE" w:rsidRPr="004013D0">
        <w:t>el artículo 32.1 LEF. Pero sí cuando, por el contrario, quien marca el precio que ha de abonarse por unos terrenos son los Jurados y Comisiones</w:t>
      </w:r>
      <w:r w:rsidR="00F2443E">
        <w:t xml:space="preserve"> Provinciales de corte</w:t>
      </w:r>
      <w:r w:rsidR="002703EE" w:rsidRPr="004013D0">
        <w:t xml:space="preserve"> autonómico; órganos administrativos estructuralmente parciales, carentes de la más mínima objetividad y neutralidad en los supuestos de expropiaciones autonómicas y municipales. En este último supuesto, </w:t>
      </w:r>
      <w:r w:rsidRPr="004013D0">
        <w:t xml:space="preserve">el </w:t>
      </w:r>
      <w:r w:rsidR="002703EE" w:rsidRPr="004013D0">
        <w:t>apriorístico</w:t>
      </w:r>
      <w:r w:rsidR="00F2443E">
        <w:t xml:space="preserve"> y casi pretextado</w:t>
      </w:r>
      <w:r w:rsidR="002703EE" w:rsidRPr="004013D0">
        <w:t xml:space="preserve"> motivo</w:t>
      </w:r>
      <w:r w:rsidRPr="004013D0">
        <w:t xml:space="preserve"> de que quien decide la indemnización por la expropiación de los terrenos es otro órgano distinto al que finalmente paga, </w:t>
      </w:r>
      <w:r w:rsidR="002703EE" w:rsidRPr="004013D0">
        <w:t>no basta</w:t>
      </w:r>
      <w:r w:rsidRPr="004013D0">
        <w:t xml:space="preserve"> para negar</w:t>
      </w:r>
      <w:r w:rsidR="00F2443E">
        <w:t>le</w:t>
      </w:r>
      <w:r w:rsidRPr="004013D0">
        <w:t xml:space="preserve"> la extrapolación de los efectos de la reciente sentencia del Suprem</w:t>
      </w:r>
      <w:r w:rsidR="00F2443E">
        <w:t>o</w:t>
      </w:r>
      <w:r w:rsidR="00721337" w:rsidRPr="004013D0">
        <w:t>, ya que la administración municipal y, por tanto, expropiante, se encuentra incluida en la composición de este órgano autonómico</w:t>
      </w:r>
      <w:r w:rsidR="00F2443E">
        <w:t xml:space="preserve"> compuesto en exclusiva por funcionarios</w:t>
      </w:r>
      <w:r w:rsidR="00721337" w:rsidRPr="004013D0">
        <w:t>, decidiendo en consecuencia.</w:t>
      </w:r>
    </w:p>
    <w:p w14:paraId="5D99D0D6" w14:textId="77777777" w:rsidR="007721B6" w:rsidRPr="004013D0" w:rsidRDefault="007721B6" w:rsidP="007721B6">
      <w:pPr>
        <w:jc w:val="both"/>
      </w:pPr>
    </w:p>
    <w:p w14:paraId="62BBE883" w14:textId="56D84BC3" w:rsidR="007721B6" w:rsidRPr="004013D0" w:rsidRDefault="007721B6" w:rsidP="007721B6">
      <w:pPr>
        <w:jc w:val="both"/>
      </w:pPr>
      <w:r w:rsidRPr="004013D0">
        <w:tab/>
        <w:t xml:space="preserve">La sentencia del Alto Tribunal, en definitiva, puede y debe tener efectos en la práctica jurídica de nuestros tribunales. Ahora es turno de que los tribunales menores la apliquen, tomando en cuenta sus consideraciones jurídicas, de gran calado para el futuro.  </w:t>
      </w:r>
    </w:p>
    <w:p w14:paraId="5DD3E18C" w14:textId="77777777" w:rsidR="007721B6" w:rsidRPr="004013D0" w:rsidRDefault="007721B6" w:rsidP="007721B6">
      <w:pPr>
        <w:jc w:val="both"/>
      </w:pPr>
    </w:p>
    <w:p w14:paraId="2480B0A5" w14:textId="768C52B6" w:rsidR="007721B6" w:rsidRDefault="007721B6" w:rsidP="007721B6">
      <w:pPr>
        <w:widowControl w:val="0"/>
        <w:autoSpaceDE w:val="0"/>
        <w:autoSpaceDN w:val="0"/>
        <w:adjustRightInd w:val="0"/>
        <w:jc w:val="both"/>
        <w:rPr>
          <w:b/>
          <w:bCs/>
          <w:u w:val="single"/>
        </w:rPr>
      </w:pPr>
    </w:p>
    <w:p w14:paraId="004E1917" w14:textId="71130403" w:rsidR="00F2443E" w:rsidRDefault="00F2443E" w:rsidP="007721B6">
      <w:pPr>
        <w:widowControl w:val="0"/>
        <w:autoSpaceDE w:val="0"/>
        <w:autoSpaceDN w:val="0"/>
        <w:adjustRightInd w:val="0"/>
        <w:jc w:val="both"/>
        <w:rPr>
          <w:b/>
          <w:bCs/>
          <w:u w:val="single"/>
        </w:rPr>
      </w:pPr>
    </w:p>
    <w:p w14:paraId="018DD217" w14:textId="77777777" w:rsidR="003C6859" w:rsidRDefault="003C6859" w:rsidP="007721B6">
      <w:pPr>
        <w:widowControl w:val="0"/>
        <w:autoSpaceDE w:val="0"/>
        <w:autoSpaceDN w:val="0"/>
        <w:adjustRightInd w:val="0"/>
        <w:jc w:val="both"/>
        <w:rPr>
          <w:b/>
          <w:bCs/>
          <w:u w:val="single"/>
        </w:rPr>
      </w:pPr>
    </w:p>
    <w:p w14:paraId="62884C77" w14:textId="77777777" w:rsidR="00F2443E" w:rsidRPr="004013D0" w:rsidRDefault="00F2443E" w:rsidP="007721B6">
      <w:pPr>
        <w:widowControl w:val="0"/>
        <w:autoSpaceDE w:val="0"/>
        <w:autoSpaceDN w:val="0"/>
        <w:adjustRightInd w:val="0"/>
        <w:jc w:val="both"/>
        <w:rPr>
          <w:b/>
          <w:bCs/>
          <w:u w:val="single"/>
        </w:rPr>
      </w:pPr>
    </w:p>
    <w:p w14:paraId="78057C49" w14:textId="38C17E85" w:rsidR="007721B6" w:rsidRDefault="007721B6" w:rsidP="007721B6">
      <w:pPr>
        <w:widowControl w:val="0"/>
        <w:autoSpaceDE w:val="0"/>
        <w:autoSpaceDN w:val="0"/>
        <w:adjustRightInd w:val="0"/>
        <w:ind w:firstLine="708"/>
        <w:jc w:val="both"/>
        <w:rPr>
          <w:b/>
          <w:bCs/>
          <w:u w:val="single"/>
        </w:rPr>
      </w:pPr>
      <w:r w:rsidRPr="004013D0">
        <w:rPr>
          <w:b/>
          <w:bCs/>
          <w:u w:val="single"/>
        </w:rPr>
        <w:t>V.- Conclusiones.</w:t>
      </w:r>
    </w:p>
    <w:p w14:paraId="721F76B4" w14:textId="77777777" w:rsidR="003C6859" w:rsidRPr="004013D0" w:rsidRDefault="003C6859" w:rsidP="007721B6">
      <w:pPr>
        <w:widowControl w:val="0"/>
        <w:autoSpaceDE w:val="0"/>
        <w:autoSpaceDN w:val="0"/>
        <w:adjustRightInd w:val="0"/>
        <w:ind w:firstLine="708"/>
        <w:jc w:val="both"/>
        <w:rPr>
          <w:b/>
          <w:bCs/>
          <w:u w:val="single"/>
        </w:rPr>
      </w:pPr>
    </w:p>
    <w:p w14:paraId="057DEE44" w14:textId="77777777" w:rsidR="007721B6" w:rsidRPr="004013D0" w:rsidRDefault="007721B6" w:rsidP="007721B6">
      <w:pPr>
        <w:widowControl w:val="0"/>
        <w:autoSpaceDE w:val="0"/>
        <w:autoSpaceDN w:val="0"/>
        <w:adjustRightInd w:val="0"/>
        <w:jc w:val="both"/>
      </w:pPr>
    </w:p>
    <w:p w14:paraId="4B2A4FFD" w14:textId="17E17EFE" w:rsidR="007721B6" w:rsidRPr="004013D0" w:rsidRDefault="007721B6" w:rsidP="007721B6">
      <w:pPr>
        <w:widowControl w:val="0"/>
        <w:autoSpaceDE w:val="0"/>
        <w:autoSpaceDN w:val="0"/>
        <w:adjustRightInd w:val="0"/>
        <w:ind w:firstLine="708"/>
        <w:jc w:val="both"/>
      </w:pPr>
      <w:r w:rsidRPr="004013D0">
        <w:t xml:space="preserve">La sentencia del Tribunal Supremo, de 17 de febrero de 2022, ha supuesto un giro radical al atavismo con que el propio Alto Tribunal volvía sobre la fuerza probatoria </w:t>
      </w:r>
      <w:r w:rsidR="00F2443E">
        <w:t xml:space="preserve">en el ámbito contencioso </w:t>
      </w:r>
      <w:r w:rsidRPr="004013D0">
        <w:t>de los dictámenes periciales emanados de la administración pública. Señala que, ante la falta de normativa específica en el Derecho Administrativo sobre los medios de prueba y su valoración, para determinar la naturaleza y fuerza probatoria de los informes y dictámenes elaborados por expertos de la administración, hay que estar a la legislación procesal civil, debiéndose valorar los mismos conforme a “</w:t>
      </w:r>
      <w:r w:rsidRPr="004013D0">
        <w:rPr>
          <w:i/>
          <w:iCs/>
        </w:rPr>
        <w:t>las reglas de la sana crítica</w:t>
      </w:r>
      <w:r w:rsidRPr="004013D0">
        <w:t xml:space="preserve">”, </w:t>
      </w:r>
      <w:r w:rsidR="00F2443E" w:rsidRPr="004013D0">
        <w:t>de acuerdo con</w:t>
      </w:r>
      <w:r w:rsidRPr="004013D0">
        <w:t xml:space="preserve"> lo dispuesto en el artículo 348 de la Ley de Enjuiciamiento Civil. </w:t>
      </w:r>
    </w:p>
    <w:p w14:paraId="314B79F9" w14:textId="77777777" w:rsidR="007721B6" w:rsidRPr="004013D0" w:rsidRDefault="007721B6" w:rsidP="007721B6">
      <w:pPr>
        <w:widowControl w:val="0"/>
        <w:autoSpaceDE w:val="0"/>
        <w:autoSpaceDN w:val="0"/>
        <w:adjustRightInd w:val="0"/>
        <w:ind w:firstLine="708"/>
        <w:jc w:val="both"/>
      </w:pPr>
    </w:p>
    <w:p w14:paraId="37930FDD" w14:textId="27F7C2D8" w:rsidR="007721B6" w:rsidRPr="004013D0" w:rsidRDefault="007721B6" w:rsidP="007721B6">
      <w:pPr>
        <w:widowControl w:val="0"/>
        <w:autoSpaceDE w:val="0"/>
        <w:autoSpaceDN w:val="0"/>
        <w:adjustRightInd w:val="0"/>
        <w:ind w:firstLine="708"/>
        <w:jc w:val="both"/>
      </w:pPr>
      <w:r w:rsidRPr="004013D0">
        <w:t xml:space="preserve">De ese modo, permite revisar para futuras resoluciones judiciales el presupuesto equivocado de la presunta e infundada “imparcialidad y objetividad”, sin excepciones, de los dictámenes elaborados por los funcionarios públicos pertenecientes a la administración interesada. </w:t>
      </w:r>
    </w:p>
    <w:p w14:paraId="1FD452ED" w14:textId="77777777" w:rsidR="007721B6" w:rsidRPr="004013D0" w:rsidRDefault="007721B6" w:rsidP="007721B6">
      <w:pPr>
        <w:widowControl w:val="0"/>
        <w:autoSpaceDE w:val="0"/>
        <w:autoSpaceDN w:val="0"/>
        <w:adjustRightInd w:val="0"/>
        <w:ind w:firstLine="708"/>
        <w:jc w:val="both"/>
      </w:pPr>
    </w:p>
    <w:p w14:paraId="2F7E0612" w14:textId="1A494679" w:rsidR="007721B6" w:rsidRPr="004013D0" w:rsidRDefault="007721B6" w:rsidP="007721B6">
      <w:pPr>
        <w:widowControl w:val="0"/>
        <w:autoSpaceDE w:val="0"/>
        <w:autoSpaceDN w:val="0"/>
        <w:adjustRightInd w:val="0"/>
        <w:ind w:firstLine="708"/>
        <w:jc w:val="both"/>
      </w:pPr>
      <w:r w:rsidRPr="004013D0">
        <w:t>Esto ya no es una posibilidad, pues 1) quien es parte</w:t>
      </w:r>
      <w:r w:rsidR="00F2443E">
        <w:t>,</w:t>
      </w:r>
      <w:r w:rsidRPr="004013D0">
        <w:t xml:space="preserve"> no es imparcial; 2) no todos los expertos al servicio de la Administración se encuentran en una misma situación de dependencia con respecto al órgano administrativo llamado a decidir, encontrándose invalidados -a estos efectos prevalentes- aquellos que sí dependen jerárquicamente de la administración a la que sirven (que son casi todos); y 3) </w:t>
      </w:r>
      <w:r w:rsidR="00F2443E">
        <w:t xml:space="preserve">la ratificación en presencia judicial, sometida a la inmediación y participación de interesados en el proceso (con posibilidad de exigir </w:t>
      </w:r>
      <w:r w:rsidR="00F2443E" w:rsidRPr="004013D0">
        <w:t>aclaración o explicación</w:t>
      </w:r>
      <w:r w:rsidRPr="004013D0">
        <w:t xml:space="preserve"> posterior</w:t>
      </w:r>
      <w:r w:rsidR="00F2443E">
        <w:t xml:space="preserve">), </w:t>
      </w:r>
      <w:r w:rsidRPr="004013D0">
        <w:t xml:space="preserve">es vital para no perder la condición de </w:t>
      </w:r>
      <w:r w:rsidRPr="00F2443E">
        <w:rPr>
          <w:i/>
          <w:iCs/>
        </w:rPr>
        <w:t>prueba pericial</w:t>
      </w:r>
      <w:r w:rsidRPr="004013D0">
        <w:t>.</w:t>
      </w:r>
    </w:p>
    <w:p w14:paraId="10BBAE51" w14:textId="77777777" w:rsidR="007721B6" w:rsidRPr="004013D0" w:rsidRDefault="007721B6" w:rsidP="007721B6">
      <w:pPr>
        <w:widowControl w:val="0"/>
        <w:autoSpaceDE w:val="0"/>
        <w:autoSpaceDN w:val="0"/>
        <w:adjustRightInd w:val="0"/>
        <w:ind w:firstLine="708"/>
        <w:jc w:val="both"/>
      </w:pPr>
    </w:p>
    <w:p w14:paraId="0B1B21BC" w14:textId="0A9600FE" w:rsidR="007721B6" w:rsidRPr="004013D0" w:rsidRDefault="007721B6" w:rsidP="007721B6">
      <w:pPr>
        <w:widowControl w:val="0"/>
        <w:autoSpaceDE w:val="0"/>
        <w:autoSpaceDN w:val="0"/>
        <w:adjustRightInd w:val="0"/>
        <w:ind w:firstLine="708"/>
        <w:jc w:val="both"/>
        <w:rPr>
          <w:b/>
          <w:bCs/>
        </w:rPr>
      </w:pPr>
      <w:r w:rsidRPr="004013D0">
        <w:t>Estas tres premisas</w:t>
      </w:r>
      <w:r w:rsidR="00F2443E">
        <w:t>,</w:t>
      </w:r>
      <w:r w:rsidRPr="004013D0">
        <w:t xml:space="preserve"> que el Supremo implementa como novedad en su reciente sentencia, en la práctica jurídica proponen un profundo cambio de orientación que puede </w:t>
      </w:r>
      <w:r w:rsidRPr="004013D0">
        <w:lastRenderedPageBreak/>
        <w:t xml:space="preserve">provocar el debilitamiento de las defensas de las administraciones públicas en </w:t>
      </w:r>
      <w:r w:rsidR="004D36FA">
        <w:t xml:space="preserve">casi todos los </w:t>
      </w:r>
      <w:r w:rsidRPr="004013D0">
        <w:t xml:space="preserve">supuestos de planificación, gestión y disciplina urbanística; o incluso, en deslinde de costas, obras públicas y otros ámbitos allí donde tradicionalmente las Administraciones Públicas más se han prevalido de su posición de superioridad, </w:t>
      </w:r>
      <w:r w:rsidR="004D36FA">
        <w:t xml:space="preserve">y </w:t>
      </w:r>
      <w:r w:rsidR="002703EE" w:rsidRPr="004013D0">
        <w:t>también c</w:t>
      </w:r>
      <w:r w:rsidRPr="004013D0">
        <w:t xml:space="preserve">omo ocurre con la expropiación forzosa allí donde </w:t>
      </w:r>
      <w:r w:rsidR="004D36FA">
        <w:t>los</w:t>
      </w:r>
      <w:r w:rsidRPr="004013D0">
        <w:t xml:space="preserve"> órgano</w:t>
      </w:r>
      <w:r w:rsidR="004D36FA">
        <w:t>s</w:t>
      </w:r>
      <w:r w:rsidRPr="004013D0">
        <w:t xml:space="preserve"> encargado</w:t>
      </w:r>
      <w:r w:rsidR="004D36FA">
        <w:t>s</w:t>
      </w:r>
      <w:r w:rsidRPr="004013D0">
        <w:t xml:space="preserve"> de determinar el justiprecio </w:t>
      </w:r>
      <w:r w:rsidR="004D36FA">
        <w:t>son</w:t>
      </w:r>
      <w:r w:rsidRPr="004013D0">
        <w:t xml:space="preserve"> las Comisiones Provinciales</w:t>
      </w:r>
      <w:r w:rsidR="004D36FA">
        <w:t xml:space="preserve"> o Jurados</w:t>
      </w:r>
      <w:r w:rsidRPr="004013D0">
        <w:t xml:space="preserve"> autonómic</w:t>
      </w:r>
      <w:r w:rsidR="004D36FA">
        <w:t>o</w:t>
      </w:r>
      <w:r w:rsidRPr="004013D0">
        <w:t>s</w:t>
      </w:r>
      <w:r w:rsidR="00A72B8E" w:rsidRPr="004013D0">
        <w:t xml:space="preserve"> (no</w:t>
      </w:r>
      <w:r w:rsidR="004D36FA">
        <w:t xml:space="preserve"> así</w:t>
      </w:r>
      <w:r w:rsidR="00A72B8E" w:rsidRPr="004013D0">
        <w:t xml:space="preserve"> en los Jurados Provinciales de Expropiación Forzosa)</w:t>
      </w:r>
      <w:r w:rsidRPr="004013D0">
        <w:t xml:space="preserve">. </w:t>
      </w:r>
    </w:p>
    <w:p w14:paraId="2AE9E7A4" w14:textId="77777777" w:rsidR="007721B6" w:rsidRPr="004013D0" w:rsidRDefault="007721B6" w:rsidP="007721B6">
      <w:pPr>
        <w:widowControl w:val="0"/>
        <w:autoSpaceDE w:val="0"/>
        <w:autoSpaceDN w:val="0"/>
        <w:adjustRightInd w:val="0"/>
        <w:ind w:firstLine="708"/>
        <w:jc w:val="both"/>
      </w:pPr>
    </w:p>
    <w:p w14:paraId="6A6836D9" w14:textId="245A6F42" w:rsidR="007721B6" w:rsidRPr="004013D0" w:rsidRDefault="007721B6" w:rsidP="007721B6">
      <w:pPr>
        <w:widowControl w:val="0"/>
        <w:autoSpaceDE w:val="0"/>
        <w:autoSpaceDN w:val="0"/>
        <w:adjustRightInd w:val="0"/>
        <w:ind w:firstLine="708"/>
        <w:jc w:val="both"/>
      </w:pPr>
      <w:r w:rsidRPr="004013D0">
        <w:t>Los dictámenes de peritos</w:t>
      </w:r>
      <w:r w:rsidR="004D36FA">
        <w:t xml:space="preserve"> funcionarios</w:t>
      </w:r>
      <w:r w:rsidRPr="004013D0">
        <w:t>, a partir de ahora, deberán valorarse en igual condición</w:t>
      </w:r>
      <w:r w:rsidR="004D36FA">
        <w:t xml:space="preserve"> que el resto de pruebas y peritajes</w:t>
      </w:r>
      <w:r w:rsidRPr="004013D0">
        <w:t>, sin que ninguno de ellos pueda tener una mejor posición procesal.</w:t>
      </w:r>
      <w:r w:rsidR="00A72B8E" w:rsidRPr="004013D0">
        <w:t xml:space="preserve"> Los principios de igualdad de armas y de equilibrio de intereses deben ser respetados, prevaleciendo sobre una presunción de validez inexistente en nuestra normativa administrativa.  </w:t>
      </w:r>
      <w:r w:rsidRPr="004013D0">
        <w:rPr>
          <w:strike/>
        </w:rPr>
        <w:t xml:space="preserve"> </w:t>
      </w:r>
    </w:p>
    <w:p w14:paraId="7EA4A8DD" w14:textId="77777777" w:rsidR="007721B6" w:rsidRPr="004013D0" w:rsidRDefault="007721B6" w:rsidP="007721B6">
      <w:pPr>
        <w:widowControl w:val="0"/>
        <w:autoSpaceDE w:val="0"/>
        <w:autoSpaceDN w:val="0"/>
        <w:adjustRightInd w:val="0"/>
        <w:ind w:firstLine="708"/>
        <w:jc w:val="both"/>
      </w:pPr>
    </w:p>
    <w:p w14:paraId="0DEF32DB" w14:textId="5A32EDE6" w:rsidR="007721B6" w:rsidRPr="004013D0" w:rsidRDefault="007721B6" w:rsidP="007721B6">
      <w:pPr>
        <w:widowControl w:val="0"/>
        <w:autoSpaceDE w:val="0"/>
        <w:autoSpaceDN w:val="0"/>
        <w:adjustRightInd w:val="0"/>
        <w:ind w:firstLine="708"/>
        <w:jc w:val="both"/>
      </w:pPr>
      <w:r w:rsidRPr="004013D0">
        <w:t>No perdamos</w:t>
      </w:r>
      <w:r w:rsidR="00721337" w:rsidRPr="004013D0">
        <w:t xml:space="preserve"> la perspectiva</w:t>
      </w:r>
      <w:r w:rsidR="008C6412" w:rsidRPr="004013D0">
        <w:t>, como lo asegura desde antiguo la doctrina más especializada</w:t>
      </w:r>
      <w:r w:rsidR="008C6412" w:rsidRPr="004013D0">
        <w:rPr>
          <w:rStyle w:val="Refdenotaalpie"/>
        </w:rPr>
        <w:footnoteReference w:id="38"/>
      </w:r>
      <w:r w:rsidR="008C6412" w:rsidRPr="004013D0">
        <w:t>,</w:t>
      </w:r>
      <w:r w:rsidRPr="004013D0">
        <w:t xml:space="preserve"> de que los informes emitidos por la propia administración se sitúan en la actual LPAC´15 dentro de los actos de instrucción del procedimiento, cuyo objeto no es otro suministrar elementos de juicio o de ciencia para contribuir a la mejor decisión por parte del órgano competente para resolver. Por ello, si estos informes dejan de tener presunción de validez, el mismo acto finalizador del procedimiento, del que emana la declaración de voluntad de la administración pública, también dejará de tener esa misma presunción, ya que, en la mayor parte de las ocasiones, esos informes -ya sean facultativos o vinculantes- constituyen la piedra angular del acto administrativo posteriormente impugnado en el orden jurisdiccional contencioso administrativo.</w:t>
      </w:r>
    </w:p>
    <w:p w14:paraId="2C7EA5BF" w14:textId="77777777" w:rsidR="007721B6" w:rsidRPr="004013D0" w:rsidRDefault="007721B6" w:rsidP="007721B6">
      <w:pPr>
        <w:widowControl w:val="0"/>
        <w:autoSpaceDE w:val="0"/>
        <w:autoSpaceDN w:val="0"/>
        <w:adjustRightInd w:val="0"/>
        <w:ind w:firstLine="708"/>
        <w:jc w:val="both"/>
      </w:pPr>
    </w:p>
    <w:p w14:paraId="11A94DFB" w14:textId="7F9827CA" w:rsidR="007721B6" w:rsidRPr="004013D0" w:rsidRDefault="007721B6" w:rsidP="007721B6">
      <w:pPr>
        <w:widowControl w:val="0"/>
        <w:autoSpaceDE w:val="0"/>
        <w:autoSpaceDN w:val="0"/>
        <w:adjustRightInd w:val="0"/>
        <w:ind w:firstLine="708"/>
        <w:jc w:val="both"/>
      </w:pPr>
      <w:r w:rsidRPr="004013D0">
        <w:t xml:space="preserve">Estamos, pues, en la práctica, ante una resolución judicial de sustancial impacto </w:t>
      </w:r>
      <w:r w:rsidR="004D36FA">
        <w:t xml:space="preserve">debe ayudar a alcanzar, al fin, la </w:t>
      </w:r>
      <w:r w:rsidRPr="004013D0">
        <w:t>igualdad de condiciones a las partes procesales en litigios contenciosos.</w:t>
      </w:r>
    </w:p>
    <w:p w14:paraId="188C65CA" w14:textId="77777777" w:rsidR="007721B6" w:rsidRPr="004013D0" w:rsidRDefault="007721B6" w:rsidP="004708F6">
      <w:pPr>
        <w:widowControl w:val="0"/>
        <w:autoSpaceDE w:val="0"/>
        <w:autoSpaceDN w:val="0"/>
        <w:adjustRightInd w:val="0"/>
        <w:jc w:val="both"/>
        <w:rPr>
          <w:b/>
          <w:bCs/>
        </w:rPr>
      </w:pPr>
    </w:p>
    <w:p w14:paraId="220752DD" w14:textId="77777777" w:rsidR="007721B6" w:rsidRPr="004013D0" w:rsidRDefault="007721B6" w:rsidP="004708F6">
      <w:pPr>
        <w:widowControl w:val="0"/>
        <w:autoSpaceDE w:val="0"/>
        <w:autoSpaceDN w:val="0"/>
        <w:adjustRightInd w:val="0"/>
        <w:jc w:val="both"/>
        <w:rPr>
          <w:b/>
          <w:bCs/>
        </w:rPr>
      </w:pPr>
    </w:p>
    <w:p w14:paraId="182F1635" w14:textId="155AA6CD" w:rsidR="007721B6" w:rsidRDefault="007721B6" w:rsidP="004708F6">
      <w:pPr>
        <w:widowControl w:val="0"/>
        <w:autoSpaceDE w:val="0"/>
        <w:autoSpaceDN w:val="0"/>
        <w:adjustRightInd w:val="0"/>
        <w:jc w:val="both"/>
        <w:rPr>
          <w:b/>
          <w:bCs/>
        </w:rPr>
      </w:pPr>
    </w:p>
    <w:p w14:paraId="51BDB946" w14:textId="7679921C" w:rsidR="004D36FA" w:rsidRDefault="004D36FA" w:rsidP="004708F6">
      <w:pPr>
        <w:widowControl w:val="0"/>
        <w:autoSpaceDE w:val="0"/>
        <w:autoSpaceDN w:val="0"/>
        <w:adjustRightInd w:val="0"/>
        <w:jc w:val="both"/>
        <w:rPr>
          <w:b/>
          <w:bCs/>
        </w:rPr>
      </w:pPr>
    </w:p>
    <w:p w14:paraId="30E73AA7" w14:textId="352A3478" w:rsidR="004D36FA" w:rsidRDefault="004D36FA" w:rsidP="004708F6">
      <w:pPr>
        <w:widowControl w:val="0"/>
        <w:autoSpaceDE w:val="0"/>
        <w:autoSpaceDN w:val="0"/>
        <w:adjustRightInd w:val="0"/>
        <w:jc w:val="both"/>
        <w:rPr>
          <w:b/>
          <w:bCs/>
        </w:rPr>
      </w:pPr>
    </w:p>
    <w:p w14:paraId="2F2BAE7F" w14:textId="39D1FBE1" w:rsidR="00D34A3B" w:rsidRDefault="00D34A3B" w:rsidP="004708F6">
      <w:pPr>
        <w:widowControl w:val="0"/>
        <w:autoSpaceDE w:val="0"/>
        <w:autoSpaceDN w:val="0"/>
        <w:adjustRightInd w:val="0"/>
        <w:jc w:val="both"/>
        <w:rPr>
          <w:b/>
          <w:bCs/>
        </w:rPr>
      </w:pPr>
    </w:p>
    <w:p w14:paraId="47B8B3FD" w14:textId="13DDD52B" w:rsidR="00D34A3B" w:rsidRDefault="00D34A3B" w:rsidP="004708F6">
      <w:pPr>
        <w:widowControl w:val="0"/>
        <w:autoSpaceDE w:val="0"/>
        <w:autoSpaceDN w:val="0"/>
        <w:adjustRightInd w:val="0"/>
        <w:jc w:val="both"/>
        <w:rPr>
          <w:b/>
          <w:bCs/>
        </w:rPr>
      </w:pPr>
    </w:p>
    <w:p w14:paraId="40478772" w14:textId="77777777" w:rsidR="00D34A3B" w:rsidRDefault="00D34A3B" w:rsidP="004708F6">
      <w:pPr>
        <w:widowControl w:val="0"/>
        <w:autoSpaceDE w:val="0"/>
        <w:autoSpaceDN w:val="0"/>
        <w:adjustRightInd w:val="0"/>
        <w:jc w:val="both"/>
        <w:rPr>
          <w:b/>
          <w:bCs/>
        </w:rPr>
      </w:pPr>
    </w:p>
    <w:p w14:paraId="692134CF" w14:textId="1E8285C7" w:rsidR="004D36FA" w:rsidRDefault="004D36FA" w:rsidP="004D36FA">
      <w:pPr>
        <w:jc w:val="both"/>
        <w:rPr>
          <w:b/>
          <w:bCs/>
        </w:rPr>
      </w:pPr>
      <w:r w:rsidRPr="004D36FA">
        <w:rPr>
          <w:b/>
          <w:bCs/>
        </w:rPr>
        <w:t xml:space="preserve">VII.- Bibliografía. </w:t>
      </w:r>
    </w:p>
    <w:p w14:paraId="1052E250" w14:textId="7840775A" w:rsidR="004D36FA" w:rsidRDefault="004D36FA" w:rsidP="004D36FA">
      <w:pPr>
        <w:jc w:val="both"/>
        <w:rPr>
          <w:b/>
          <w:bCs/>
        </w:rPr>
      </w:pPr>
    </w:p>
    <w:p w14:paraId="5C2FB4F9" w14:textId="2D3EA946" w:rsidR="004D36FA" w:rsidRDefault="004D36FA" w:rsidP="004D36FA">
      <w:pPr>
        <w:jc w:val="both"/>
        <w:rPr>
          <w:b/>
          <w:bCs/>
        </w:rPr>
      </w:pPr>
    </w:p>
    <w:p w14:paraId="57F09CB9" w14:textId="44B94B2F" w:rsidR="004D36FA" w:rsidRDefault="004D36FA" w:rsidP="004D36FA">
      <w:pPr>
        <w:jc w:val="both"/>
        <w:rPr>
          <w:b/>
          <w:bCs/>
        </w:rPr>
      </w:pPr>
    </w:p>
    <w:p w14:paraId="6CB5BB7B" w14:textId="77777777" w:rsidR="009F1A5F" w:rsidRDefault="009F1A5F" w:rsidP="009F1A5F">
      <w:pPr>
        <w:pStyle w:val="Textonotapie"/>
      </w:pPr>
    </w:p>
    <w:p w14:paraId="13862C15" w14:textId="4C994C36" w:rsidR="004D36FA" w:rsidRDefault="009F1A5F" w:rsidP="009F1A5F">
      <w:pPr>
        <w:ind w:firstLine="708"/>
        <w:jc w:val="both"/>
        <w:rPr>
          <w:b/>
          <w:bCs/>
        </w:rPr>
      </w:pPr>
      <w:r w:rsidRPr="00B94CFF">
        <w:t>ABEL LLUCH, X</w:t>
      </w:r>
      <w:r w:rsidR="00D34A3B">
        <w:t>avier</w:t>
      </w:r>
      <w:r w:rsidRPr="00B94CFF">
        <w:t>, “Derecho probatorio”, editorial BOSCH, 2012</w:t>
      </w:r>
      <w:r>
        <w:t>.</w:t>
      </w:r>
    </w:p>
    <w:p w14:paraId="043B97B0" w14:textId="7D36E545" w:rsidR="004D36FA" w:rsidRDefault="004D36FA" w:rsidP="004D36FA">
      <w:pPr>
        <w:jc w:val="both"/>
        <w:rPr>
          <w:b/>
          <w:bCs/>
        </w:rPr>
      </w:pPr>
    </w:p>
    <w:p w14:paraId="3E0679F5" w14:textId="1221E677" w:rsidR="004D36FA" w:rsidRDefault="009F1A5F" w:rsidP="009F1A5F">
      <w:pPr>
        <w:ind w:firstLine="708"/>
        <w:jc w:val="both"/>
      </w:pPr>
      <w:r w:rsidRPr="00EB7E7A">
        <w:t>BARRERO RODRÍGUEZ, C</w:t>
      </w:r>
      <w:r>
        <w:t>oncepción</w:t>
      </w:r>
      <w:r w:rsidRPr="00EB7E7A">
        <w:t>. “La prueba en el procedimiento administrativo”, Aranzadi, 2001</w:t>
      </w:r>
      <w:r w:rsidR="00D34A3B">
        <w:t>.</w:t>
      </w:r>
    </w:p>
    <w:p w14:paraId="540DB5FD" w14:textId="2D0B8C65" w:rsidR="009F1A5F" w:rsidRDefault="009F1A5F" w:rsidP="009F1A5F">
      <w:pPr>
        <w:ind w:firstLine="708"/>
        <w:jc w:val="both"/>
      </w:pPr>
    </w:p>
    <w:p w14:paraId="2F15BE3B" w14:textId="6D3A2CAD" w:rsidR="009F1A5F" w:rsidRPr="009F1A5F" w:rsidRDefault="009F1A5F" w:rsidP="009F1A5F">
      <w:pPr>
        <w:ind w:firstLine="708"/>
        <w:jc w:val="both"/>
      </w:pPr>
      <w:r>
        <w:lastRenderedPageBreak/>
        <w:t>CHAMORRO BERNAL, F</w:t>
      </w:r>
      <w:r w:rsidR="00D34A3B">
        <w:t>rancisco</w:t>
      </w:r>
      <w:r>
        <w:t>, “La tutela judicial efectiva. Derecho y garantías procesales derivadas del artículo 24.1 de la Constitución”, Bosch, Barcelona, 1994.</w:t>
      </w:r>
    </w:p>
    <w:p w14:paraId="19827AF0" w14:textId="77777777" w:rsidR="004D36FA" w:rsidRDefault="004D36FA" w:rsidP="004D36FA">
      <w:pPr>
        <w:jc w:val="both"/>
        <w:rPr>
          <w:b/>
          <w:bCs/>
        </w:rPr>
      </w:pPr>
    </w:p>
    <w:p w14:paraId="3DB2F638" w14:textId="4E35F378" w:rsidR="004D36FA" w:rsidRDefault="004D36FA" w:rsidP="004D36FA">
      <w:pPr>
        <w:widowControl w:val="0"/>
        <w:autoSpaceDE w:val="0"/>
        <w:autoSpaceDN w:val="0"/>
        <w:adjustRightInd w:val="0"/>
        <w:ind w:firstLine="708"/>
        <w:jc w:val="both"/>
      </w:pPr>
      <w:r>
        <w:t xml:space="preserve">CORRAL GARCÍA, </w:t>
      </w:r>
      <w:r w:rsidR="009F1A5F">
        <w:t>Esteban</w:t>
      </w:r>
      <w:r>
        <w:t xml:space="preserve"> </w:t>
      </w:r>
      <w:r w:rsidRPr="004D36FA">
        <w:t>“Expropiación municipal con especial atención a los supuestos expropiatorios en la legislación urbanística de las Autonomías</w:t>
      </w:r>
      <w:r>
        <w:t>”, El Consultor de los Ayuntamientos, Madrid, 1ª ed., 2000</w:t>
      </w:r>
      <w:r w:rsidR="00D34A3B">
        <w:t>.</w:t>
      </w:r>
    </w:p>
    <w:p w14:paraId="41CC232F" w14:textId="4F6E935F" w:rsidR="004D36FA" w:rsidRDefault="004D36FA" w:rsidP="004D36FA">
      <w:pPr>
        <w:widowControl w:val="0"/>
        <w:autoSpaceDE w:val="0"/>
        <w:autoSpaceDN w:val="0"/>
        <w:adjustRightInd w:val="0"/>
        <w:ind w:firstLine="708"/>
        <w:jc w:val="both"/>
      </w:pPr>
    </w:p>
    <w:p w14:paraId="27039211" w14:textId="664F05BC" w:rsidR="004D36FA" w:rsidRDefault="004D36FA" w:rsidP="004D36FA">
      <w:pPr>
        <w:widowControl w:val="0"/>
        <w:autoSpaceDE w:val="0"/>
        <w:autoSpaceDN w:val="0"/>
        <w:adjustRightInd w:val="0"/>
        <w:ind w:firstLine="708"/>
        <w:jc w:val="both"/>
      </w:pPr>
      <w:r>
        <w:t xml:space="preserve">FERNÁNDEZ, </w:t>
      </w:r>
      <w:r w:rsidR="009F1A5F">
        <w:t>Tomas</w:t>
      </w:r>
      <w:r w:rsidR="009F1A5F" w:rsidRPr="004D36FA">
        <w:t xml:space="preserve"> </w:t>
      </w:r>
      <w:r w:rsidR="009F1A5F">
        <w:t xml:space="preserve">Ramón, </w:t>
      </w:r>
      <w:r>
        <w:t>“</w:t>
      </w:r>
      <w:r w:rsidRPr="004D36FA">
        <w:t>Notas sobre el proceso continuo y silencio de erosión del Derecho Estatal y de las garantías jurídicas de los ciudadanos: el caso de los Jurados autonómicos de expropiación</w:t>
      </w:r>
      <w:r>
        <w:t>”, Revista de Administración Pública 153, año 2000</w:t>
      </w:r>
      <w:r w:rsidR="00D34A3B">
        <w:t>.</w:t>
      </w:r>
    </w:p>
    <w:p w14:paraId="45D9EF6D" w14:textId="54C2FCAB" w:rsidR="004D36FA" w:rsidRDefault="004D36FA" w:rsidP="004D36FA">
      <w:pPr>
        <w:widowControl w:val="0"/>
        <w:autoSpaceDE w:val="0"/>
        <w:autoSpaceDN w:val="0"/>
        <w:adjustRightInd w:val="0"/>
        <w:ind w:firstLine="708"/>
        <w:jc w:val="both"/>
      </w:pPr>
    </w:p>
    <w:p w14:paraId="3592C587" w14:textId="0B86D310" w:rsidR="004D36FA" w:rsidRDefault="004D36FA" w:rsidP="004D36FA">
      <w:pPr>
        <w:widowControl w:val="0"/>
        <w:autoSpaceDE w:val="0"/>
        <w:autoSpaceDN w:val="0"/>
        <w:adjustRightInd w:val="0"/>
        <w:ind w:firstLine="708"/>
        <w:jc w:val="both"/>
      </w:pPr>
      <w:r>
        <w:t xml:space="preserve">FERNADEZ TORRES, </w:t>
      </w:r>
      <w:r w:rsidR="009F1A5F">
        <w:t>Juan Ramón</w:t>
      </w:r>
      <w:r>
        <w:t>, “¿</w:t>
      </w:r>
      <w:r w:rsidRPr="00D34A3B">
        <w:rPr>
          <w:i/>
          <w:iCs/>
        </w:rPr>
        <w:t>Alguien cree de verdad que es conforme a la Constitución la regulación de los Jurados Autonómicos de Expropiación Forzosa? (A propósito de las Sentencias del Tribunal Constitucional 251/2006, de 25 de julio, 313/2006, 314/2006 y 315/2006, de 8 de noviembre)</w:t>
      </w:r>
      <w:r>
        <w:t xml:space="preserve">” Revista de Urbanismo y Edificación, 2006, </w:t>
      </w:r>
    </w:p>
    <w:p w14:paraId="5AB0A49B" w14:textId="77777777" w:rsidR="004D36FA" w:rsidRDefault="004D36FA" w:rsidP="004D36FA">
      <w:pPr>
        <w:pStyle w:val="Textonotapie"/>
      </w:pPr>
    </w:p>
    <w:p w14:paraId="57641552" w14:textId="6743B399" w:rsidR="004D36FA" w:rsidRDefault="004D36FA" w:rsidP="004D36FA">
      <w:pPr>
        <w:widowControl w:val="0"/>
        <w:autoSpaceDE w:val="0"/>
        <w:autoSpaceDN w:val="0"/>
        <w:adjustRightInd w:val="0"/>
        <w:ind w:firstLine="708"/>
        <w:jc w:val="both"/>
      </w:pPr>
      <w:r>
        <w:t xml:space="preserve">FERNANDEZ TORRES, </w:t>
      </w:r>
      <w:r w:rsidR="009F1A5F">
        <w:t xml:space="preserve">Juan Ramón </w:t>
      </w:r>
      <w:r>
        <w:t>“</w:t>
      </w:r>
      <w:r w:rsidRPr="00CA40F8">
        <w:rPr>
          <w:i/>
          <w:iCs/>
        </w:rPr>
        <w:t>Estudio Integral de las Expropiaciones Urbanísticas</w:t>
      </w:r>
      <w:r>
        <w:t>”, Thompson Aranzadi, 2ª Ed, 2007.</w:t>
      </w:r>
    </w:p>
    <w:p w14:paraId="2B4DD910" w14:textId="648D048A" w:rsidR="009F1A5F" w:rsidRDefault="009F1A5F" w:rsidP="004D36FA">
      <w:pPr>
        <w:widowControl w:val="0"/>
        <w:autoSpaceDE w:val="0"/>
        <w:autoSpaceDN w:val="0"/>
        <w:adjustRightInd w:val="0"/>
        <w:ind w:firstLine="708"/>
        <w:jc w:val="both"/>
      </w:pPr>
    </w:p>
    <w:p w14:paraId="10F41826" w14:textId="44ACACE3" w:rsidR="009F1A5F" w:rsidRDefault="009F1A5F" w:rsidP="004D36FA">
      <w:pPr>
        <w:widowControl w:val="0"/>
        <w:autoSpaceDE w:val="0"/>
        <w:autoSpaceDN w:val="0"/>
        <w:adjustRightInd w:val="0"/>
        <w:ind w:firstLine="708"/>
        <w:jc w:val="both"/>
      </w:pPr>
      <w:r w:rsidRPr="0061626C">
        <w:t xml:space="preserve">GALLARDO CASTILLO, M. </w:t>
      </w:r>
      <w:r w:rsidR="00D34A3B" w:rsidRPr="0061626C">
        <w:t>Jesús</w:t>
      </w:r>
      <w:r w:rsidRPr="0061626C">
        <w:t>, “Régimen Jurídico de las Administraciones Públicas y Procedimiento Administrativo Común, Comentario sistemático a la Ley 30/1992, de 26 de noviembre”, Editorial TECNOS, 2010</w:t>
      </w:r>
      <w:r>
        <w:t>.</w:t>
      </w:r>
    </w:p>
    <w:p w14:paraId="3BC551B6" w14:textId="77777777" w:rsidR="004D36FA" w:rsidRPr="004D36FA" w:rsidRDefault="004D36FA" w:rsidP="004D36FA">
      <w:pPr>
        <w:jc w:val="both"/>
        <w:rPr>
          <w:b/>
          <w:bCs/>
        </w:rPr>
      </w:pPr>
    </w:p>
    <w:p w14:paraId="67F3DE6A" w14:textId="1AC5E68B" w:rsidR="00D34A3B" w:rsidRDefault="00D34A3B" w:rsidP="004D36FA">
      <w:pPr>
        <w:widowControl w:val="0"/>
        <w:autoSpaceDE w:val="0"/>
        <w:autoSpaceDN w:val="0"/>
        <w:adjustRightInd w:val="0"/>
        <w:ind w:firstLine="708"/>
        <w:jc w:val="both"/>
      </w:pPr>
      <w:r w:rsidRPr="00637E85">
        <w:t>GARCÍA DE ENTERRÍA MARTINEZ-CARANDE, Eduardo, “</w:t>
      </w:r>
      <w:r w:rsidRPr="00637E85">
        <w:rPr>
          <w:i/>
          <w:iCs/>
        </w:rPr>
        <w:t>La lucha contra las inmunidades del poder en el derecho administrativo (poderes discrecionales, poderes de gobierno, poderes normativos)</w:t>
      </w:r>
      <w:r w:rsidRPr="00637E85">
        <w:t xml:space="preserve">”; </w:t>
      </w:r>
      <w:hyperlink r:id="rId13" w:history="1">
        <w:r w:rsidRPr="00637E85">
          <w:t>Revista de administración pública</w:t>
        </w:r>
      </w:hyperlink>
      <w:r w:rsidRPr="00637E85">
        <w:t>, ISSN 0034-7639, </w:t>
      </w:r>
      <w:hyperlink r:id="rId14" w:history="1">
        <w:r w:rsidRPr="00637E85">
          <w:t>Nº 38, 1962</w:t>
        </w:r>
      </w:hyperlink>
      <w:r>
        <w:t>.</w:t>
      </w:r>
    </w:p>
    <w:p w14:paraId="08554E05" w14:textId="77777777" w:rsidR="00D34A3B" w:rsidRDefault="00D34A3B" w:rsidP="004D36FA">
      <w:pPr>
        <w:widowControl w:val="0"/>
        <w:autoSpaceDE w:val="0"/>
        <w:autoSpaceDN w:val="0"/>
        <w:adjustRightInd w:val="0"/>
        <w:ind w:firstLine="708"/>
        <w:jc w:val="both"/>
      </w:pPr>
    </w:p>
    <w:p w14:paraId="3D346C6D" w14:textId="7983F0B5" w:rsidR="004D36FA" w:rsidRDefault="004D36FA" w:rsidP="004D36FA">
      <w:pPr>
        <w:widowControl w:val="0"/>
        <w:autoSpaceDE w:val="0"/>
        <w:autoSpaceDN w:val="0"/>
        <w:adjustRightInd w:val="0"/>
        <w:ind w:firstLine="708"/>
        <w:jc w:val="both"/>
      </w:pPr>
      <w:r>
        <w:t>GARCIA DE ENTERRIA</w:t>
      </w:r>
      <w:r w:rsidR="00D34A3B" w:rsidRPr="00D34A3B">
        <w:t xml:space="preserve"> </w:t>
      </w:r>
      <w:r w:rsidR="00D34A3B" w:rsidRPr="00637E85">
        <w:t>MARTINEZ-CARANDE</w:t>
      </w:r>
      <w:r>
        <w:t xml:space="preserve">, </w:t>
      </w:r>
      <w:r w:rsidR="009F1A5F">
        <w:t>Eduardo</w:t>
      </w:r>
      <w:r>
        <w:t>, “</w:t>
      </w:r>
      <w:r w:rsidRPr="004D36FA">
        <w:t>La Ley de Expropiación Forzosa de 1954, medio siglo después</w:t>
      </w:r>
      <w:r>
        <w:t xml:space="preserve">”, Revista de Administración Pública, 156, 2001, </w:t>
      </w:r>
    </w:p>
    <w:p w14:paraId="300525C4" w14:textId="77777777" w:rsidR="007721B6" w:rsidRPr="004013D0" w:rsidRDefault="007721B6" w:rsidP="004708F6">
      <w:pPr>
        <w:widowControl w:val="0"/>
        <w:autoSpaceDE w:val="0"/>
        <w:autoSpaceDN w:val="0"/>
        <w:adjustRightInd w:val="0"/>
        <w:jc w:val="both"/>
        <w:rPr>
          <w:b/>
          <w:bCs/>
        </w:rPr>
      </w:pPr>
    </w:p>
    <w:p w14:paraId="04EA04AA" w14:textId="0D5594BB" w:rsidR="004D36FA" w:rsidRDefault="004D36FA" w:rsidP="004D36FA">
      <w:pPr>
        <w:widowControl w:val="0"/>
        <w:autoSpaceDE w:val="0"/>
        <w:autoSpaceDN w:val="0"/>
        <w:adjustRightInd w:val="0"/>
        <w:ind w:firstLine="708"/>
        <w:jc w:val="both"/>
      </w:pPr>
      <w:r>
        <w:t xml:space="preserve"> </w:t>
      </w:r>
      <w:r w:rsidRPr="004D36FA">
        <w:t xml:space="preserve">GONZALEZ NAVARRO, </w:t>
      </w:r>
      <w:r w:rsidR="00F25C6E">
        <w:t>Francisco</w:t>
      </w:r>
      <w:r w:rsidR="00F25C6E" w:rsidRPr="004D36FA">
        <w:t>;</w:t>
      </w:r>
      <w:r>
        <w:t xml:space="preserve"> </w:t>
      </w:r>
      <w:r w:rsidRPr="004D36FA">
        <w:t>“Derecho Administrativo Español. El acto y el procedimiento administrativo, III, Eunsa, Pamplona</w:t>
      </w:r>
      <w:r w:rsidR="00D34A3B">
        <w:t>, 1997</w:t>
      </w:r>
    </w:p>
    <w:p w14:paraId="3FA75CFA" w14:textId="12A6C415" w:rsidR="00F25C6E" w:rsidRDefault="00F25C6E" w:rsidP="004D36FA">
      <w:pPr>
        <w:widowControl w:val="0"/>
        <w:autoSpaceDE w:val="0"/>
        <w:autoSpaceDN w:val="0"/>
        <w:adjustRightInd w:val="0"/>
        <w:ind w:firstLine="708"/>
        <w:jc w:val="both"/>
      </w:pPr>
    </w:p>
    <w:p w14:paraId="485965BE" w14:textId="0FB8A184" w:rsidR="00F25C6E" w:rsidRDefault="00F25C6E" w:rsidP="00F25C6E">
      <w:pPr>
        <w:widowControl w:val="0"/>
        <w:autoSpaceDE w:val="0"/>
        <w:autoSpaceDN w:val="0"/>
        <w:adjustRightInd w:val="0"/>
        <w:ind w:firstLine="708"/>
        <w:jc w:val="both"/>
      </w:pPr>
      <w:r>
        <w:t>GONZÁLEZ NAVARRO, Francisco: “</w:t>
      </w:r>
      <w:r w:rsidRPr="009F1A5F">
        <w:t>Los informes administrativos como actos de instrucción del procedimiento administrativo</w:t>
      </w:r>
      <w:r>
        <w:t>”, Revista de Derecho Administrativo, número 98, 1966.</w:t>
      </w:r>
    </w:p>
    <w:p w14:paraId="39190AC9" w14:textId="10BFA5F3" w:rsidR="00F25C6E" w:rsidRDefault="00F25C6E" w:rsidP="00F25C6E">
      <w:pPr>
        <w:widowControl w:val="0"/>
        <w:autoSpaceDE w:val="0"/>
        <w:autoSpaceDN w:val="0"/>
        <w:adjustRightInd w:val="0"/>
        <w:ind w:firstLine="708"/>
        <w:jc w:val="both"/>
      </w:pPr>
    </w:p>
    <w:p w14:paraId="234E2875" w14:textId="73C92492" w:rsidR="00F25C6E" w:rsidRDefault="00F25C6E" w:rsidP="00F25C6E">
      <w:pPr>
        <w:widowControl w:val="0"/>
        <w:autoSpaceDE w:val="0"/>
        <w:autoSpaceDN w:val="0"/>
        <w:adjustRightInd w:val="0"/>
        <w:ind w:firstLine="708"/>
        <w:jc w:val="both"/>
      </w:pPr>
      <w:r w:rsidRPr="0061626C">
        <w:t>GONZÁLEZ PÉREZ, J</w:t>
      </w:r>
      <w:r>
        <w:t>esús:</w:t>
      </w:r>
      <w:r w:rsidRPr="0061626C">
        <w:t xml:space="preserve"> “</w:t>
      </w:r>
      <w:r w:rsidRPr="009F1A5F">
        <w:t>El Procedimiento Administrativo</w:t>
      </w:r>
      <w:r w:rsidRPr="0061626C">
        <w:t>”, Editorial ABELLA, 1964</w:t>
      </w:r>
      <w:r>
        <w:t>.</w:t>
      </w:r>
      <w:r w:rsidRPr="0061626C">
        <w:t xml:space="preserve"> </w:t>
      </w:r>
    </w:p>
    <w:p w14:paraId="068CF745" w14:textId="68F6B9DA" w:rsidR="00D34A3B" w:rsidRDefault="00D34A3B" w:rsidP="00F25C6E">
      <w:pPr>
        <w:widowControl w:val="0"/>
        <w:autoSpaceDE w:val="0"/>
        <w:autoSpaceDN w:val="0"/>
        <w:adjustRightInd w:val="0"/>
        <w:ind w:firstLine="708"/>
        <w:jc w:val="both"/>
      </w:pPr>
    </w:p>
    <w:p w14:paraId="5C44CB57" w14:textId="4AB6A353" w:rsidR="00D34A3B" w:rsidRDefault="00D34A3B" w:rsidP="00F25C6E">
      <w:pPr>
        <w:widowControl w:val="0"/>
        <w:autoSpaceDE w:val="0"/>
        <w:autoSpaceDN w:val="0"/>
        <w:adjustRightInd w:val="0"/>
        <w:ind w:firstLine="708"/>
        <w:jc w:val="both"/>
      </w:pPr>
      <w:r w:rsidRPr="0061626C">
        <w:t>PALAO TABOADA, Carlos</w:t>
      </w:r>
      <w:r>
        <w:t>:</w:t>
      </w:r>
      <w:r w:rsidRPr="0061626C">
        <w:t xml:space="preserve"> “</w:t>
      </w:r>
      <w:r w:rsidRPr="004028A5">
        <w:rPr>
          <w:i/>
          <w:iCs/>
        </w:rPr>
        <w:t>La prueba en el proceso contencioso administrativo</w:t>
      </w:r>
      <w:r w:rsidRPr="0061626C">
        <w:t>”, Revista Española de Derecho Administrativo, 2014</w:t>
      </w:r>
      <w:r>
        <w:t>.</w:t>
      </w:r>
    </w:p>
    <w:p w14:paraId="7F877AD7" w14:textId="0B807BA0" w:rsidR="00F25C6E" w:rsidRDefault="00F25C6E" w:rsidP="00F25C6E">
      <w:pPr>
        <w:widowControl w:val="0"/>
        <w:autoSpaceDE w:val="0"/>
        <w:autoSpaceDN w:val="0"/>
        <w:adjustRightInd w:val="0"/>
        <w:jc w:val="both"/>
      </w:pPr>
    </w:p>
    <w:p w14:paraId="22BD0444" w14:textId="23E745B3" w:rsidR="00F25C6E" w:rsidRDefault="00F25C6E" w:rsidP="004D36FA">
      <w:pPr>
        <w:widowControl w:val="0"/>
        <w:autoSpaceDE w:val="0"/>
        <w:autoSpaceDN w:val="0"/>
        <w:adjustRightInd w:val="0"/>
        <w:ind w:firstLine="708"/>
        <w:jc w:val="both"/>
      </w:pPr>
      <w:r>
        <w:t>PARRALLÉS SERRANO, Anna: “</w:t>
      </w:r>
      <w:r w:rsidRPr="00F25C6E">
        <w:rPr>
          <w:i/>
          <w:iCs/>
        </w:rPr>
        <w:t>Esquemas de Procedimiento Administrativo</w:t>
      </w:r>
      <w:r>
        <w:t>”, Tirant Lo Blanch, Valencia, 2007.</w:t>
      </w:r>
    </w:p>
    <w:p w14:paraId="77D366EF" w14:textId="77777777" w:rsidR="009F1A5F" w:rsidRPr="0061626C" w:rsidRDefault="009F1A5F" w:rsidP="009F1A5F">
      <w:pPr>
        <w:widowControl w:val="0"/>
        <w:autoSpaceDE w:val="0"/>
        <w:autoSpaceDN w:val="0"/>
        <w:adjustRightInd w:val="0"/>
        <w:ind w:firstLine="708"/>
        <w:jc w:val="both"/>
      </w:pPr>
    </w:p>
    <w:p w14:paraId="67FDCBFC" w14:textId="3E09D08A" w:rsidR="009F1A5F" w:rsidRDefault="009F1A5F" w:rsidP="009F1A5F">
      <w:pPr>
        <w:widowControl w:val="0"/>
        <w:autoSpaceDE w:val="0"/>
        <w:autoSpaceDN w:val="0"/>
        <w:adjustRightInd w:val="0"/>
        <w:ind w:firstLine="708"/>
        <w:jc w:val="both"/>
      </w:pPr>
      <w:r w:rsidRPr="0061626C">
        <w:t>PARADA VAZQUEZ, R</w:t>
      </w:r>
      <w:r>
        <w:t>amón</w:t>
      </w:r>
      <w:r w:rsidRPr="0061626C">
        <w:t>. “</w:t>
      </w:r>
      <w:r w:rsidRPr="00F25C6E">
        <w:rPr>
          <w:i/>
          <w:iCs/>
        </w:rPr>
        <w:t>Régimen Jurídico de las Administraciones Públicas y Procedimiento Administrativo Común (Estudio, Comentarios y Texto de la Ley 30/1992, de 26 de noviembre)</w:t>
      </w:r>
      <w:r w:rsidRPr="0061626C">
        <w:t>”, MARCIAL PONS, 1999</w:t>
      </w:r>
      <w:r>
        <w:t>.</w:t>
      </w:r>
    </w:p>
    <w:p w14:paraId="1992034B" w14:textId="119520D3" w:rsidR="009F1A5F" w:rsidRDefault="009F1A5F" w:rsidP="009F1A5F">
      <w:pPr>
        <w:widowControl w:val="0"/>
        <w:autoSpaceDE w:val="0"/>
        <w:autoSpaceDN w:val="0"/>
        <w:adjustRightInd w:val="0"/>
        <w:ind w:firstLine="708"/>
        <w:jc w:val="both"/>
      </w:pPr>
    </w:p>
    <w:p w14:paraId="21190A8F" w14:textId="2934797A" w:rsidR="009F1A5F" w:rsidRDefault="009F1A5F" w:rsidP="009F1A5F">
      <w:pPr>
        <w:widowControl w:val="0"/>
        <w:autoSpaceDE w:val="0"/>
        <w:autoSpaceDN w:val="0"/>
        <w:adjustRightInd w:val="0"/>
        <w:ind w:firstLine="708"/>
        <w:jc w:val="both"/>
      </w:pPr>
      <w:r w:rsidRPr="00B94CFF">
        <w:t xml:space="preserve">PARADA VAZQUEZ, </w:t>
      </w:r>
      <w:r>
        <w:t xml:space="preserve">Ramón. </w:t>
      </w:r>
      <w:r w:rsidRPr="00F25C6E">
        <w:rPr>
          <w:i/>
          <w:iCs/>
        </w:rPr>
        <w:t>Derecho Administrativo, I</w:t>
      </w:r>
      <w:r w:rsidRPr="009F1A5F">
        <w:t>, editorial</w:t>
      </w:r>
      <w:r w:rsidRPr="00B94CFF">
        <w:t xml:space="preserve"> DYKINSON, 2019</w:t>
      </w:r>
      <w:r>
        <w:t>.</w:t>
      </w:r>
    </w:p>
    <w:p w14:paraId="784D4D00" w14:textId="77777777" w:rsidR="009F1A5F" w:rsidRPr="0061626C" w:rsidRDefault="009F1A5F" w:rsidP="009F1A5F">
      <w:pPr>
        <w:widowControl w:val="0"/>
        <w:autoSpaceDE w:val="0"/>
        <w:autoSpaceDN w:val="0"/>
        <w:adjustRightInd w:val="0"/>
        <w:ind w:firstLine="708"/>
        <w:jc w:val="both"/>
      </w:pPr>
    </w:p>
    <w:p w14:paraId="20F2137B" w14:textId="1CB40D03" w:rsidR="009F1A5F" w:rsidRDefault="009F1A5F" w:rsidP="009F1A5F">
      <w:pPr>
        <w:widowControl w:val="0"/>
        <w:autoSpaceDE w:val="0"/>
        <w:autoSpaceDN w:val="0"/>
        <w:adjustRightInd w:val="0"/>
        <w:jc w:val="both"/>
      </w:pPr>
      <w:r>
        <w:t xml:space="preserve"> </w:t>
      </w:r>
      <w:r>
        <w:tab/>
        <w:t>REBOLLO PUIG, Manuel, “</w:t>
      </w:r>
      <w:r w:rsidRPr="00F25C6E">
        <w:rPr>
          <w:i/>
          <w:iCs/>
        </w:rPr>
        <w:t>La presunción de validez</w:t>
      </w:r>
      <w:r>
        <w:t>”, en Revista Española de Derecho Administrativo, número 128, 2005.</w:t>
      </w:r>
    </w:p>
    <w:p w14:paraId="4263DC7E" w14:textId="0C0EB4A7" w:rsidR="001F7A32" w:rsidRDefault="001F7A32" w:rsidP="009F1A5F">
      <w:pPr>
        <w:widowControl w:val="0"/>
        <w:autoSpaceDE w:val="0"/>
        <w:autoSpaceDN w:val="0"/>
        <w:adjustRightInd w:val="0"/>
        <w:jc w:val="both"/>
      </w:pPr>
    </w:p>
    <w:p w14:paraId="2B352D35" w14:textId="76177EF7" w:rsidR="001F7A32" w:rsidRDefault="001F7A32" w:rsidP="001F7A32">
      <w:pPr>
        <w:widowControl w:val="0"/>
        <w:autoSpaceDE w:val="0"/>
        <w:autoSpaceDN w:val="0"/>
        <w:adjustRightInd w:val="0"/>
        <w:ind w:firstLine="708"/>
        <w:jc w:val="both"/>
      </w:pPr>
      <w:r>
        <w:rPr>
          <w:i/>
          <w:iCs/>
        </w:rPr>
        <w:t>VV.AA. “</w:t>
      </w:r>
      <w:r w:rsidRPr="00637E85">
        <w:rPr>
          <w:i/>
          <w:iCs/>
        </w:rPr>
        <w:t>Informe sobre la Justicia Administrativa 2020</w:t>
      </w:r>
      <w:r w:rsidRPr="00637E85">
        <w:t>”, coeditado por el Centro de Investigación sobre Justicia Administrativa de la Universidad Autónoma de Madrid (CIJA-UAM) y el Consejo General del Poder Judicial</w:t>
      </w:r>
    </w:p>
    <w:sectPr w:rsidR="001F7A32">
      <w:foot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5F3CA" w14:textId="77777777" w:rsidR="004531D0" w:rsidRDefault="004531D0" w:rsidP="00215668">
      <w:r>
        <w:separator/>
      </w:r>
    </w:p>
  </w:endnote>
  <w:endnote w:type="continuationSeparator" w:id="0">
    <w:p w14:paraId="35959D13" w14:textId="77777777" w:rsidR="004531D0" w:rsidRDefault="004531D0" w:rsidP="00215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1241613"/>
      <w:docPartObj>
        <w:docPartGallery w:val="Page Numbers (Bottom of Page)"/>
        <w:docPartUnique/>
      </w:docPartObj>
    </w:sdtPr>
    <w:sdtContent>
      <w:p w14:paraId="604971F1" w14:textId="50BD0D63" w:rsidR="004013D0" w:rsidRDefault="004013D0">
        <w:pPr>
          <w:pStyle w:val="Piedepgina"/>
          <w:jc w:val="center"/>
        </w:pPr>
        <w:r>
          <w:fldChar w:fldCharType="begin"/>
        </w:r>
        <w:r>
          <w:instrText>PAGE   \* MERGEFORMAT</w:instrText>
        </w:r>
        <w:r>
          <w:fldChar w:fldCharType="separate"/>
        </w:r>
        <w:r>
          <w:t>2</w:t>
        </w:r>
        <w:r>
          <w:fldChar w:fldCharType="end"/>
        </w:r>
      </w:p>
    </w:sdtContent>
  </w:sdt>
  <w:p w14:paraId="03F03D40" w14:textId="77777777" w:rsidR="004013D0" w:rsidRDefault="004013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90914" w14:textId="77777777" w:rsidR="004531D0" w:rsidRDefault="004531D0" w:rsidP="00215668">
      <w:r>
        <w:separator/>
      </w:r>
    </w:p>
  </w:footnote>
  <w:footnote w:type="continuationSeparator" w:id="0">
    <w:p w14:paraId="20636624" w14:textId="77777777" w:rsidR="004531D0" w:rsidRDefault="004531D0" w:rsidP="00215668">
      <w:r>
        <w:continuationSeparator/>
      </w:r>
    </w:p>
  </w:footnote>
  <w:footnote w:id="1">
    <w:p w14:paraId="27215580" w14:textId="77777777" w:rsidR="007721B6" w:rsidRPr="00637E85" w:rsidRDefault="007721B6" w:rsidP="007721B6">
      <w:pPr>
        <w:pStyle w:val="Textonotapie"/>
        <w:jc w:val="both"/>
      </w:pPr>
      <w:r>
        <w:rPr>
          <w:rStyle w:val="Refdenotaalpie"/>
        </w:rPr>
        <w:footnoteRef/>
      </w:r>
      <w:r>
        <w:t xml:space="preserve"> </w:t>
      </w:r>
      <w:r w:rsidRPr="00637E85">
        <w:t>“</w:t>
      </w:r>
      <w:r w:rsidRPr="00637E85">
        <w:rPr>
          <w:i/>
          <w:iCs/>
        </w:rPr>
        <w:t>La historia de la reducción de estas inmunidades, de esta constante resistencia que la Administración ha opuesto a la exigencia de un control judicial plenario de sus actos mediante la constitución de reductos exentos y no fiscalizables de su propia actuación, podemos decir que es, en general, la historia misma del Derecho Administrativo</w:t>
      </w:r>
      <w:r w:rsidRPr="00637E85">
        <w:t xml:space="preserve">”. </w:t>
      </w:r>
      <w:bookmarkStart w:id="0" w:name="_Hlk124491659"/>
      <w:r w:rsidRPr="00637E85">
        <w:t>GARCÍA DE ENTERRÍA MARTINEZ-CARANDE, Eduardo, “</w:t>
      </w:r>
      <w:r w:rsidRPr="00637E85">
        <w:rPr>
          <w:i/>
          <w:iCs/>
        </w:rPr>
        <w:t>La lucha contra las inmunidades del poder en el derecho administrativo (poderes discrecionales, poderes de gobierno, poderes normativos)</w:t>
      </w:r>
      <w:r w:rsidRPr="00637E85">
        <w:t xml:space="preserve">”; </w:t>
      </w:r>
      <w:hyperlink r:id="rId1" w:history="1">
        <w:r w:rsidRPr="00637E85">
          <w:t>Revista de administración pública</w:t>
        </w:r>
      </w:hyperlink>
      <w:r w:rsidRPr="00637E85">
        <w:t>, ISSN 0034-7639, </w:t>
      </w:r>
      <w:hyperlink r:id="rId2" w:history="1">
        <w:r w:rsidRPr="00637E85">
          <w:t>Nº 38, 1962</w:t>
        </w:r>
      </w:hyperlink>
      <w:bookmarkEnd w:id="0"/>
      <w:r w:rsidRPr="00637E85">
        <w:t>, pág. 166.</w:t>
      </w:r>
    </w:p>
    <w:p w14:paraId="44D9D5A2" w14:textId="77777777" w:rsidR="007721B6" w:rsidRDefault="007721B6" w:rsidP="007721B6">
      <w:pPr>
        <w:pStyle w:val="Textonotapie"/>
      </w:pPr>
    </w:p>
  </w:footnote>
  <w:footnote w:id="2">
    <w:p w14:paraId="73E5824A" w14:textId="77777777" w:rsidR="007721B6" w:rsidRDefault="007721B6" w:rsidP="007721B6">
      <w:pPr>
        <w:pStyle w:val="Textonotapie"/>
        <w:jc w:val="both"/>
      </w:pPr>
      <w:r>
        <w:rPr>
          <w:rStyle w:val="Refdenotaalpie"/>
        </w:rPr>
        <w:footnoteRef/>
      </w:r>
      <w:r>
        <w:t xml:space="preserve"> </w:t>
      </w:r>
      <w:r w:rsidRPr="00637E85">
        <w:t>Por poner sólo un ejemplo, en sectores como el de responsabilidad patrimonial, la desestimación total de las impugnaciones de la actuación administrativa alcanza el 68% de los casos -la estimación íntegra apenas alcanza la exigua cifra del 5%-, según el “</w:t>
      </w:r>
      <w:r w:rsidRPr="00637E85">
        <w:rPr>
          <w:i/>
          <w:iCs/>
        </w:rPr>
        <w:t>Informe sobre la Justicia Administrativa 2020</w:t>
      </w:r>
      <w:r w:rsidRPr="00637E85">
        <w:t>”, coeditado por el Centro de Investigación sobre Justicia Administrativa de la Universidad Autónoma de Madrid (CIJA-UAM) y el Consejo General del Poder Judicial (págs. 174 y ss.)</w:t>
      </w:r>
      <w:r>
        <w:t xml:space="preserve"> </w:t>
      </w:r>
    </w:p>
  </w:footnote>
  <w:footnote w:id="3">
    <w:p w14:paraId="46C433F0" w14:textId="77777777" w:rsidR="007721B6" w:rsidRPr="003807EB" w:rsidRDefault="007721B6" w:rsidP="007721B6">
      <w:pPr>
        <w:widowControl w:val="0"/>
        <w:autoSpaceDE w:val="0"/>
        <w:autoSpaceDN w:val="0"/>
        <w:adjustRightInd w:val="0"/>
        <w:ind w:firstLine="360"/>
        <w:jc w:val="both"/>
        <w:rPr>
          <w:rFonts w:ascii="Arial" w:hAnsi="Arial" w:cs="Arial"/>
          <w:i/>
          <w:iCs/>
          <w:sz w:val="20"/>
          <w:szCs w:val="20"/>
        </w:rPr>
      </w:pPr>
      <w:r>
        <w:rPr>
          <w:rStyle w:val="Refdenotaalpie"/>
        </w:rPr>
        <w:footnoteRef/>
      </w:r>
      <w:r>
        <w:t xml:space="preserve"> </w:t>
      </w:r>
      <w:r w:rsidRPr="003807EB">
        <w:rPr>
          <w:rFonts w:ascii="Arial" w:hAnsi="Arial" w:cs="Arial"/>
          <w:b/>
          <w:bCs/>
          <w:i/>
          <w:iCs/>
          <w:sz w:val="20"/>
          <w:szCs w:val="20"/>
        </w:rPr>
        <w:t>- Artículo 317</w:t>
      </w:r>
      <w:r w:rsidRPr="003807EB">
        <w:rPr>
          <w:rFonts w:ascii="Arial" w:hAnsi="Arial" w:cs="Arial"/>
          <w:i/>
          <w:iCs/>
          <w:sz w:val="20"/>
          <w:szCs w:val="20"/>
        </w:rPr>
        <w:t>.- Clases de documentos públicos.</w:t>
      </w:r>
    </w:p>
    <w:p w14:paraId="70095D1E" w14:textId="77777777" w:rsidR="007721B6" w:rsidRPr="00D25E82" w:rsidRDefault="007721B6" w:rsidP="007721B6">
      <w:pPr>
        <w:widowControl w:val="0"/>
        <w:autoSpaceDE w:val="0"/>
        <w:autoSpaceDN w:val="0"/>
        <w:adjustRightInd w:val="0"/>
        <w:ind w:firstLine="708"/>
        <w:jc w:val="both"/>
        <w:rPr>
          <w:rFonts w:ascii="Arial" w:hAnsi="Arial" w:cs="Arial"/>
          <w:i/>
          <w:iCs/>
          <w:sz w:val="20"/>
          <w:szCs w:val="20"/>
        </w:rPr>
      </w:pPr>
      <w:r w:rsidRPr="00D25E82">
        <w:rPr>
          <w:rFonts w:ascii="Arial" w:hAnsi="Arial" w:cs="Arial"/>
          <w:i/>
          <w:iCs/>
          <w:sz w:val="20"/>
          <w:szCs w:val="20"/>
        </w:rPr>
        <w:t>“A efectos de prueba en el proceso, se consideran documentos públicos: (…)</w:t>
      </w:r>
    </w:p>
    <w:p w14:paraId="32464D6C" w14:textId="77777777" w:rsidR="007721B6" w:rsidRPr="00D25E82" w:rsidRDefault="007721B6" w:rsidP="007721B6">
      <w:pPr>
        <w:widowControl w:val="0"/>
        <w:autoSpaceDE w:val="0"/>
        <w:autoSpaceDN w:val="0"/>
        <w:adjustRightInd w:val="0"/>
        <w:ind w:left="360"/>
        <w:jc w:val="both"/>
        <w:rPr>
          <w:rFonts w:ascii="Arial" w:hAnsi="Arial" w:cs="Arial"/>
          <w:i/>
          <w:iCs/>
          <w:sz w:val="20"/>
          <w:szCs w:val="20"/>
        </w:rPr>
      </w:pPr>
      <w:r w:rsidRPr="00D25E82">
        <w:rPr>
          <w:rFonts w:ascii="Arial" w:hAnsi="Arial" w:cs="Arial"/>
          <w:i/>
          <w:iCs/>
          <w:sz w:val="20"/>
          <w:szCs w:val="20"/>
        </w:rPr>
        <w:t>5.º Los expedidos por funcionarios públicos legalmente facultados para dar fe en lo que se refiere al ejercicio de sus funciones.</w:t>
      </w:r>
    </w:p>
    <w:p w14:paraId="4E14F616" w14:textId="77777777" w:rsidR="007721B6" w:rsidRDefault="007721B6" w:rsidP="007721B6">
      <w:pPr>
        <w:widowControl w:val="0"/>
        <w:autoSpaceDE w:val="0"/>
        <w:autoSpaceDN w:val="0"/>
        <w:adjustRightInd w:val="0"/>
        <w:ind w:left="360"/>
        <w:jc w:val="both"/>
        <w:rPr>
          <w:rFonts w:ascii="Arial" w:hAnsi="Arial" w:cs="Arial"/>
          <w:i/>
          <w:iCs/>
          <w:sz w:val="20"/>
          <w:szCs w:val="20"/>
        </w:rPr>
      </w:pPr>
      <w:r w:rsidRPr="00D25E82">
        <w:rPr>
          <w:rFonts w:ascii="Arial" w:hAnsi="Arial" w:cs="Arial"/>
          <w:i/>
          <w:iCs/>
          <w:sz w:val="20"/>
          <w:szCs w:val="20"/>
        </w:rPr>
        <w:t>6.º Los que, con referencia a archivos y registros de órganos del Estado, de las Administraciones públicas o de otras entidades de Derecho público, sean expedidos por funcionarios facultados para dar fe de disposiciones y actuaciones de aquellos órganos, Administraciones o entidades”.</w:t>
      </w:r>
    </w:p>
    <w:p w14:paraId="15317945" w14:textId="77777777" w:rsidR="007721B6" w:rsidRPr="00D25E82" w:rsidRDefault="007721B6" w:rsidP="007721B6">
      <w:pPr>
        <w:widowControl w:val="0"/>
        <w:autoSpaceDE w:val="0"/>
        <w:autoSpaceDN w:val="0"/>
        <w:adjustRightInd w:val="0"/>
        <w:ind w:left="360"/>
        <w:jc w:val="both"/>
        <w:rPr>
          <w:rFonts w:ascii="Arial" w:hAnsi="Arial" w:cs="Arial"/>
          <w:i/>
          <w:iCs/>
          <w:sz w:val="20"/>
          <w:szCs w:val="20"/>
        </w:rPr>
      </w:pPr>
    </w:p>
    <w:p w14:paraId="2606064A" w14:textId="77777777" w:rsidR="007721B6" w:rsidRPr="00D25E82" w:rsidRDefault="007721B6" w:rsidP="007721B6">
      <w:pPr>
        <w:widowControl w:val="0"/>
        <w:autoSpaceDE w:val="0"/>
        <w:autoSpaceDN w:val="0"/>
        <w:adjustRightInd w:val="0"/>
        <w:jc w:val="both"/>
        <w:rPr>
          <w:rFonts w:ascii="Arial" w:hAnsi="Arial" w:cs="Arial"/>
          <w:i/>
          <w:iCs/>
          <w:sz w:val="20"/>
          <w:szCs w:val="20"/>
        </w:rPr>
      </w:pPr>
      <w:r w:rsidRPr="003807EB">
        <w:rPr>
          <w:rFonts w:ascii="Arial" w:hAnsi="Arial" w:cs="Arial"/>
          <w:b/>
          <w:bCs/>
          <w:i/>
          <w:iCs/>
          <w:sz w:val="20"/>
          <w:szCs w:val="20"/>
        </w:rPr>
        <w:t xml:space="preserve">-  </w:t>
      </w:r>
      <w:r w:rsidRPr="00D25E82">
        <w:rPr>
          <w:rFonts w:ascii="Arial" w:hAnsi="Arial" w:cs="Arial"/>
          <w:b/>
          <w:bCs/>
          <w:i/>
          <w:iCs/>
          <w:sz w:val="20"/>
          <w:szCs w:val="20"/>
        </w:rPr>
        <w:t>Artículo 318</w:t>
      </w:r>
      <w:r w:rsidRPr="00D25E82">
        <w:rPr>
          <w:rFonts w:ascii="Arial" w:hAnsi="Arial" w:cs="Arial"/>
          <w:i/>
          <w:iCs/>
          <w:sz w:val="20"/>
          <w:szCs w:val="20"/>
        </w:rPr>
        <w:t>.- Modo de producción de la prueba por documentos públicos.</w:t>
      </w:r>
    </w:p>
    <w:p w14:paraId="502BFD87" w14:textId="77777777" w:rsidR="007721B6" w:rsidRPr="00D25E82" w:rsidRDefault="007721B6" w:rsidP="007721B6">
      <w:pPr>
        <w:widowControl w:val="0"/>
        <w:autoSpaceDE w:val="0"/>
        <w:autoSpaceDN w:val="0"/>
        <w:adjustRightInd w:val="0"/>
        <w:ind w:left="708"/>
        <w:jc w:val="both"/>
        <w:rPr>
          <w:rFonts w:ascii="Arial" w:hAnsi="Arial" w:cs="Arial"/>
          <w:i/>
          <w:iCs/>
          <w:sz w:val="20"/>
          <w:szCs w:val="20"/>
        </w:rPr>
      </w:pPr>
      <w:r w:rsidRPr="00D25E82">
        <w:rPr>
          <w:rFonts w:ascii="Arial" w:hAnsi="Arial" w:cs="Arial"/>
          <w:i/>
          <w:iCs/>
          <w:sz w:val="20"/>
          <w:szCs w:val="20"/>
        </w:rPr>
        <w:t>“Los documentos públicos tendrán la fuerza probatoria establecida en el artículo 319 si se aportaren al proceso en original o por copia o certificación fehaciente, ya sean presentadas éstos en soporte papel o mediante documento electrónico, o si, habiendo sido aportado por copia simple, en soporte papel o imagen digitalizada, conforme a lo previsto en el artículo 267, no se hubiere impugnado su autenticidad”.</w:t>
      </w:r>
    </w:p>
    <w:p w14:paraId="42AA0A2C" w14:textId="77777777" w:rsidR="007721B6" w:rsidRPr="009A0717" w:rsidRDefault="007721B6" w:rsidP="007721B6">
      <w:pPr>
        <w:widowControl w:val="0"/>
        <w:autoSpaceDE w:val="0"/>
        <w:autoSpaceDN w:val="0"/>
        <w:adjustRightInd w:val="0"/>
        <w:jc w:val="both"/>
        <w:rPr>
          <w:rFonts w:ascii="Arial" w:hAnsi="Arial" w:cs="Arial"/>
          <w:i/>
          <w:iCs/>
          <w:sz w:val="20"/>
          <w:szCs w:val="20"/>
        </w:rPr>
      </w:pPr>
      <w:r w:rsidRPr="009A0717">
        <w:rPr>
          <w:rFonts w:ascii="Arial" w:hAnsi="Arial" w:cs="Arial"/>
          <w:b/>
          <w:bCs/>
          <w:i/>
          <w:iCs/>
          <w:sz w:val="20"/>
          <w:szCs w:val="20"/>
        </w:rPr>
        <w:t>-</w:t>
      </w:r>
      <w:r>
        <w:rPr>
          <w:rFonts w:ascii="Arial" w:hAnsi="Arial" w:cs="Arial"/>
          <w:b/>
          <w:bCs/>
          <w:i/>
          <w:iCs/>
          <w:sz w:val="20"/>
          <w:szCs w:val="20"/>
        </w:rPr>
        <w:t xml:space="preserve"> </w:t>
      </w:r>
      <w:r w:rsidRPr="009A0717">
        <w:rPr>
          <w:rFonts w:ascii="Arial" w:hAnsi="Arial" w:cs="Arial"/>
          <w:b/>
          <w:bCs/>
          <w:i/>
          <w:iCs/>
          <w:sz w:val="20"/>
          <w:szCs w:val="20"/>
        </w:rPr>
        <w:t>Artículo 319</w:t>
      </w:r>
      <w:r w:rsidRPr="009A0717">
        <w:rPr>
          <w:rFonts w:ascii="Arial" w:hAnsi="Arial" w:cs="Arial"/>
          <w:i/>
          <w:iCs/>
          <w:sz w:val="20"/>
          <w:szCs w:val="20"/>
        </w:rPr>
        <w:t>.- Fuerza probatoria de los documentos públicos.</w:t>
      </w:r>
    </w:p>
    <w:p w14:paraId="10550391" w14:textId="77777777" w:rsidR="007721B6" w:rsidRPr="00D25E82" w:rsidRDefault="007721B6" w:rsidP="007721B6">
      <w:pPr>
        <w:widowControl w:val="0"/>
        <w:tabs>
          <w:tab w:val="num" w:pos="720"/>
        </w:tabs>
        <w:autoSpaceDE w:val="0"/>
        <w:autoSpaceDN w:val="0"/>
        <w:adjustRightInd w:val="0"/>
        <w:ind w:left="708"/>
        <w:jc w:val="both"/>
        <w:rPr>
          <w:rFonts w:ascii="Arial" w:hAnsi="Arial" w:cs="Arial"/>
          <w:i/>
          <w:iCs/>
          <w:sz w:val="20"/>
          <w:szCs w:val="20"/>
        </w:rPr>
      </w:pPr>
      <w:r>
        <w:rPr>
          <w:rFonts w:ascii="Arial" w:hAnsi="Arial" w:cs="Arial"/>
          <w:i/>
          <w:iCs/>
          <w:sz w:val="20"/>
          <w:szCs w:val="20"/>
        </w:rPr>
        <w:tab/>
      </w:r>
      <w:r w:rsidRPr="00D25E82">
        <w:rPr>
          <w:rFonts w:ascii="Arial" w:hAnsi="Arial" w:cs="Arial"/>
          <w:i/>
          <w:iCs/>
          <w:sz w:val="20"/>
          <w:szCs w:val="20"/>
        </w:rPr>
        <w:t>Con los requisitos y en los casos de los artículos siguientes, los documentos públicos comprendidos en los números 1.º a 6.º del artículo 317 harán prueba plena del hecho, acto o estado de cosas que documenten, de la fecha en que se produce esa documentación y de la identidad de los fedatarios y demás personas que, en su caso, intervengan en ella (…).</w:t>
      </w:r>
    </w:p>
    <w:p w14:paraId="28769364" w14:textId="77777777" w:rsidR="007721B6" w:rsidRPr="00571E25" w:rsidRDefault="007721B6" w:rsidP="007721B6">
      <w:pPr>
        <w:widowControl w:val="0"/>
        <w:autoSpaceDE w:val="0"/>
        <w:autoSpaceDN w:val="0"/>
        <w:adjustRightInd w:val="0"/>
        <w:jc w:val="both"/>
        <w:rPr>
          <w:rFonts w:ascii="Arial" w:hAnsi="Arial" w:cs="Arial"/>
        </w:rPr>
      </w:pPr>
    </w:p>
    <w:p w14:paraId="68012244" w14:textId="77777777" w:rsidR="007721B6" w:rsidRDefault="007721B6" w:rsidP="007721B6">
      <w:pPr>
        <w:pStyle w:val="Textonotapie"/>
      </w:pPr>
    </w:p>
  </w:footnote>
  <w:footnote w:id="4">
    <w:p w14:paraId="0E8C7AB9" w14:textId="578BE6B8" w:rsidR="007721B6" w:rsidRPr="0061626C" w:rsidRDefault="007721B6" w:rsidP="007721B6">
      <w:pPr>
        <w:pStyle w:val="Textonotapie"/>
        <w:jc w:val="both"/>
      </w:pPr>
      <w:r w:rsidRPr="0061626C">
        <w:rPr>
          <w:rStyle w:val="Refdenotaalpie"/>
        </w:rPr>
        <w:footnoteRef/>
      </w:r>
      <w:r w:rsidRPr="0061626C">
        <w:t xml:space="preserve"> PALAO TABOADA, </w:t>
      </w:r>
      <w:r w:rsidR="001F7A32" w:rsidRPr="0061626C">
        <w:t>Carlos</w:t>
      </w:r>
      <w:r>
        <w:t>:</w:t>
      </w:r>
      <w:r w:rsidRPr="0061626C">
        <w:t xml:space="preserve"> “</w:t>
      </w:r>
      <w:r w:rsidRPr="004028A5">
        <w:rPr>
          <w:i/>
          <w:iCs/>
        </w:rPr>
        <w:t>La prueba en el proceso contencioso administrativo</w:t>
      </w:r>
      <w:r w:rsidRPr="0061626C">
        <w:t>”, Revista Española de Derecho Administrativo, 2014, página 61.</w:t>
      </w:r>
    </w:p>
  </w:footnote>
  <w:footnote w:id="5">
    <w:p w14:paraId="3E4CD3E3" w14:textId="54C6B685" w:rsidR="007721B6" w:rsidRDefault="007721B6" w:rsidP="007721B6">
      <w:pPr>
        <w:pStyle w:val="Textonotapie"/>
        <w:jc w:val="both"/>
      </w:pPr>
      <w:r>
        <w:rPr>
          <w:rStyle w:val="Refdenotaalpie"/>
        </w:rPr>
        <w:footnoteRef/>
      </w:r>
      <w:r>
        <w:t xml:space="preserve"> GONZÁLEZ NAVARRO, </w:t>
      </w:r>
      <w:r w:rsidR="001F7A32">
        <w:t>Francisco</w:t>
      </w:r>
      <w:r>
        <w:t>: “</w:t>
      </w:r>
      <w:r w:rsidRPr="006F1365">
        <w:rPr>
          <w:i/>
          <w:iCs/>
        </w:rPr>
        <w:t>Los informes administrativos como actos de instrucción del procedimiento administrativo</w:t>
      </w:r>
      <w:r>
        <w:t xml:space="preserve">”, Revista de Derecho Administrativo, número 98, 1966; páginas 11 y siguientes. </w:t>
      </w:r>
    </w:p>
    <w:p w14:paraId="3F00DD8D" w14:textId="77777777" w:rsidR="00637E85" w:rsidRDefault="00637E85" w:rsidP="007721B6">
      <w:pPr>
        <w:pStyle w:val="Textonotapie"/>
        <w:jc w:val="both"/>
      </w:pPr>
    </w:p>
  </w:footnote>
  <w:footnote w:id="6">
    <w:p w14:paraId="0AB00086" w14:textId="634D6FD9" w:rsidR="00637E85" w:rsidRDefault="007721B6" w:rsidP="007721B6">
      <w:pPr>
        <w:pStyle w:val="Textonotapie"/>
      </w:pPr>
      <w:r>
        <w:rPr>
          <w:rStyle w:val="Refdenotaalpie"/>
        </w:rPr>
        <w:footnoteRef/>
      </w:r>
      <w:r>
        <w:t xml:space="preserve"> PARRALLÉS SERRANO, </w:t>
      </w:r>
      <w:r w:rsidR="001F7A32">
        <w:t>Anna</w:t>
      </w:r>
      <w:r>
        <w:t>: “</w:t>
      </w:r>
      <w:r w:rsidRPr="006F1365">
        <w:rPr>
          <w:i/>
          <w:iCs/>
        </w:rPr>
        <w:t>Esquemas de Procedimiento Administrativo</w:t>
      </w:r>
      <w:r>
        <w:t>”, Tirant Lo Blanch, Valencia, 2007</w:t>
      </w:r>
      <w:r w:rsidR="00637E85">
        <w:t>.</w:t>
      </w:r>
    </w:p>
    <w:p w14:paraId="29E9808A" w14:textId="77777777" w:rsidR="00637E85" w:rsidRDefault="00637E85" w:rsidP="007721B6">
      <w:pPr>
        <w:pStyle w:val="Textonotapie"/>
      </w:pPr>
    </w:p>
  </w:footnote>
  <w:footnote w:id="7">
    <w:p w14:paraId="00458657" w14:textId="79B96126" w:rsidR="007721B6" w:rsidRDefault="007721B6" w:rsidP="007721B6">
      <w:pPr>
        <w:pStyle w:val="Textonotapie"/>
        <w:jc w:val="both"/>
      </w:pPr>
      <w:r w:rsidRPr="0061626C">
        <w:rPr>
          <w:rStyle w:val="Refdenotaalpie"/>
        </w:rPr>
        <w:footnoteRef/>
      </w:r>
      <w:r w:rsidRPr="0061626C">
        <w:t xml:space="preserve"> GONZÁLEZ PÉREZ, </w:t>
      </w:r>
      <w:r w:rsidR="001F7A32" w:rsidRPr="0061626C">
        <w:t>Jesús</w:t>
      </w:r>
      <w:r w:rsidR="001F7A32">
        <w:t>:</w:t>
      </w:r>
      <w:r w:rsidR="001F7A32" w:rsidRPr="0061626C">
        <w:t xml:space="preserve"> </w:t>
      </w:r>
      <w:r w:rsidRPr="0061626C">
        <w:t>“</w:t>
      </w:r>
      <w:r w:rsidRPr="006F1365">
        <w:rPr>
          <w:i/>
          <w:iCs/>
        </w:rPr>
        <w:t>El Procedimiento Administrativo</w:t>
      </w:r>
      <w:r w:rsidRPr="0061626C">
        <w:t>”, Editorial ABELLA, 1964, páginas 296 y siguientes.</w:t>
      </w:r>
    </w:p>
    <w:p w14:paraId="0D2F55CA" w14:textId="77777777" w:rsidR="00637E85" w:rsidRPr="0061626C" w:rsidRDefault="00637E85" w:rsidP="007721B6">
      <w:pPr>
        <w:pStyle w:val="Textonotapie"/>
        <w:jc w:val="both"/>
      </w:pPr>
    </w:p>
  </w:footnote>
  <w:footnote w:id="8">
    <w:p w14:paraId="063F5668" w14:textId="2BC05AF5" w:rsidR="007721B6" w:rsidRDefault="007721B6" w:rsidP="007721B6">
      <w:pPr>
        <w:pStyle w:val="Textonotapie"/>
        <w:jc w:val="both"/>
      </w:pPr>
      <w:r>
        <w:rPr>
          <w:rStyle w:val="Refdenotaalpie"/>
        </w:rPr>
        <w:footnoteRef/>
      </w:r>
      <w:r>
        <w:t xml:space="preserve"> Vid. REBOLLO PUIG, M</w:t>
      </w:r>
      <w:r w:rsidR="001F7A32">
        <w:t>anuel</w:t>
      </w:r>
      <w:r>
        <w:t>: “</w:t>
      </w:r>
      <w:r w:rsidRPr="006F1365">
        <w:rPr>
          <w:i/>
          <w:iCs/>
        </w:rPr>
        <w:t>La presunción de validez</w:t>
      </w:r>
      <w:r>
        <w:t>”, en Revista Española de Derecho Administrativo, número 128, 2005, págs. 587 y siguientes</w:t>
      </w:r>
      <w:r w:rsidR="00637E85">
        <w:t>.</w:t>
      </w:r>
    </w:p>
  </w:footnote>
  <w:footnote w:id="9">
    <w:p w14:paraId="46E279FF" w14:textId="01307218" w:rsidR="007721B6" w:rsidRDefault="007721B6" w:rsidP="007721B6">
      <w:pPr>
        <w:pStyle w:val="Textonotapie"/>
        <w:jc w:val="both"/>
      </w:pPr>
      <w:r>
        <w:rPr>
          <w:rStyle w:val="Refdenotaalpie"/>
        </w:rPr>
        <w:footnoteRef/>
      </w:r>
      <w:r w:rsidRPr="0061626C">
        <w:t>GALLARDO CASTILLO, M. JESÚS, “Régimen Jurídico de las Administraciones Públicas y Procedimiento Administrativo Común, Comentario sistemático a la Ley 30/1992, de 26 de noviembre”, Editorial TECNOS, 2010, páginas 259 y 260.</w:t>
      </w:r>
    </w:p>
    <w:p w14:paraId="3A95AE07" w14:textId="77777777" w:rsidR="00637E85" w:rsidRPr="0061626C" w:rsidRDefault="00637E85" w:rsidP="007721B6">
      <w:pPr>
        <w:pStyle w:val="Textonotapie"/>
        <w:jc w:val="both"/>
      </w:pPr>
    </w:p>
  </w:footnote>
  <w:footnote w:id="10">
    <w:p w14:paraId="796F05E8" w14:textId="1B421BF0" w:rsidR="007721B6" w:rsidRDefault="007721B6" w:rsidP="007721B6">
      <w:pPr>
        <w:pStyle w:val="Textonotapie"/>
        <w:jc w:val="both"/>
      </w:pPr>
      <w:r>
        <w:rPr>
          <w:rStyle w:val="Refdenotaalpie"/>
        </w:rPr>
        <w:footnoteRef/>
      </w:r>
      <w:r>
        <w:t xml:space="preserve"> </w:t>
      </w:r>
      <w:r w:rsidRPr="0061626C">
        <w:t>PARADA VAZQUEZ, R. “</w:t>
      </w:r>
      <w:r w:rsidRPr="007164E8">
        <w:rPr>
          <w:i/>
          <w:iCs/>
        </w:rPr>
        <w:t>Régimen Jurídico de las Administraciones Públicas y Procedimiento Administrativo Común (Estudio, Comentarios y Texto de la Ley 30/1992, de 26 de noviembre</w:t>
      </w:r>
      <w:r w:rsidRPr="0061626C">
        <w:t>)”, MARCIAL PONS, 1999, pp.239 y 240</w:t>
      </w:r>
    </w:p>
    <w:p w14:paraId="52367983" w14:textId="77777777" w:rsidR="00637E85" w:rsidRPr="0061626C" w:rsidRDefault="00637E85" w:rsidP="007721B6">
      <w:pPr>
        <w:pStyle w:val="Textonotapie"/>
        <w:jc w:val="both"/>
      </w:pPr>
    </w:p>
  </w:footnote>
  <w:footnote w:id="11">
    <w:p w14:paraId="3342A046" w14:textId="0EE080B1" w:rsidR="007721B6" w:rsidRDefault="007721B6" w:rsidP="007721B6">
      <w:pPr>
        <w:pStyle w:val="Textonotapie"/>
        <w:jc w:val="both"/>
      </w:pPr>
      <w:r>
        <w:rPr>
          <w:rStyle w:val="Refdenotaalpie"/>
        </w:rPr>
        <w:footnoteRef/>
      </w:r>
      <w:r>
        <w:t xml:space="preserve"> REBOLLO PUIG, M., “</w:t>
      </w:r>
      <w:r w:rsidRPr="007164E8">
        <w:rPr>
          <w:i/>
          <w:iCs/>
        </w:rPr>
        <w:t>La presunción de validez</w:t>
      </w:r>
      <w:r>
        <w:t>”, en Revista Española de Derecho Administrativo, número 128, 2005, p. 589</w:t>
      </w:r>
    </w:p>
    <w:p w14:paraId="55B5C191" w14:textId="77777777" w:rsidR="00637E85" w:rsidRDefault="00637E85" w:rsidP="007721B6">
      <w:pPr>
        <w:pStyle w:val="Textonotapie"/>
        <w:jc w:val="both"/>
      </w:pPr>
    </w:p>
  </w:footnote>
  <w:footnote w:id="12">
    <w:p w14:paraId="1E0B752C" w14:textId="38CFCB84" w:rsidR="007721B6" w:rsidRDefault="007721B6" w:rsidP="007721B6">
      <w:pPr>
        <w:pStyle w:val="Textonotapie"/>
        <w:jc w:val="both"/>
      </w:pPr>
      <w:r>
        <w:rPr>
          <w:rStyle w:val="Refdenotaalpie"/>
        </w:rPr>
        <w:footnoteRef/>
      </w:r>
      <w:r>
        <w:t xml:space="preserve"> F. GONZÁLEZ NAVARRO, “</w:t>
      </w:r>
      <w:r w:rsidRPr="007164E8">
        <w:rPr>
          <w:i/>
          <w:iCs/>
        </w:rPr>
        <w:t>Derecho Administrativo Español. El Acto y el procedimiento administrativo</w:t>
      </w:r>
      <w:r>
        <w:t>”, III, Eunsa, Pamplona, pp. 447 y 448.</w:t>
      </w:r>
    </w:p>
    <w:p w14:paraId="16BF59C0" w14:textId="77777777" w:rsidR="00637E85" w:rsidRDefault="00637E85" w:rsidP="007721B6">
      <w:pPr>
        <w:pStyle w:val="Textonotapie"/>
        <w:jc w:val="both"/>
      </w:pPr>
    </w:p>
  </w:footnote>
  <w:footnote w:id="13">
    <w:p w14:paraId="389AE75C" w14:textId="77777777" w:rsidR="007721B6" w:rsidRPr="00B94CFF" w:rsidRDefault="007721B6" w:rsidP="007721B6">
      <w:pPr>
        <w:pStyle w:val="Textonotapie"/>
      </w:pPr>
      <w:r w:rsidRPr="00B94CFF">
        <w:rPr>
          <w:rStyle w:val="Refdenotaalpie"/>
        </w:rPr>
        <w:footnoteRef/>
      </w:r>
      <w:r w:rsidRPr="00B94CFF">
        <w:t xml:space="preserve"> J.R. PARADA VAZQUEZ, </w:t>
      </w:r>
      <w:r w:rsidRPr="007164E8">
        <w:rPr>
          <w:i/>
          <w:iCs/>
        </w:rPr>
        <w:t>Derecho Administrativo, I, editorial</w:t>
      </w:r>
      <w:r w:rsidRPr="00B94CFF">
        <w:t xml:space="preserve"> DYKINSON, 2019, ct. Pg. 140.</w:t>
      </w:r>
    </w:p>
  </w:footnote>
  <w:footnote w:id="14">
    <w:p w14:paraId="29AA8E1D" w14:textId="45E2E993" w:rsidR="007721B6" w:rsidRDefault="007721B6" w:rsidP="007721B6">
      <w:pPr>
        <w:pStyle w:val="Textonotapie"/>
        <w:jc w:val="both"/>
      </w:pPr>
      <w:r>
        <w:rPr>
          <w:rStyle w:val="Refdenotaalpie"/>
        </w:rPr>
        <w:footnoteRef/>
      </w:r>
      <w:r>
        <w:t xml:space="preserve"> La STS de 1 de diciembre de 2011 (recurso 3719/2008) FD 8, afirma lo siguiente: “</w:t>
      </w:r>
      <w:r w:rsidRPr="00102AB5">
        <w:rPr>
          <w:i/>
          <w:iCs/>
        </w:rPr>
        <w:t>La valoración de la prueba pericial conforme a las reglas de la sana crítica implica el que dicha valoración no esté sometida a un régimen de prueba tasada. Pero de igual manera impide que el órgano jurisdiccional asuma el informe del perito con un automatismo tal que prescinda de cualquier reflexión o crítica sobre su contenido. En la medida en que la valoración de la prueba sirve a la propia motivación de la sentencia al exponer las razones que llevan a tomar la decisión que finalmente se adoptará, deberán analizarse en dicha valoración -y expresarse, en consecuencia- los elementos considerados para la emisión del informe ponderando tanto la cualificación profesional o técnica de los peritos; las categorías, cantidad o calidad de datos recabados, así como la conexión de los mismos con el objeto del proceso y, finalmente, la viabilidad de las conclusiones alcanzadas a partir de tales datos</w:t>
      </w:r>
      <w:r>
        <w:t xml:space="preserve">”. </w:t>
      </w:r>
    </w:p>
    <w:p w14:paraId="2D27898A" w14:textId="77777777" w:rsidR="00637E85" w:rsidRDefault="00637E85" w:rsidP="007721B6">
      <w:pPr>
        <w:pStyle w:val="Textonotapie"/>
        <w:jc w:val="both"/>
      </w:pPr>
    </w:p>
  </w:footnote>
  <w:footnote w:id="15">
    <w:p w14:paraId="0F1AB246" w14:textId="60D44481" w:rsidR="007721B6" w:rsidRDefault="007721B6" w:rsidP="007721B6">
      <w:pPr>
        <w:pStyle w:val="Textonotapie"/>
      </w:pPr>
      <w:r>
        <w:rPr>
          <w:rStyle w:val="Refdenotaalpie"/>
        </w:rPr>
        <w:footnoteRef/>
      </w:r>
      <w:r>
        <w:t xml:space="preserve"> CHAMORRO BERNAL, F., “</w:t>
      </w:r>
      <w:r w:rsidRPr="001F7A32">
        <w:rPr>
          <w:i/>
          <w:iCs/>
        </w:rPr>
        <w:t>La tutela judicial efectiva. Derecho y garantías procesales derivadas del artículo 24.1 de la Constitución”,</w:t>
      </w:r>
      <w:r>
        <w:t xml:space="preserve"> Bosch, Barcelona, 1994, pp.204 ss.</w:t>
      </w:r>
    </w:p>
    <w:p w14:paraId="4A54ECBE" w14:textId="77777777" w:rsidR="00637E85" w:rsidRDefault="00637E85" w:rsidP="007721B6">
      <w:pPr>
        <w:pStyle w:val="Textonotapie"/>
      </w:pPr>
    </w:p>
  </w:footnote>
  <w:footnote w:id="16">
    <w:p w14:paraId="0E35E2B4" w14:textId="77777777" w:rsidR="007721B6" w:rsidRDefault="007721B6" w:rsidP="007721B6">
      <w:pPr>
        <w:pStyle w:val="Textonotapie"/>
      </w:pPr>
      <w:r w:rsidRPr="00D7734A">
        <w:rPr>
          <w:rStyle w:val="Refdenotaalpie"/>
        </w:rPr>
        <w:footnoteRef/>
      </w:r>
      <w:r w:rsidRPr="00D7734A">
        <w:t xml:space="preserve"> </w:t>
      </w:r>
      <w:r w:rsidRPr="00B94CFF">
        <w:t xml:space="preserve">ABEL LLUCH, X, </w:t>
      </w:r>
      <w:r w:rsidRPr="001F7A32">
        <w:rPr>
          <w:i/>
          <w:iCs/>
        </w:rPr>
        <w:t>“Derecho probatorio”,</w:t>
      </w:r>
      <w:r w:rsidRPr="00B94CFF">
        <w:t xml:space="preserve"> editorial BOSCH, 2012, pp.727 ss</w:t>
      </w:r>
      <w:r>
        <w:t>.</w:t>
      </w:r>
    </w:p>
  </w:footnote>
  <w:footnote w:id="17">
    <w:p w14:paraId="4446BA81" w14:textId="3125B388" w:rsidR="007721B6" w:rsidRDefault="007721B6" w:rsidP="007721B6">
      <w:pPr>
        <w:pStyle w:val="Textonotapie"/>
        <w:jc w:val="both"/>
      </w:pPr>
      <w:r w:rsidRPr="00505EEA">
        <w:rPr>
          <w:rStyle w:val="Refdenotaalpie"/>
        </w:rPr>
        <w:footnoteRef/>
      </w:r>
      <w:r w:rsidRPr="00505EEA">
        <w:t xml:space="preserve"> Sentencias del Tribunal Supremo de 22 de </w:t>
      </w:r>
      <w:r w:rsidR="00962008" w:rsidRPr="00505EEA">
        <w:t>septiembre</w:t>
      </w:r>
      <w:r w:rsidRPr="00505EEA">
        <w:t xml:space="preserve">, 6 de </w:t>
      </w:r>
      <w:r w:rsidR="00962008" w:rsidRPr="00505EEA">
        <w:t>octubre</w:t>
      </w:r>
      <w:r w:rsidRPr="00505EEA">
        <w:t xml:space="preserve"> y 19 de </w:t>
      </w:r>
      <w:r w:rsidR="00962008" w:rsidRPr="00505EEA">
        <w:t>noviembre</w:t>
      </w:r>
      <w:r w:rsidRPr="00505EEA">
        <w:t xml:space="preserve"> de 1.999, 22 de </w:t>
      </w:r>
      <w:r w:rsidR="00962008" w:rsidRPr="00505EEA">
        <w:t>enero</w:t>
      </w:r>
      <w:r w:rsidRPr="00505EEA">
        <w:t xml:space="preserve"> y 5 de </w:t>
      </w:r>
      <w:r w:rsidR="00962008" w:rsidRPr="00505EEA">
        <w:t>febrero</w:t>
      </w:r>
      <w:r w:rsidRPr="00505EEA">
        <w:t xml:space="preserve"> de 2.000</w:t>
      </w:r>
      <w:r w:rsidR="00637E85">
        <w:t>.</w:t>
      </w:r>
    </w:p>
    <w:p w14:paraId="0E6526FA" w14:textId="77777777" w:rsidR="00637E85" w:rsidRPr="00505EEA" w:rsidRDefault="00637E85" w:rsidP="007721B6">
      <w:pPr>
        <w:pStyle w:val="Textonotapie"/>
        <w:jc w:val="both"/>
      </w:pPr>
    </w:p>
  </w:footnote>
  <w:footnote w:id="18">
    <w:p w14:paraId="686DB9A8" w14:textId="0BEA5DF0" w:rsidR="007721B6" w:rsidRDefault="007721B6" w:rsidP="007721B6">
      <w:pPr>
        <w:pStyle w:val="Textonotapie"/>
        <w:jc w:val="both"/>
      </w:pPr>
      <w:r w:rsidRPr="00505EEA">
        <w:rPr>
          <w:rStyle w:val="Refdenotaalpie"/>
        </w:rPr>
        <w:footnoteRef/>
      </w:r>
      <w:r w:rsidRPr="00505EEA">
        <w:t xml:space="preserve"> </w:t>
      </w:r>
      <w:r>
        <w:t>S</w:t>
      </w:r>
      <w:r w:rsidRPr="00505EEA">
        <w:t xml:space="preserve">entencias del mismo Alto Tribunal de 30 de </w:t>
      </w:r>
      <w:r w:rsidR="00962008" w:rsidRPr="00505EEA">
        <w:t>enero</w:t>
      </w:r>
      <w:r w:rsidRPr="00505EEA">
        <w:t>,</w:t>
      </w:r>
      <w:r w:rsidR="00962008">
        <w:t xml:space="preserve"> </w:t>
      </w:r>
      <w:r w:rsidRPr="00505EEA">
        <w:t xml:space="preserve">27 de </w:t>
      </w:r>
      <w:r w:rsidR="00962008" w:rsidRPr="00505EEA">
        <w:t>marzo</w:t>
      </w:r>
      <w:r w:rsidRPr="00505EEA">
        <w:t xml:space="preserve">, 17 de </w:t>
      </w:r>
      <w:r w:rsidR="00962008" w:rsidRPr="00505EEA">
        <w:t>mayo</w:t>
      </w:r>
      <w:r w:rsidRPr="00505EEA">
        <w:t xml:space="preserve">, 19 de </w:t>
      </w:r>
      <w:r w:rsidR="00962008" w:rsidRPr="00505EEA">
        <w:t>junio</w:t>
      </w:r>
      <w:r w:rsidRPr="00505EEA">
        <w:t xml:space="preserve"> y 1 de </w:t>
      </w:r>
      <w:r w:rsidR="00637E85" w:rsidRPr="00505EEA">
        <w:t>octubre</w:t>
      </w:r>
      <w:r w:rsidRPr="00505EEA">
        <w:t xml:space="preserve"> de 1.999, de 22 de Enero y 5 de Mayo de 2.000 entre innumerables otras</w:t>
      </w:r>
      <w:r>
        <w:t>.</w:t>
      </w:r>
    </w:p>
    <w:p w14:paraId="392284AC" w14:textId="77777777" w:rsidR="001F7A32" w:rsidRPr="00505EEA" w:rsidRDefault="001F7A32" w:rsidP="007721B6">
      <w:pPr>
        <w:pStyle w:val="Textonotapie"/>
        <w:jc w:val="both"/>
      </w:pPr>
    </w:p>
  </w:footnote>
  <w:footnote w:id="19">
    <w:p w14:paraId="54785738" w14:textId="7C489512" w:rsidR="007721B6" w:rsidRDefault="007721B6" w:rsidP="007721B6">
      <w:pPr>
        <w:pStyle w:val="Textonotapie"/>
        <w:jc w:val="both"/>
      </w:pPr>
      <w:r w:rsidRPr="00DD58CF">
        <w:rPr>
          <w:rStyle w:val="Refdenotaalpie"/>
        </w:rPr>
        <w:footnoteRef/>
      </w:r>
      <w:r w:rsidRPr="00DD58CF">
        <w:t xml:space="preserve"> </w:t>
      </w:r>
      <w:r>
        <w:t>S</w:t>
      </w:r>
      <w:r w:rsidRPr="00DD58CF">
        <w:t>entencia del Tribunal Supremo de 1 de julio de 1.988</w:t>
      </w:r>
    </w:p>
    <w:p w14:paraId="078BC489" w14:textId="77777777" w:rsidR="001F7A32" w:rsidRPr="00DD58CF" w:rsidRDefault="001F7A32" w:rsidP="007721B6">
      <w:pPr>
        <w:pStyle w:val="Textonotapie"/>
        <w:jc w:val="both"/>
      </w:pPr>
    </w:p>
  </w:footnote>
  <w:footnote w:id="20">
    <w:p w14:paraId="27B6DC7B" w14:textId="17FF6BF4" w:rsidR="007721B6" w:rsidRDefault="007721B6" w:rsidP="007721B6">
      <w:pPr>
        <w:pStyle w:val="Textonotapie"/>
        <w:jc w:val="both"/>
      </w:pPr>
      <w:r w:rsidRPr="00DD58CF">
        <w:rPr>
          <w:rStyle w:val="Refdenotaalpie"/>
        </w:rPr>
        <w:footnoteRef/>
      </w:r>
      <w:r w:rsidRPr="00DD58CF">
        <w:t xml:space="preserve"> </w:t>
      </w:r>
      <w:r>
        <w:t>S</w:t>
      </w:r>
      <w:r w:rsidRPr="00DD58CF">
        <w:t>entencias del Tribunal Supremo de 2 de noviembre de 1.989, 3 de octubre de 1.990 o 31 de mayo y 5 de junio de 1.991, análoga de 30 de junio de 1.994</w:t>
      </w:r>
    </w:p>
    <w:p w14:paraId="3CDD1B40" w14:textId="77777777" w:rsidR="001F7A32" w:rsidRPr="00DD58CF" w:rsidRDefault="001F7A32" w:rsidP="007721B6">
      <w:pPr>
        <w:pStyle w:val="Textonotapie"/>
        <w:jc w:val="both"/>
      </w:pPr>
    </w:p>
  </w:footnote>
  <w:footnote w:id="21">
    <w:p w14:paraId="2D352C0F" w14:textId="096B3527" w:rsidR="007721B6" w:rsidRDefault="007721B6" w:rsidP="007721B6">
      <w:pPr>
        <w:pStyle w:val="Textonotapie"/>
        <w:jc w:val="both"/>
      </w:pPr>
      <w:r w:rsidRPr="00DD58CF">
        <w:rPr>
          <w:rStyle w:val="Refdenotaalpie"/>
        </w:rPr>
        <w:footnoteRef/>
      </w:r>
      <w:r w:rsidRPr="00DD58CF">
        <w:t xml:space="preserve"> </w:t>
      </w:r>
      <w:r>
        <w:t>S</w:t>
      </w:r>
      <w:r w:rsidRPr="00DD58CF">
        <w:t>entencia del Tribunal Supremo de 5 de junio de 1.991</w:t>
      </w:r>
      <w:r>
        <w:t>.</w:t>
      </w:r>
    </w:p>
    <w:p w14:paraId="70E2D6E8" w14:textId="77777777" w:rsidR="001F7A32" w:rsidRPr="00DD58CF" w:rsidRDefault="001F7A32" w:rsidP="007721B6">
      <w:pPr>
        <w:pStyle w:val="Textonotapie"/>
        <w:jc w:val="both"/>
      </w:pPr>
    </w:p>
  </w:footnote>
  <w:footnote w:id="22">
    <w:p w14:paraId="6BE7F8F7" w14:textId="77777777" w:rsidR="007721B6" w:rsidRPr="00DD58CF" w:rsidRDefault="007721B6" w:rsidP="007721B6">
      <w:pPr>
        <w:pStyle w:val="Textonotapie"/>
        <w:jc w:val="both"/>
      </w:pPr>
      <w:r w:rsidRPr="00DD58CF">
        <w:rPr>
          <w:rStyle w:val="Refdenotaalpie"/>
        </w:rPr>
        <w:footnoteRef/>
      </w:r>
      <w:r w:rsidRPr="00DD58CF">
        <w:t>Sentencia de 21 de noviembre de 2011, señala “</w:t>
      </w:r>
      <w:r w:rsidRPr="00DD58CF">
        <w:rPr>
          <w:i/>
          <w:iCs/>
        </w:rPr>
        <w:t>la presunción de certeza de los informes técnicos administrativos, son de naturaleza iuris tantum, pudiendo quedar desvirtuada dicha presunción por la prueba pericial en contrario, siempre que la misma se haya practicado con todos los requisitos previstos en las leyes, que garantizan la imparcialidad del informe pericial: u. aún y así, esos informes periciales estarán sujetos a la apreciación y sana crítica del órgano jurisdiccional ante el que se prestan, valorándose en relación con el resto de los medios de prueba practicados en autos."</w:t>
      </w:r>
    </w:p>
  </w:footnote>
  <w:footnote w:id="23">
    <w:p w14:paraId="3D46FA71" w14:textId="77777777" w:rsidR="007721B6" w:rsidRPr="00DD58CF" w:rsidRDefault="007721B6" w:rsidP="007721B6">
      <w:pPr>
        <w:jc w:val="both"/>
        <w:rPr>
          <w:sz w:val="20"/>
          <w:szCs w:val="20"/>
        </w:rPr>
      </w:pPr>
      <w:r w:rsidRPr="00DD58CF">
        <w:rPr>
          <w:rStyle w:val="Refdenotaalpie"/>
          <w:sz w:val="20"/>
          <w:szCs w:val="20"/>
        </w:rPr>
        <w:footnoteRef/>
      </w:r>
      <w:r w:rsidRPr="00DD58CF">
        <w:rPr>
          <w:sz w:val="20"/>
          <w:szCs w:val="20"/>
        </w:rPr>
        <w:t xml:space="preserve"> </w:t>
      </w:r>
      <w:r>
        <w:rPr>
          <w:sz w:val="20"/>
          <w:szCs w:val="20"/>
        </w:rPr>
        <w:t>S</w:t>
      </w:r>
      <w:r w:rsidRPr="00DD58CF">
        <w:rPr>
          <w:sz w:val="20"/>
          <w:szCs w:val="20"/>
        </w:rPr>
        <w:t>entencias del Tribunal Supremo de 27 de enero de 1998, 28 de junio de 1999, 7 y 27 de marzo de 2000 y 6 de abril de 2000, entre muchas otras</w:t>
      </w:r>
      <w:r>
        <w:rPr>
          <w:sz w:val="20"/>
          <w:szCs w:val="20"/>
        </w:rPr>
        <w:t>.</w:t>
      </w:r>
    </w:p>
  </w:footnote>
  <w:footnote w:id="24">
    <w:p w14:paraId="67028B4D" w14:textId="77777777" w:rsidR="007721B6" w:rsidRPr="00DD58CF" w:rsidRDefault="007721B6" w:rsidP="007721B6">
      <w:pPr>
        <w:pStyle w:val="Textonotapie"/>
        <w:jc w:val="both"/>
      </w:pPr>
      <w:r w:rsidRPr="00DD58CF">
        <w:rPr>
          <w:rStyle w:val="Refdenotaalpie"/>
        </w:rPr>
        <w:footnoteRef/>
      </w:r>
      <w:r w:rsidRPr="00DD58CF">
        <w:t xml:space="preserve"> STS 12 de junio, recurso 1198/2010; FD 2.</w:t>
      </w:r>
    </w:p>
  </w:footnote>
  <w:footnote w:id="25">
    <w:p w14:paraId="1C6316B5" w14:textId="77777777" w:rsidR="001F7A32" w:rsidRDefault="007721B6" w:rsidP="001F7A32">
      <w:pPr>
        <w:pStyle w:val="NormalWeb"/>
        <w:spacing w:before="0" w:beforeAutospacing="0" w:after="0" w:afterAutospacing="0"/>
        <w:jc w:val="both"/>
        <w:rPr>
          <w:sz w:val="20"/>
          <w:szCs w:val="20"/>
        </w:rPr>
      </w:pPr>
      <w:r w:rsidRPr="00DD58CF">
        <w:rPr>
          <w:rStyle w:val="Refdenotaalpie"/>
          <w:sz w:val="20"/>
          <w:szCs w:val="20"/>
        </w:rPr>
        <w:footnoteRef/>
      </w:r>
      <w:r w:rsidRPr="00DD58CF">
        <w:rPr>
          <w:sz w:val="20"/>
          <w:szCs w:val="20"/>
        </w:rPr>
        <w:t xml:space="preserve"> </w:t>
      </w:r>
      <w:r w:rsidR="001F7A32" w:rsidRPr="00DD58CF">
        <w:rPr>
          <w:sz w:val="20"/>
          <w:szCs w:val="20"/>
        </w:rPr>
        <w:t xml:space="preserve">Así se ha producido en la sentencia del Tribunal Superior de Justicia de Madrid, Sección 2ª, de 20 de marzo de 2013 (recurso 400/2011), cuando con ocasión del recurso contra la concesión de una licencia de obras de nueva edificación con instalaciones otorgada a una sociedad mercantil, </w:t>
      </w:r>
      <w:r w:rsidR="001F7A32">
        <w:rPr>
          <w:sz w:val="20"/>
          <w:szCs w:val="20"/>
        </w:rPr>
        <w:t xml:space="preserve">su Fundamento Jurídico Cuarto comienza de la siguiente manera: </w:t>
      </w:r>
    </w:p>
    <w:p w14:paraId="206ACDDC" w14:textId="77777777" w:rsidR="001F7A32" w:rsidRDefault="001F7A32" w:rsidP="001F7A32">
      <w:pPr>
        <w:pStyle w:val="NormalWeb"/>
        <w:spacing w:before="0" w:beforeAutospacing="0" w:after="0" w:afterAutospacing="0"/>
        <w:jc w:val="both"/>
        <w:rPr>
          <w:b/>
          <w:bCs/>
          <w:color w:val="000000"/>
          <w:sz w:val="20"/>
          <w:szCs w:val="20"/>
        </w:rPr>
      </w:pPr>
    </w:p>
    <w:p w14:paraId="3C683BED" w14:textId="77777777" w:rsidR="001F7A32" w:rsidRPr="001F7A32" w:rsidRDefault="001F7A32" w:rsidP="001F7A32">
      <w:pPr>
        <w:pStyle w:val="NormalWeb"/>
        <w:spacing w:before="0" w:beforeAutospacing="0" w:after="0" w:afterAutospacing="0"/>
        <w:jc w:val="both"/>
        <w:rPr>
          <w:i/>
          <w:iCs/>
          <w:sz w:val="20"/>
          <w:szCs w:val="20"/>
        </w:rPr>
      </w:pPr>
      <w:r w:rsidRPr="002C7FC8">
        <w:rPr>
          <w:b/>
          <w:bCs/>
          <w:i/>
          <w:iCs/>
          <w:color w:val="000000"/>
          <w:sz w:val="20"/>
          <w:szCs w:val="20"/>
        </w:rPr>
        <w:t>“</w:t>
      </w:r>
      <w:r w:rsidRPr="001F7A32">
        <w:rPr>
          <w:b/>
          <w:bCs/>
          <w:i/>
          <w:iCs/>
          <w:sz w:val="20"/>
          <w:szCs w:val="20"/>
        </w:rPr>
        <w:t>CUARTO.-</w:t>
      </w:r>
      <w:r w:rsidRPr="001F7A32">
        <w:rPr>
          <w:i/>
          <w:iCs/>
          <w:sz w:val="20"/>
          <w:szCs w:val="20"/>
        </w:rPr>
        <w:t> Por tanto la cuestión es si el proyecto es o no conforme con la normativa urbanística: Nos encontramos en primer lugar con el informe pericial de los demandantes.</w:t>
      </w:r>
    </w:p>
    <w:p w14:paraId="05CFC61F" w14:textId="77777777" w:rsidR="001F7A32" w:rsidRPr="001F7A32" w:rsidRDefault="001F7A32" w:rsidP="001F7A32">
      <w:pPr>
        <w:spacing w:before="120"/>
        <w:jc w:val="both"/>
        <w:rPr>
          <w:i/>
          <w:iCs/>
          <w:sz w:val="20"/>
          <w:szCs w:val="20"/>
        </w:rPr>
      </w:pPr>
      <w:r w:rsidRPr="001F7A32">
        <w:rPr>
          <w:i/>
          <w:iCs/>
          <w:sz w:val="20"/>
          <w:szCs w:val="20"/>
        </w:rPr>
        <w:t>Este informe pericial privado se encuentra confrontado por el informe pericial de la constructora (folio 798 y siguientes del expediente administrativo) que concluye que el inmueble objeto del pleito se ha proyectado de acuerdo con la normativa urbanística aplicable en cuanto a alturas, rasantes, retranqueos y separaciones a linderos.</w:t>
      </w:r>
    </w:p>
    <w:p w14:paraId="0EF050A2" w14:textId="77777777" w:rsidR="001F7A32" w:rsidRPr="001F7A32" w:rsidRDefault="001F7A32" w:rsidP="001F7A32">
      <w:pPr>
        <w:spacing w:before="120"/>
        <w:jc w:val="both"/>
        <w:rPr>
          <w:i/>
          <w:iCs/>
          <w:sz w:val="20"/>
          <w:szCs w:val="20"/>
        </w:rPr>
      </w:pPr>
      <w:r w:rsidRPr="001F7A32">
        <w:rPr>
          <w:i/>
          <w:iCs/>
          <w:sz w:val="20"/>
          <w:szCs w:val="20"/>
        </w:rPr>
        <w:t>En este caso, el criterio fundamental a tener en cuenta es el de la independencia de los técnicos respecto a los intereses en juego, ya que ello constituye, una evidente garantía y seguridad de la imparcialidad de sus actuaciones. A este respecto la </w:t>
      </w:r>
      <w:hyperlink r:id="rId3" w:tooltip="enlace" w:history="1">
        <w:r w:rsidRPr="001F7A32">
          <w:rPr>
            <w:i/>
            <w:iCs/>
            <w:sz w:val="20"/>
            <w:szCs w:val="20"/>
          </w:rPr>
          <w:t>ley 30/1992, de 26 de noviembre, de Régimen Jurídico de las Administraciones Públicas y del Procedimiento Administrativo Común</w:t>
        </w:r>
      </w:hyperlink>
      <w:r w:rsidRPr="001F7A32">
        <w:rPr>
          <w:i/>
          <w:iCs/>
          <w:sz w:val="20"/>
          <w:szCs w:val="20"/>
        </w:rPr>
        <w:t> dispone en su Artículo 137:</w:t>
      </w:r>
    </w:p>
    <w:p w14:paraId="34520143" w14:textId="77777777" w:rsidR="001F7A32" w:rsidRPr="001F7A32" w:rsidRDefault="001F7A32" w:rsidP="001F7A32">
      <w:pPr>
        <w:spacing w:before="120"/>
        <w:jc w:val="both"/>
        <w:rPr>
          <w:i/>
          <w:iCs/>
          <w:sz w:val="20"/>
          <w:szCs w:val="20"/>
        </w:rPr>
      </w:pPr>
      <w:r w:rsidRPr="001F7A32">
        <w:rPr>
          <w:i/>
          <w:iCs/>
          <w:sz w:val="20"/>
          <w:szCs w:val="20"/>
        </w:rPr>
        <w:t>“3. Los hechos constatados por funcionarios a los que se reconoce la condición de autoridad, y que se formalicen en documento público observando los requisitos legales pertinentes, tendrán valor probatorio sin perjuicio de las pruebas que en defensa de los respectivos derechos o intereses puedan señalar o aportar los propios administrados”.</w:t>
      </w:r>
    </w:p>
    <w:p w14:paraId="490739D6" w14:textId="77777777" w:rsidR="001F7A32" w:rsidRPr="001F7A32" w:rsidRDefault="001F7A32" w:rsidP="001F7A32">
      <w:pPr>
        <w:spacing w:before="120"/>
        <w:jc w:val="both"/>
        <w:rPr>
          <w:i/>
          <w:iCs/>
          <w:sz w:val="20"/>
          <w:szCs w:val="20"/>
        </w:rPr>
      </w:pPr>
      <w:r w:rsidRPr="001F7A32">
        <w:rPr>
          <w:i/>
          <w:iCs/>
          <w:sz w:val="20"/>
          <w:szCs w:val="20"/>
        </w:rPr>
        <w:t>En tal sentido las sentencias del Tribunal Supremo de 12.12. 891 19.2.90 y 8.3.93, y de 20 de Julio de 1993, entre otras muchas) determinan que los informes emitidos por los órganos técnicos municipales, así como los de los peritos procesales, gozan de garantía de imparcialidad superior a las que pudieran formular técnicos designados por las partes (…)</w:t>
      </w:r>
    </w:p>
    <w:p w14:paraId="3542A00F" w14:textId="77777777" w:rsidR="001F7A32" w:rsidRPr="001F7A32" w:rsidRDefault="001F7A32" w:rsidP="001F7A32">
      <w:pPr>
        <w:spacing w:before="120"/>
        <w:jc w:val="both"/>
        <w:rPr>
          <w:sz w:val="20"/>
          <w:szCs w:val="20"/>
        </w:rPr>
      </w:pPr>
      <w:r w:rsidRPr="001F7A32">
        <w:rPr>
          <w:sz w:val="20"/>
          <w:szCs w:val="20"/>
        </w:rPr>
        <w:t>Y termina concluyendo, tras valorar la prueba, afirmando:</w:t>
      </w:r>
    </w:p>
    <w:p w14:paraId="580326B4" w14:textId="77777777" w:rsidR="001F7A32" w:rsidRPr="001F7A32" w:rsidRDefault="001F7A32" w:rsidP="001F7A32">
      <w:pPr>
        <w:pStyle w:val="NormalWeb"/>
        <w:spacing w:before="120" w:beforeAutospacing="0" w:after="0" w:afterAutospacing="0"/>
        <w:jc w:val="both"/>
        <w:rPr>
          <w:i/>
          <w:iCs/>
          <w:sz w:val="20"/>
          <w:szCs w:val="20"/>
        </w:rPr>
      </w:pPr>
      <w:r w:rsidRPr="001F7A32">
        <w:rPr>
          <w:i/>
          <w:iCs/>
          <w:sz w:val="20"/>
          <w:szCs w:val="20"/>
        </w:rPr>
        <w:t xml:space="preserve">“Por tanto debe darse prevalencia a los informes periciales de la Administración, al gozar aquellos de la presunción de mayor objetividad e imparcialidad, dada su posición independiente de los intereses contendientes, y al gozar los acuerdos municipales de la presunción de legalidad, propia de los actos administrativos en general”. </w:t>
      </w:r>
    </w:p>
    <w:p w14:paraId="67A70966" w14:textId="0BF0BDA2" w:rsidR="007721B6" w:rsidRPr="00DD58CF" w:rsidRDefault="007721B6" w:rsidP="007721B6">
      <w:pPr>
        <w:jc w:val="both"/>
        <w:rPr>
          <w:sz w:val="20"/>
          <w:szCs w:val="20"/>
        </w:rPr>
      </w:pPr>
    </w:p>
    <w:p w14:paraId="0E2074A3" w14:textId="77777777" w:rsidR="007721B6" w:rsidRPr="00DD58CF" w:rsidRDefault="007721B6" w:rsidP="007721B6">
      <w:pPr>
        <w:pStyle w:val="Textonotapie"/>
      </w:pPr>
    </w:p>
  </w:footnote>
  <w:footnote w:id="26">
    <w:p w14:paraId="0E2737E2" w14:textId="77777777" w:rsidR="007721B6" w:rsidRPr="00EB7E7A" w:rsidRDefault="007721B6" w:rsidP="007721B6">
      <w:pPr>
        <w:pStyle w:val="Textonotapie"/>
        <w:jc w:val="both"/>
      </w:pPr>
      <w:r w:rsidRPr="00EB7E7A">
        <w:rPr>
          <w:rStyle w:val="Refdenotaalpie"/>
        </w:rPr>
        <w:footnoteRef/>
      </w:r>
      <w:r w:rsidRPr="00EB7E7A">
        <w:t xml:space="preserve"> Sentencia del Tribunal Superior de Justicia de la Comunidad Valenciana, Sección 1ª, sentencia de 29 de febrero de 2008, recurso 33/2007.</w:t>
      </w:r>
    </w:p>
  </w:footnote>
  <w:footnote w:id="27">
    <w:p w14:paraId="11978217" w14:textId="1F8DC8EA" w:rsidR="007721B6" w:rsidRDefault="007721B6" w:rsidP="007721B6">
      <w:pPr>
        <w:pStyle w:val="Textonotapie"/>
        <w:jc w:val="both"/>
      </w:pPr>
      <w:r w:rsidRPr="00EB7E7A">
        <w:rPr>
          <w:rStyle w:val="Refdenotaalpie"/>
        </w:rPr>
        <w:footnoteRef/>
      </w:r>
      <w:r w:rsidRPr="00EB7E7A">
        <w:t xml:space="preserve"> Tribunal Superior de Justicia de Extremadura, sentencia de 10 de octubre de 2017, recurso 175/2017. </w:t>
      </w:r>
    </w:p>
    <w:p w14:paraId="1D618EF4" w14:textId="77777777" w:rsidR="004013D0" w:rsidRPr="00EB7E7A" w:rsidRDefault="004013D0" w:rsidP="007721B6">
      <w:pPr>
        <w:pStyle w:val="Textonotapie"/>
        <w:jc w:val="both"/>
      </w:pPr>
    </w:p>
  </w:footnote>
  <w:footnote w:id="28">
    <w:p w14:paraId="7C666D8A" w14:textId="472C5CA1" w:rsidR="007721B6" w:rsidRPr="00EB7E7A" w:rsidRDefault="007721B6" w:rsidP="007721B6">
      <w:pPr>
        <w:pStyle w:val="Textonotapie"/>
        <w:jc w:val="both"/>
      </w:pPr>
      <w:r w:rsidRPr="00EB7E7A">
        <w:rPr>
          <w:rStyle w:val="Refdenotaalpie"/>
        </w:rPr>
        <w:footnoteRef/>
      </w:r>
      <w:r w:rsidRPr="00EB7E7A">
        <w:t xml:space="preserve"> BARRERO RODRÍGUEZ, C</w:t>
      </w:r>
      <w:r w:rsidR="001F7A32">
        <w:t>oncepción</w:t>
      </w:r>
      <w:r w:rsidRPr="00EB7E7A">
        <w:t xml:space="preserve">. “La prueba en el procedimiento administrativo”, Aranzadi, 2001, pp 209 y ss. </w:t>
      </w:r>
      <w:r>
        <w:t xml:space="preserve">En su opinión, la tesis del mayor valor probatorio del dictamen de perito de la administración está bien asentada en los procedimientos triangulares, en los que la administración desempeña una función decisoria de un conflicto planteado entre dos interesados. Ahora bien, la administración recupera su posición de parte en el recurso contra la resolución del mencionado procedimiento. </w:t>
      </w:r>
    </w:p>
  </w:footnote>
  <w:footnote w:id="29">
    <w:p w14:paraId="00854863" w14:textId="77777777" w:rsidR="007721B6" w:rsidRPr="00EB7E7A" w:rsidRDefault="007721B6" w:rsidP="007721B6">
      <w:pPr>
        <w:pStyle w:val="Textonotapie"/>
        <w:jc w:val="both"/>
      </w:pPr>
      <w:r w:rsidRPr="00EB7E7A">
        <w:rPr>
          <w:rStyle w:val="Refdenotaalpie"/>
        </w:rPr>
        <w:footnoteRef/>
      </w:r>
      <w:r w:rsidRPr="00EB7E7A">
        <w:t xml:space="preserve"> Tribunal Superior de Justicia de Andalucía, con sede en Granada, de 31 de marzo de 2014, recurso 769/2010)</w:t>
      </w:r>
    </w:p>
  </w:footnote>
  <w:footnote w:id="30">
    <w:p w14:paraId="7DF02A21" w14:textId="4A125068" w:rsidR="004013D0" w:rsidRPr="004013D0" w:rsidRDefault="004013D0" w:rsidP="004013D0">
      <w:pPr>
        <w:ind w:firstLine="708"/>
        <w:jc w:val="both"/>
        <w:rPr>
          <w:color w:val="00B050"/>
          <w:szCs w:val="20"/>
        </w:rPr>
      </w:pPr>
      <w:r>
        <w:rPr>
          <w:rStyle w:val="Refdenotaalpie"/>
        </w:rPr>
        <w:footnoteRef/>
      </w:r>
      <w:r>
        <w:t xml:space="preserve"> </w:t>
      </w:r>
      <w:r w:rsidRPr="004013D0">
        <w:rPr>
          <w:sz w:val="20"/>
          <w:szCs w:val="20"/>
        </w:rPr>
        <w:t>P</w:t>
      </w:r>
      <w:r>
        <w:rPr>
          <w:sz w:val="20"/>
          <w:szCs w:val="20"/>
        </w:rPr>
        <w:t xml:space="preserve">recisamente </w:t>
      </w:r>
      <w:r w:rsidRPr="004013D0">
        <w:rPr>
          <w:sz w:val="20"/>
          <w:szCs w:val="20"/>
        </w:rPr>
        <w:t>para supuestos de ruina urbanística es evidente que los ayuntamientos pueden llegar a ser parte interesada en que esta declaración administrativa de ruina se produzca con el fin último de adjudicarse el bien concreto</w:t>
      </w:r>
      <w:r w:rsidR="006313BC">
        <w:rPr>
          <w:sz w:val="20"/>
          <w:szCs w:val="20"/>
        </w:rPr>
        <w:t>. Piénsese, por ejemplo, que e</w:t>
      </w:r>
      <w:r w:rsidR="006313BC" w:rsidRPr="006313BC">
        <w:rPr>
          <w:sz w:val="20"/>
          <w:szCs w:val="20"/>
        </w:rPr>
        <w:t xml:space="preserve">n el ámbito de la </w:t>
      </w:r>
      <w:r w:rsidR="006313BC">
        <w:rPr>
          <w:sz w:val="20"/>
          <w:szCs w:val="20"/>
        </w:rPr>
        <w:t>c</w:t>
      </w:r>
      <w:r w:rsidR="006313BC" w:rsidRPr="006313BC">
        <w:rPr>
          <w:sz w:val="20"/>
          <w:szCs w:val="20"/>
        </w:rPr>
        <w:t xml:space="preserve">omunidad </w:t>
      </w:r>
      <w:r w:rsidR="006313BC">
        <w:rPr>
          <w:sz w:val="20"/>
          <w:szCs w:val="20"/>
        </w:rPr>
        <w:t>a</w:t>
      </w:r>
      <w:r w:rsidR="006313BC" w:rsidRPr="006313BC">
        <w:rPr>
          <w:sz w:val="20"/>
          <w:szCs w:val="20"/>
        </w:rPr>
        <w:t>utónoma andaluza, la nueva ley de urbanismo recién promulgada (Ley 7/2021, de 1 de diciembre, de impulso para la sostenibilidad del territorio de Andalucía -LISTA-) señala en su artículo 146 que la declaración de situación legal de ruina urbanística “</w:t>
      </w:r>
      <w:r w:rsidR="006313BC" w:rsidRPr="006313BC">
        <w:rPr>
          <w:i/>
          <w:iCs/>
          <w:sz w:val="20"/>
          <w:szCs w:val="20"/>
        </w:rPr>
        <w:t>deberá disponer las medidas necesarias para evitar daños a personas y bienes, y pronunciarse sobre el incumplimiento o no del deber de conservación de la construcción o edificación (…)</w:t>
      </w:r>
      <w:r w:rsidR="006313BC" w:rsidRPr="006313BC">
        <w:rPr>
          <w:sz w:val="20"/>
          <w:szCs w:val="20"/>
        </w:rPr>
        <w:t>” -punto 2, apartado b)-; señalando en el apartado inmediatamente siguiente que ”</w:t>
      </w:r>
      <w:r w:rsidR="006313BC" w:rsidRPr="006313BC">
        <w:rPr>
          <w:i/>
          <w:iCs/>
          <w:sz w:val="20"/>
          <w:szCs w:val="20"/>
        </w:rPr>
        <w:t>supondrá su inclusión en el Registro Municipal de Solares y edificaciones ruinosas, otorgándose a la persona propietaria el plazo de un año para que proceda conforme a lo previsto en el apartado siguiente. Por ministerio de la Ley, transcurrido este plazo, la edificación o construcción correspondiente quedará en situación de ejecución por sustitución prevista en el artículo 136</w:t>
      </w:r>
      <w:r w:rsidR="006313BC" w:rsidRPr="006313BC">
        <w:rPr>
          <w:sz w:val="20"/>
          <w:szCs w:val="20"/>
        </w:rPr>
        <w:t>”. Esta situación de ejecución por sustitución habilitará al Ayuntamiento para convocar y resolver un concurso de venta forzosa para la sustitución de la persona propietaria incumplidora. Ahora bien, como dispone el artículo 136, la propia administración podrá acordar la expropiación de la finca que se trate.</w:t>
      </w:r>
    </w:p>
    <w:p w14:paraId="28A995CC" w14:textId="018D3D30" w:rsidR="004013D0" w:rsidRDefault="004013D0">
      <w:pPr>
        <w:pStyle w:val="Textonotapie"/>
      </w:pPr>
    </w:p>
  </w:footnote>
  <w:footnote w:id="31">
    <w:p w14:paraId="77EFF156" w14:textId="158CE769" w:rsidR="00E43722" w:rsidRDefault="00E43722" w:rsidP="00E43722">
      <w:pPr>
        <w:pStyle w:val="Textonotapie"/>
        <w:jc w:val="both"/>
      </w:pPr>
      <w:r>
        <w:rPr>
          <w:rStyle w:val="Refdenotaalpie"/>
        </w:rPr>
        <w:footnoteRef/>
      </w:r>
      <w:r>
        <w:t xml:space="preserve"> </w:t>
      </w:r>
      <w:r w:rsidRPr="00E43722">
        <w:t xml:space="preserve">SSTSJA, con sede en Granada, 3471/12 del TSJA, Sala de lo Contencioso-Administrativo, Sección cuarta de 3 de diciembre de 2012; </w:t>
      </w:r>
      <w:r>
        <w:t xml:space="preserve">y </w:t>
      </w:r>
      <w:r w:rsidRPr="00E43722">
        <w:t>849/15</w:t>
      </w:r>
      <w:r>
        <w:t xml:space="preserve">, </w:t>
      </w:r>
      <w:r w:rsidRPr="00E43722">
        <w:t>de 4 de mayo de 2015 del TSJA, Sede Granada, Sección Cuarta</w:t>
      </w:r>
    </w:p>
  </w:footnote>
  <w:footnote w:id="32">
    <w:p w14:paraId="1436BE2E" w14:textId="0B706C2A" w:rsidR="007721B6" w:rsidRDefault="007721B6" w:rsidP="007721B6">
      <w:pPr>
        <w:pStyle w:val="Textonotapie"/>
        <w:jc w:val="both"/>
      </w:pPr>
      <w:r>
        <w:rPr>
          <w:rStyle w:val="Refdenotaalpie"/>
        </w:rPr>
        <w:footnoteRef/>
      </w:r>
      <w:r>
        <w:t xml:space="preserve"> FERNANDEZ, </w:t>
      </w:r>
      <w:r w:rsidR="001F7A32">
        <w:t>Tomas Ramón</w:t>
      </w:r>
      <w:r>
        <w:t>, “</w:t>
      </w:r>
      <w:r w:rsidRPr="00F14C22">
        <w:rPr>
          <w:i/>
          <w:iCs/>
        </w:rPr>
        <w:t>Notas sobre el proceso continuo y silencio de erosión del Derecho Estatal y de las garantías jurídicas de la ciudadanos: el caso de los Jurados autonómicos de expropiación</w:t>
      </w:r>
      <w:r>
        <w:t xml:space="preserve">”, Revista de Administración Pública 153, año 2000, páginas 91 y ss. GARCIA DE ENTERRIA, </w:t>
      </w:r>
      <w:r w:rsidR="001F7A32">
        <w:t>Eduardo</w:t>
      </w:r>
      <w:r>
        <w:t>, “</w:t>
      </w:r>
      <w:r w:rsidRPr="00F14C22">
        <w:rPr>
          <w:i/>
          <w:iCs/>
        </w:rPr>
        <w:t>La Ley de Expropiación Forzosa de 1954, medio siglo después</w:t>
      </w:r>
      <w:r>
        <w:t>”, Revista de Administración Pública, 156, 2001, páginas 251 y ss.</w:t>
      </w:r>
      <w:r w:rsidRPr="00F14C22">
        <w:t xml:space="preserve"> </w:t>
      </w:r>
      <w:r>
        <w:t xml:space="preserve">CORRAL GARCÍA, </w:t>
      </w:r>
      <w:r w:rsidR="001F7A32">
        <w:t xml:space="preserve">Esteban </w:t>
      </w:r>
      <w:r w:rsidRPr="00F14C22">
        <w:rPr>
          <w:i/>
          <w:iCs/>
        </w:rPr>
        <w:t>“Expropiación municipal con especial atención a los supuestos expropiatorios en la legislación urbanística de las Autonomías</w:t>
      </w:r>
      <w:r>
        <w:t xml:space="preserve">”, El Consultor de los Ayuntamientos, Madrid, 1ª ed., 2000, </w:t>
      </w:r>
      <w:r w:rsidR="001F7A32">
        <w:t>págs.</w:t>
      </w:r>
      <w:r>
        <w:t xml:space="preserve"> 119 y ss</w:t>
      </w:r>
      <w:r w:rsidR="004D36FA">
        <w:t>.</w:t>
      </w:r>
    </w:p>
    <w:p w14:paraId="7CEF97F6" w14:textId="77777777" w:rsidR="004D36FA" w:rsidRDefault="004D36FA" w:rsidP="007721B6">
      <w:pPr>
        <w:pStyle w:val="Textonotapie"/>
        <w:jc w:val="both"/>
      </w:pPr>
    </w:p>
  </w:footnote>
  <w:footnote w:id="33">
    <w:p w14:paraId="7468F3B4" w14:textId="77C7197D" w:rsidR="00380393" w:rsidRDefault="00380393">
      <w:pPr>
        <w:pStyle w:val="Textonotapie"/>
      </w:pPr>
      <w:r>
        <w:rPr>
          <w:rStyle w:val="Refdenotaalpie"/>
        </w:rPr>
        <w:footnoteRef/>
      </w:r>
      <w:r>
        <w:t xml:space="preserve"> Autos de la Sección 4ª de la Sala de lo Contencioso del TSJ de Madrid, de 7 de abril de 2003; y del TSJ de Castilla la Mancha, de 2 de abril de 2004, Sección 2ª; ambos desestimados por</w:t>
      </w:r>
      <w:r w:rsidRPr="00380393">
        <w:rPr>
          <w:i/>
          <w:iCs/>
        </w:rPr>
        <w:t xml:space="preserve"> </w:t>
      </w:r>
      <w:r w:rsidRPr="00380393">
        <w:t xml:space="preserve">Sentencias del Tribunal Constitucional 251/2006, de 25 de julio; </w:t>
      </w:r>
      <w:r w:rsidR="001F7A32" w:rsidRPr="00380393">
        <w:t>y 315</w:t>
      </w:r>
      <w:r w:rsidRPr="00380393">
        <w:t>/2006, de 8 de noviembre</w:t>
      </w:r>
      <w:r w:rsidR="004D36FA">
        <w:t>.</w:t>
      </w:r>
    </w:p>
    <w:p w14:paraId="0957B660" w14:textId="77777777" w:rsidR="004D36FA" w:rsidRPr="00380393" w:rsidRDefault="004D36FA">
      <w:pPr>
        <w:pStyle w:val="Textonotapie"/>
      </w:pPr>
    </w:p>
  </w:footnote>
  <w:footnote w:id="34">
    <w:p w14:paraId="132AB7BE" w14:textId="29B23F05" w:rsidR="007721B6" w:rsidRDefault="007721B6" w:rsidP="007721B6">
      <w:pPr>
        <w:pStyle w:val="Textonotapie"/>
      </w:pPr>
      <w:r>
        <w:rPr>
          <w:rStyle w:val="Refdenotaalpie"/>
        </w:rPr>
        <w:footnoteRef/>
      </w:r>
      <w:r>
        <w:t xml:space="preserve"> FERNADEZ TORRES, </w:t>
      </w:r>
      <w:r w:rsidR="001F7A32">
        <w:t>Juan Ramón</w:t>
      </w:r>
      <w:r>
        <w:t>, “¿</w:t>
      </w:r>
      <w:r w:rsidRPr="009F2AA9">
        <w:rPr>
          <w:i/>
          <w:iCs/>
        </w:rPr>
        <w:t>Alguien cree de verdad que es conforme a la Constitución la regulación de los Jurados Autonómicos de Expropiación Forzosa? (A propósito de las Sentencias del Tribunal Constitucional 251/2006, de 25 de julio, 313/2006, 314/2006 y 315/2006, de 8 de noviembre</w:t>
      </w:r>
      <w:r>
        <w:t xml:space="preserve">)” Revista de Urbanismo y Edificación, 2006, </w:t>
      </w:r>
      <w:r w:rsidR="001F7A32">
        <w:t>págs.</w:t>
      </w:r>
      <w:r>
        <w:t xml:space="preserve"> 98 y ss.</w:t>
      </w:r>
    </w:p>
    <w:p w14:paraId="58CD853F" w14:textId="77777777" w:rsidR="004D36FA" w:rsidRDefault="004D36FA" w:rsidP="007721B6">
      <w:pPr>
        <w:pStyle w:val="Textonotapie"/>
      </w:pPr>
    </w:p>
  </w:footnote>
  <w:footnote w:id="35">
    <w:p w14:paraId="16BD0115" w14:textId="29F58484" w:rsidR="00CA40F8" w:rsidRDefault="00CA40F8" w:rsidP="00CA40F8">
      <w:pPr>
        <w:pStyle w:val="Textonotapie"/>
        <w:jc w:val="both"/>
      </w:pPr>
      <w:r>
        <w:rPr>
          <w:rStyle w:val="Refdenotaalpie"/>
        </w:rPr>
        <w:footnoteRef/>
      </w:r>
      <w:r>
        <w:t xml:space="preserve"> FERNANDEZ TORRES, </w:t>
      </w:r>
      <w:r w:rsidR="001F7A32">
        <w:t xml:space="preserve">Juan Ramón </w:t>
      </w:r>
      <w:r>
        <w:t>“</w:t>
      </w:r>
      <w:r w:rsidRPr="00CA40F8">
        <w:rPr>
          <w:i/>
          <w:iCs/>
        </w:rPr>
        <w:t>Estudio Integral de las Expropiaciones Urbanísticas</w:t>
      </w:r>
      <w:r>
        <w:t xml:space="preserve">”, Thompson Aranzadi, 2ª Ed, 2007, </w:t>
      </w:r>
      <w:r w:rsidR="001F7A32">
        <w:t>págs.</w:t>
      </w:r>
      <w:r>
        <w:t xml:space="preserve"> 236 y 237.</w:t>
      </w:r>
    </w:p>
  </w:footnote>
  <w:footnote w:id="36">
    <w:p w14:paraId="23842790" w14:textId="77777777" w:rsidR="002270A2" w:rsidRPr="002270A2" w:rsidRDefault="007721B6" w:rsidP="002270A2">
      <w:pPr>
        <w:pStyle w:val="Textonotapie"/>
        <w:jc w:val="both"/>
      </w:pPr>
      <w:r w:rsidRPr="00B977FD">
        <w:rPr>
          <w:rStyle w:val="Refdenotaalpie"/>
        </w:rPr>
        <w:footnoteRef/>
      </w:r>
      <w:r w:rsidRPr="00B977FD">
        <w:t xml:space="preserve"> STS 30 junio 1989, 18 mayo 1992</w:t>
      </w:r>
      <w:r w:rsidR="002270A2">
        <w:t xml:space="preserve">, </w:t>
      </w:r>
      <w:r w:rsidRPr="00B977FD">
        <w:t>30 de marzo de 1993</w:t>
      </w:r>
      <w:r w:rsidR="002270A2">
        <w:t xml:space="preserve"> o </w:t>
      </w:r>
      <w:r w:rsidR="002270A2" w:rsidRPr="002270A2">
        <w:t xml:space="preserve">de 19 de abril de 1994 señalan que </w:t>
      </w:r>
      <w:r w:rsidR="002270A2" w:rsidRPr="007721B6">
        <w:t>la pericial de parte no reúne los requisitos necesarios para desvirtuar la presunción de legalidad y acierto de las resoluciones del órgano valorativo, pues, sencillamente, el informe aportado por el interesado tiene carácter parcial, por lo que no puede prevalecer por sí solo sobre los acuerdos del Jurado o Comisión. Esta prueba, si quería ser combatida y revisada en vía jurisdiccional, debería efectuarse por un perito insaculado, que verificado con las garantías procesales de los artículos 610 y ss. de la LEC, tiene las mismas características de imparcialidad y objetividad que el acuerdo del órgano de valoración, por lo que si existe discordancia entre las conclusiones a las que llega el perito y este organismo, el Tribunal puede fijar el justo precio siguiendo el dictamen emitido en los autos valorándolo conforme a las reglas de la sana crítica y siempre que este dictamen tenga la adecuada fuerza de convicción por apoyarse en presupuestos fácticos y legales que avalen sus conclusiones</w:t>
      </w:r>
    </w:p>
    <w:p w14:paraId="68D7A882" w14:textId="1FEE8F57" w:rsidR="007721B6" w:rsidRPr="00B977FD" w:rsidRDefault="007721B6" w:rsidP="007721B6">
      <w:pPr>
        <w:pStyle w:val="Textonotapie"/>
      </w:pPr>
    </w:p>
  </w:footnote>
  <w:footnote w:id="37">
    <w:p w14:paraId="3468796D" w14:textId="77777777" w:rsidR="007721B6" w:rsidRPr="00B977FD" w:rsidRDefault="007721B6" w:rsidP="007721B6">
      <w:pPr>
        <w:pStyle w:val="Textonotapie"/>
        <w:jc w:val="both"/>
      </w:pPr>
      <w:r>
        <w:rPr>
          <w:rStyle w:val="Refdenotaalpie"/>
        </w:rPr>
        <w:footnoteRef/>
      </w:r>
      <w:r>
        <w:t xml:space="preserve"> </w:t>
      </w:r>
      <w:r w:rsidRPr="00B977FD">
        <w:t xml:space="preserve">STSJA, con sede en Granada, 355/2020, 20 de febrero de 2020, rec. 1190/2012; </w:t>
      </w:r>
      <w:r>
        <w:t>que recoge otras sentencias, como la</w:t>
      </w:r>
      <w:r w:rsidRPr="00B977FD">
        <w:t xml:space="preserve"> del Alto Tribunal, </w:t>
      </w:r>
      <w:r>
        <w:t>de</w:t>
      </w:r>
      <w:r w:rsidRPr="00B977FD">
        <w:t xml:space="preserve"> </w:t>
      </w:r>
      <w:r w:rsidRPr="00B977FD">
        <w:rPr>
          <w:color w:val="000000"/>
        </w:rPr>
        <w:t>fecha 23 de julio de</w:t>
      </w:r>
      <w:r>
        <w:rPr>
          <w:color w:val="000000"/>
        </w:rPr>
        <w:t xml:space="preserve"> </w:t>
      </w:r>
      <w:r w:rsidRPr="00B977FD">
        <w:rPr>
          <w:color w:val="000000"/>
        </w:rPr>
        <w:t xml:space="preserve">2012 (recurso de casación 3888/2009), sobre la valoración de la prueba pericial de parte </w:t>
      </w:r>
      <w:r>
        <w:rPr>
          <w:color w:val="000000"/>
        </w:rPr>
        <w:t>en materia de expropiación.</w:t>
      </w:r>
    </w:p>
  </w:footnote>
  <w:footnote w:id="38">
    <w:p w14:paraId="19C08B54" w14:textId="301E657E" w:rsidR="008C6412" w:rsidRPr="008C6412" w:rsidRDefault="008C6412" w:rsidP="008C6412">
      <w:pPr>
        <w:pStyle w:val="Textonotapie"/>
        <w:jc w:val="both"/>
        <w:rPr>
          <w:color w:val="FF0000"/>
        </w:rPr>
      </w:pPr>
      <w:r w:rsidRPr="004D36FA">
        <w:rPr>
          <w:rStyle w:val="Refdenotaalpie"/>
        </w:rPr>
        <w:footnoteRef/>
      </w:r>
      <w:r w:rsidRPr="004D36FA">
        <w:t xml:space="preserve"> F. GONZALEZ NAVARRO, “Derecho Administrativo Español. El acto y el procedimiento administrativo, III, Eunsa, Pamplona, pgs. 447 y 448.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B7FC7"/>
    <w:multiLevelType w:val="hybridMultilevel"/>
    <w:tmpl w:val="FB14F372"/>
    <w:lvl w:ilvl="0" w:tplc="CF2EBC44">
      <w:start w:val="3"/>
      <w:numFmt w:val="bullet"/>
      <w:lvlText w:val="-"/>
      <w:lvlJc w:val="left"/>
      <w:pPr>
        <w:ind w:left="1068" w:hanging="360"/>
      </w:pPr>
      <w:rPr>
        <w:rFonts w:ascii="Arial" w:eastAsia="Times New Roman" w:hAnsi="Arial" w:cs="Aria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 w15:restartNumberingAfterBreak="0">
    <w:nsid w:val="2A9E25CB"/>
    <w:multiLevelType w:val="hybridMultilevel"/>
    <w:tmpl w:val="827678C8"/>
    <w:lvl w:ilvl="0" w:tplc="43EAD706">
      <w:start w:val="6"/>
      <w:numFmt w:val="bullet"/>
      <w:lvlText w:val="-"/>
      <w:lvlJc w:val="left"/>
      <w:pPr>
        <w:ind w:left="720" w:hanging="360"/>
      </w:pPr>
      <w:rPr>
        <w:rFonts w:ascii="Arial" w:eastAsia="Times New Roman" w:hAnsi="Arial" w:cs="Arial"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D7B730F"/>
    <w:multiLevelType w:val="hybridMultilevel"/>
    <w:tmpl w:val="AFE808C4"/>
    <w:lvl w:ilvl="0" w:tplc="169811CA">
      <w:start w:val="1"/>
      <w:numFmt w:val="low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36702B1A"/>
    <w:multiLevelType w:val="hybridMultilevel"/>
    <w:tmpl w:val="EC88D028"/>
    <w:lvl w:ilvl="0" w:tplc="88C6752E">
      <w:start w:val="1"/>
      <w:numFmt w:val="low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3FB71F66"/>
    <w:multiLevelType w:val="hybridMultilevel"/>
    <w:tmpl w:val="5C886A36"/>
    <w:lvl w:ilvl="0" w:tplc="C94882B8">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2753578"/>
    <w:multiLevelType w:val="multilevel"/>
    <w:tmpl w:val="D14A8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9BC5072"/>
    <w:multiLevelType w:val="multilevel"/>
    <w:tmpl w:val="BB986B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05A0A43"/>
    <w:multiLevelType w:val="hybridMultilevel"/>
    <w:tmpl w:val="04A238D6"/>
    <w:lvl w:ilvl="0" w:tplc="D3AE35DE">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F9F444C"/>
    <w:multiLevelType w:val="hybridMultilevel"/>
    <w:tmpl w:val="0C266602"/>
    <w:lvl w:ilvl="0" w:tplc="73D40A3C">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435008647">
    <w:abstractNumId w:val="0"/>
  </w:num>
  <w:num w:numId="2" w16cid:durableId="2019311996">
    <w:abstractNumId w:val="6"/>
  </w:num>
  <w:num w:numId="3" w16cid:durableId="1875801067">
    <w:abstractNumId w:val="4"/>
  </w:num>
  <w:num w:numId="4" w16cid:durableId="1319991460">
    <w:abstractNumId w:val="8"/>
  </w:num>
  <w:num w:numId="5" w16cid:durableId="2096045683">
    <w:abstractNumId w:val="7"/>
  </w:num>
  <w:num w:numId="6" w16cid:durableId="1481271843">
    <w:abstractNumId w:val="1"/>
  </w:num>
  <w:num w:numId="7" w16cid:durableId="20976344">
    <w:abstractNumId w:val="5"/>
  </w:num>
  <w:num w:numId="8" w16cid:durableId="1886326651">
    <w:abstractNumId w:val="2"/>
  </w:num>
  <w:num w:numId="9" w16cid:durableId="20721468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668"/>
    <w:rsid w:val="00043454"/>
    <w:rsid w:val="000522F4"/>
    <w:rsid w:val="00072565"/>
    <w:rsid w:val="0007558D"/>
    <w:rsid w:val="00082AEF"/>
    <w:rsid w:val="000C074C"/>
    <w:rsid w:val="000C223C"/>
    <w:rsid w:val="00102AB5"/>
    <w:rsid w:val="001E4999"/>
    <w:rsid w:val="001F7A32"/>
    <w:rsid w:val="00215668"/>
    <w:rsid w:val="002270A2"/>
    <w:rsid w:val="002417F1"/>
    <w:rsid w:val="0025275E"/>
    <w:rsid w:val="00257AAD"/>
    <w:rsid w:val="002703EE"/>
    <w:rsid w:val="002932F4"/>
    <w:rsid w:val="002C558E"/>
    <w:rsid w:val="002F2FEC"/>
    <w:rsid w:val="0032795D"/>
    <w:rsid w:val="0034279F"/>
    <w:rsid w:val="00380393"/>
    <w:rsid w:val="003934E7"/>
    <w:rsid w:val="003C4407"/>
    <w:rsid w:val="003C6859"/>
    <w:rsid w:val="003E04DD"/>
    <w:rsid w:val="003E3455"/>
    <w:rsid w:val="003E3577"/>
    <w:rsid w:val="004013D0"/>
    <w:rsid w:val="0043312A"/>
    <w:rsid w:val="00445509"/>
    <w:rsid w:val="004531D0"/>
    <w:rsid w:val="004708F6"/>
    <w:rsid w:val="004C546F"/>
    <w:rsid w:val="004D36FA"/>
    <w:rsid w:val="00505EEA"/>
    <w:rsid w:val="005104CA"/>
    <w:rsid w:val="00526D59"/>
    <w:rsid w:val="00536775"/>
    <w:rsid w:val="005744C4"/>
    <w:rsid w:val="005B14A3"/>
    <w:rsid w:val="005C1DB0"/>
    <w:rsid w:val="005E568D"/>
    <w:rsid w:val="005F1496"/>
    <w:rsid w:val="0061626C"/>
    <w:rsid w:val="006313BC"/>
    <w:rsid w:val="006321D7"/>
    <w:rsid w:val="0063269D"/>
    <w:rsid w:val="00637E85"/>
    <w:rsid w:val="006671BE"/>
    <w:rsid w:val="00667405"/>
    <w:rsid w:val="006952ED"/>
    <w:rsid w:val="006C0A07"/>
    <w:rsid w:val="006D280B"/>
    <w:rsid w:val="006E6740"/>
    <w:rsid w:val="007031CF"/>
    <w:rsid w:val="0071054C"/>
    <w:rsid w:val="007144BA"/>
    <w:rsid w:val="00717187"/>
    <w:rsid w:val="00721337"/>
    <w:rsid w:val="0074374E"/>
    <w:rsid w:val="007553B6"/>
    <w:rsid w:val="00762FD9"/>
    <w:rsid w:val="007721B6"/>
    <w:rsid w:val="00792E43"/>
    <w:rsid w:val="007D006D"/>
    <w:rsid w:val="00800C67"/>
    <w:rsid w:val="0080261F"/>
    <w:rsid w:val="00821ACD"/>
    <w:rsid w:val="00841871"/>
    <w:rsid w:val="00842CBD"/>
    <w:rsid w:val="00854F9E"/>
    <w:rsid w:val="008919A7"/>
    <w:rsid w:val="0089512D"/>
    <w:rsid w:val="008B2FA0"/>
    <w:rsid w:val="008C6412"/>
    <w:rsid w:val="00903C72"/>
    <w:rsid w:val="00962008"/>
    <w:rsid w:val="009855B4"/>
    <w:rsid w:val="009D0EF9"/>
    <w:rsid w:val="009F1A5F"/>
    <w:rsid w:val="009F34BD"/>
    <w:rsid w:val="00A344E1"/>
    <w:rsid w:val="00A40B1A"/>
    <w:rsid w:val="00A51886"/>
    <w:rsid w:val="00A72B8E"/>
    <w:rsid w:val="00A73F34"/>
    <w:rsid w:val="00AA446C"/>
    <w:rsid w:val="00AB433E"/>
    <w:rsid w:val="00B171C7"/>
    <w:rsid w:val="00B62073"/>
    <w:rsid w:val="00B671C6"/>
    <w:rsid w:val="00B92BFE"/>
    <w:rsid w:val="00B94CFF"/>
    <w:rsid w:val="00B977FD"/>
    <w:rsid w:val="00C22EE7"/>
    <w:rsid w:val="00C23B27"/>
    <w:rsid w:val="00C576F6"/>
    <w:rsid w:val="00C85783"/>
    <w:rsid w:val="00CA09AD"/>
    <w:rsid w:val="00CA40F8"/>
    <w:rsid w:val="00CF7B22"/>
    <w:rsid w:val="00D07ADF"/>
    <w:rsid w:val="00D1509A"/>
    <w:rsid w:val="00D33D0B"/>
    <w:rsid w:val="00D33D73"/>
    <w:rsid w:val="00D34A3B"/>
    <w:rsid w:val="00D37231"/>
    <w:rsid w:val="00D405CC"/>
    <w:rsid w:val="00D47E29"/>
    <w:rsid w:val="00DB5485"/>
    <w:rsid w:val="00DC3E4A"/>
    <w:rsid w:val="00DD5132"/>
    <w:rsid w:val="00DD58CF"/>
    <w:rsid w:val="00DD5A94"/>
    <w:rsid w:val="00E04ECB"/>
    <w:rsid w:val="00E069A3"/>
    <w:rsid w:val="00E26B32"/>
    <w:rsid w:val="00E43722"/>
    <w:rsid w:val="00E45B9B"/>
    <w:rsid w:val="00EB39BA"/>
    <w:rsid w:val="00EB7E7A"/>
    <w:rsid w:val="00EC0B2A"/>
    <w:rsid w:val="00EF3E39"/>
    <w:rsid w:val="00EF6B77"/>
    <w:rsid w:val="00F2097B"/>
    <w:rsid w:val="00F2443E"/>
    <w:rsid w:val="00F25C6E"/>
    <w:rsid w:val="00F451E6"/>
    <w:rsid w:val="00F45BFC"/>
    <w:rsid w:val="00F56996"/>
    <w:rsid w:val="00F577D9"/>
    <w:rsid w:val="00F66FDD"/>
    <w:rsid w:val="00F95076"/>
    <w:rsid w:val="00FA04D5"/>
    <w:rsid w:val="00FD4935"/>
    <w:rsid w:val="00FE0A5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71E59"/>
  <w15:chartTrackingRefBased/>
  <w15:docId w15:val="{BCD41CB8-129A-42EA-ACCC-5F1A27318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5668"/>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4708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7721B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4708F6"/>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semiHidden/>
    <w:unhideWhenUsed/>
    <w:qFormat/>
    <w:rsid w:val="00526D5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semiHidden/>
    <w:unhideWhenUsed/>
    <w:rsid w:val="00215668"/>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215668"/>
    <w:rPr>
      <w:rFonts w:ascii="Consolas" w:eastAsia="Times New Roman" w:hAnsi="Consolas" w:cs="Times New Roman"/>
      <w:sz w:val="20"/>
      <w:szCs w:val="20"/>
      <w:lang w:eastAsia="es-ES"/>
    </w:rPr>
  </w:style>
  <w:style w:type="character" w:customStyle="1" w:styleId="highlightextended">
    <w:name w:val="highlightextended"/>
    <w:basedOn w:val="Fuentedeprrafopredeter"/>
    <w:rsid w:val="00215668"/>
  </w:style>
  <w:style w:type="character" w:styleId="Hipervnculo">
    <w:name w:val="Hyperlink"/>
    <w:basedOn w:val="Fuentedeprrafopredeter"/>
    <w:uiPriority w:val="99"/>
    <w:semiHidden/>
    <w:unhideWhenUsed/>
    <w:rsid w:val="00215668"/>
    <w:rPr>
      <w:color w:val="0000FF"/>
      <w:u w:val="single"/>
    </w:rPr>
  </w:style>
  <w:style w:type="paragraph" w:styleId="Textonotapie">
    <w:name w:val="footnote text"/>
    <w:basedOn w:val="Normal"/>
    <w:link w:val="TextonotapieCar"/>
    <w:uiPriority w:val="99"/>
    <w:semiHidden/>
    <w:unhideWhenUsed/>
    <w:rsid w:val="00215668"/>
    <w:rPr>
      <w:sz w:val="20"/>
      <w:szCs w:val="20"/>
    </w:rPr>
  </w:style>
  <w:style w:type="character" w:customStyle="1" w:styleId="TextonotapieCar">
    <w:name w:val="Texto nota pie Car"/>
    <w:basedOn w:val="Fuentedeprrafopredeter"/>
    <w:link w:val="Textonotapie"/>
    <w:uiPriority w:val="99"/>
    <w:semiHidden/>
    <w:rsid w:val="00215668"/>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unhideWhenUsed/>
    <w:rsid w:val="00215668"/>
    <w:rPr>
      <w:vertAlign w:val="superscript"/>
    </w:rPr>
  </w:style>
  <w:style w:type="character" w:customStyle="1" w:styleId="Ttulo3Car">
    <w:name w:val="Título 3 Car"/>
    <w:basedOn w:val="Fuentedeprrafopredeter"/>
    <w:link w:val="Ttulo3"/>
    <w:uiPriority w:val="9"/>
    <w:semiHidden/>
    <w:rsid w:val="004708F6"/>
    <w:rPr>
      <w:rFonts w:asciiTheme="majorHAnsi" w:eastAsiaTheme="majorEastAsia" w:hAnsiTheme="majorHAnsi" w:cstheme="majorBidi"/>
      <w:color w:val="1F3763" w:themeColor="accent1" w:themeShade="7F"/>
      <w:sz w:val="24"/>
      <w:szCs w:val="24"/>
      <w:lang w:eastAsia="es-ES"/>
    </w:rPr>
  </w:style>
  <w:style w:type="character" w:customStyle="1" w:styleId="Ttulo1Car">
    <w:name w:val="Título 1 Car"/>
    <w:basedOn w:val="Fuentedeprrafopredeter"/>
    <w:link w:val="Ttulo1"/>
    <w:uiPriority w:val="9"/>
    <w:rsid w:val="004708F6"/>
    <w:rPr>
      <w:rFonts w:asciiTheme="majorHAnsi" w:eastAsiaTheme="majorEastAsia" w:hAnsiTheme="majorHAnsi" w:cstheme="majorBidi"/>
      <w:color w:val="2F5496" w:themeColor="accent1" w:themeShade="BF"/>
      <w:sz w:val="32"/>
      <w:szCs w:val="32"/>
      <w:lang w:eastAsia="es-ES"/>
    </w:rPr>
  </w:style>
  <w:style w:type="paragraph" w:styleId="Sinespaciado">
    <w:name w:val="No Spacing"/>
    <w:uiPriority w:val="1"/>
    <w:qFormat/>
    <w:rsid w:val="004708F6"/>
    <w:pPr>
      <w:spacing w:after="0"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D47E29"/>
    <w:rPr>
      <w:i/>
      <w:iCs/>
    </w:rPr>
  </w:style>
  <w:style w:type="paragraph" w:styleId="NormalWeb">
    <w:name w:val="Normal (Web)"/>
    <w:basedOn w:val="Normal"/>
    <w:uiPriority w:val="99"/>
    <w:semiHidden/>
    <w:unhideWhenUsed/>
    <w:rsid w:val="0034279F"/>
    <w:pPr>
      <w:spacing w:before="100" w:beforeAutospacing="1" w:after="100" w:afterAutospacing="1"/>
    </w:pPr>
  </w:style>
  <w:style w:type="character" w:customStyle="1" w:styleId="highlight">
    <w:name w:val="highlight"/>
    <w:basedOn w:val="Fuentedeprrafopredeter"/>
    <w:rsid w:val="0034279F"/>
  </w:style>
  <w:style w:type="paragraph" w:styleId="Subttulo">
    <w:name w:val="Subtitle"/>
    <w:basedOn w:val="Normal"/>
    <w:next w:val="Normal"/>
    <w:link w:val="SubttuloCar"/>
    <w:uiPriority w:val="11"/>
    <w:qFormat/>
    <w:rsid w:val="00B171C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uiPriority w:val="11"/>
    <w:rsid w:val="00B171C7"/>
    <w:rPr>
      <w:rFonts w:eastAsiaTheme="minorEastAsia"/>
      <w:color w:val="5A5A5A" w:themeColor="text1" w:themeTint="A5"/>
      <w:spacing w:val="15"/>
      <w:lang w:eastAsia="es-ES"/>
    </w:rPr>
  </w:style>
  <w:style w:type="paragraph" w:customStyle="1" w:styleId="parrafo">
    <w:name w:val="parrafo"/>
    <w:basedOn w:val="Normal"/>
    <w:rsid w:val="00B171C7"/>
    <w:pPr>
      <w:spacing w:before="100" w:beforeAutospacing="1" w:after="100" w:afterAutospacing="1"/>
    </w:pPr>
  </w:style>
  <w:style w:type="paragraph" w:styleId="Prrafodelista">
    <w:name w:val="List Paragraph"/>
    <w:basedOn w:val="Normal"/>
    <w:uiPriority w:val="34"/>
    <w:qFormat/>
    <w:rsid w:val="002932F4"/>
    <w:pPr>
      <w:ind w:left="720"/>
      <w:contextualSpacing/>
    </w:pPr>
  </w:style>
  <w:style w:type="character" w:styleId="Refdecomentario">
    <w:name w:val="annotation reference"/>
    <w:basedOn w:val="Fuentedeprrafopredeter"/>
    <w:uiPriority w:val="99"/>
    <w:semiHidden/>
    <w:unhideWhenUsed/>
    <w:rsid w:val="003E04DD"/>
    <w:rPr>
      <w:sz w:val="16"/>
      <w:szCs w:val="16"/>
    </w:rPr>
  </w:style>
  <w:style w:type="paragraph" w:styleId="Textocomentario">
    <w:name w:val="annotation text"/>
    <w:basedOn w:val="Normal"/>
    <w:link w:val="TextocomentarioCar"/>
    <w:uiPriority w:val="99"/>
    <w:semiHidden/>
    <w:unhideWhenUsed/>
    <w:rsid w:val="003E04DD"/>
    <w:pPr>
      <w:spacing w:after="160"/>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semiHidden/>
    <w:rsid w:val="003E04DD"/>
    <w:rPr>
      <w:sz w:val="20"/>
      <w:szCs w:val="20"/>
    </w:rPr>
  </w:style>
  <w:style w:type="character" w:customStyle="1" w:styleId="Ttulo2Car">
    <w:name w:val="Título 2 Car"/>
    <w:basedOn w:val="Fuentedeprrafopredeter"/>
    <w:link w:val="Ttulo2"/>
    <w:uiPriority w:val="9"/>
    <w:semiHidden/>
    <w:rsid w:val="007721B6"/>
    <w:rPr>
      <w:rFonts w:asciiTheme="majorHAnsi" w:eastAsiaTheme="majorEastAsia" w:hAnsiTheme="majorHAnsi" w:cstheme="majorBidi"/>
      <w:color w:val="2F5496" w:themeColor="accent1" w:themeShade="BF"/>
      <w:sz w:val="26"/>
      <w:szCs w:val="26"/>
      <w:lang w:eastAsia="es-ES"/>
    </w:rPr>
  </w:style>
  <w:style w:type="paragraph" w:styleId="Encabezado">
    <w:name w:val="header"/>
    <w:basedOn w:val="Normal"/>
    <w:link w:val="EncabezadoCar"/>
    <w:uiPriority w:val="99"/>
    <w:unhideWhenUsed/>
    <w:rsid w:val="007721B6"/>
    <w:pPr>
      <w:tabs>
        <w:tab w:val="center" w:pos="4252"/>
        <w:tab w:val="right" w:pos="8504"/>
      </w:tabs>
    </w:pPr>
  </w:style>
  <w:style w:type="character" w:customStyle="1" w:styleId="EncabezadoCar">
    <w:name w:val="Encabezado Car"/>
    <w:basedOn w:val="Fuentedeprrafopredeter"/>
    <w:link w:val="Encabezado"/>
    <w:uiPriority w:val="99"/>
    <w:rsid w:val="007721B6"/>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7721B6"/>
    <w:pPr>
      <w:tabs>
        <w:tab w:val="center" w:pos="4252"/>
        <w:tab w:val="right" w:pos="8504"/>
      </w:tabs>
    </w:pPr>
  </w:style>
  <w:style w:type="character" w:customStyle="1" w:styleId="PiedepginaCar">
    <w:name w:val="Pie de página Car"/>
    <w:basedOn w:val="Fuentedeprrafopredeter"/>
    <w:link w:val="Piedepgina"/>
    <w:uiPriority w:val="99"/>
    <w:rsid w:val="007721B6"/>
    <w:rPr>
      <w:rFonts w:ascii="Times New Roman" w:eastAsia="Times New Roman" w:hAnsi="Times New Roman" w:cs="Times New Roman"/>
      <w:sz w:val="24"/>
      <w:szCs w:val="24"/>
      <w:lang w:eastAsia="es-ES"/>
    </w:rPr>
  </w:style>
  <w:style w:type="character" w:customStyle="1" w:styleId="Ttulo4Car">
    <w:name w:val="Título 4 Car"/>
    <w:basedOn w:val="Fuentedeprrafopredeter"/>
    <w:link w:val="Ttulo4"/>
    <w:uiPriority w:val="9"/>
    <w:semiHidden/>
    <w:rsid w:val="00526D59"/>
    <w:rPr>
      <w:rFonts w:asciiTheme="majorHAnsi" w:eastAsiaTheme="majorEastAsia" w:hAnsiTheme="majorHAnsi" w:cstheme="majorBidi"/>
      <w:i/>
      <w:iCs/>
      <w:color w:val="2F5496" w:themeColor="accent1" w:themeShade="BF"/>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892374">
      <w:bodyDiv w:val="1"/>
      <w:marLeft w:val="0"/>
      <w:marRight w:val="0"/>
      <w:marTop w:val="0"/>
      <w:marBottom w:val="0"/>
      <w:divBdr>
        <w:top w:val="none" w:sz="0" w:space="0" w:color="auto"/>
        <w:left w:val="none" w:sz="0" w:space="0" w:color="auto"/>
        <w:bottom w:val="none" w:sz="0" w:space="0" w:color="auto"/>
        <w:right w:val="none" w:sz="0" w:space="0" w:color="auto"/>
      </w:divBdr>
    </w:div>
    <w:div w:id="1283654060">
      <w:bodyDiv w:val="1"/>
      <w:marLeft w:val="0"/>
      <w:marRight w:val="0"/>
      <w:marTop w:val="0"/>
      <w:marBottom w:val="0"/>
      <w:divBdr>
        <w:top w:val="none" w:sz="0" w:space="0" w:color="auto"/>
        <w:left w:val="none" w:sz="0" w:space="0" w:color="auto"/>
        <w:bottom w:val="none" w:sz="0" w:space="0" w:color="auto"/>
        <w:right w:val="none" w:sz="0" w:space="0" w:color="auto"/>
      </w:divBdr>
    </w:div>
    <w:div w:id="1304429137">
      <w:bodyDiv w:val="1"/>
      <w:marLeft w:val="0"/>
      <w:marRight w:val="0"/>
      <w:marTop w:val="0"/>
      <w:marBottom w:val="0"/>
      <w:divBdr>
        <w:top w:val="none" w:sz="0" w:space="0" w:color="auto"/>
        <w:left w:val="none" w:sz="0" w:space="0" w:color="auto"/>
        <w:bottom w:val="none" w:sz="0" w:space="0" w:color="auto"/>
        <w:right w:val="none" w:sz="0" w:space="0" w:color="auto"/>
      </w:divBdr>
    </w:div>
    <w:div w:id="1762678568">
      <w:bodyDiv w:val="1"/>
      <w:marLeft w:val="0"/>
      <w:marRight w:val="0"/>
      <w:marTop w:val="0"/>
      <w:marBottom w:val="0"/>
      <w:divBdr>
        <w:top w:val="none" w:sz="0" w:space="0" w:color="auto"/>
        <w:left w:val="none" w:sz="0" w:space="0" w:color="auto"/>
        <w:bottom w:val="none" w:sz="0" w:space="0" w:color="auto"/>
        <w:right w:val="none" w:sz="0" w:space="0" w:color="auto"/>
      </w:divBdr>
    </w:div>
    <w:div w:id="1765033148">
      <w:bodyDiv w:val="1"/>
      <w:marLeft w:val="0"/>
      <w:marRight w:val="0"/>
      <w:marTop w:val="0"/>
      <w:marBottom w:val="0"/>
      <w:divBdr>
        <w:top w:val="none" w:sz="0" w:space="0" w:color="auto"/>
        <w:left w:val="none" w:sz="0" w:space="0" w:color="auto"/>
        <w:bottom w:val="none" w:sz="0" w:space="0" w:color="auto"/>
        <w:right w:val="none" w:sz="0" w:space="0" w:color="auto"/>
      </w:divBdr>
    </w:div>
    <w:div w:id="2091000821">
      <w:bodyDiv w:val="1"/>
      <w:marLeft w:val="0"/>
      <w:marRight w:val="0"/>
      <w:marTop w:val="0"/>
      <w:marBottom w:val="0"/>
      <w:divBdr>
        <w:top w:val="none" w:sz="0" w:space="0" w:color="auto"/>
        <w:left w:val="none" w:sz="0" w:space="0" w:color="auto"/>
        <w:bottom w:val="none" w:sz="0" w:space="0" w:color="auto"/>
        <w:right w:val="none" w:sz="0" w:space="0" w:color="auto"/>
      </w:divBdr>
    </w:div>
    <w:div w:id="209951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dministrativando.es/abogados/funcion-publica/" TargetMode="External"/><Relationship Id="rId13" Type="http://schemas.openxmlformats.org/officeDocument/2006/relationships/hyperlink" Target="https://dialnet.unirioja.es/servlet/revista?codigo=113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javascript:Redirection('LE0000025866_Vigente.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javascript:Redirection('LE0000025866_Vigente.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vlex.es/vid/ley-procedimiento-administrativo-comun-729582281" TargetMode="External"/><Relationship Id="rId4" Type="http://schemas.openxmlformats.org/officeDocument/2006/relationships/settings" Target="settings.xml"/><Relationship Id="rId9" Type="http://schemas.openxmlformats.org/officeDocument/2006/relationships/hyperlink" Target="https://vlex.es/vid/ley-procedimiento-administrativo-comun-729582281" TargetMode="External"/><Relationship Id="rId14" Type="http://schemas.openxmlformats.org/officeDocument/2006/relationships/hyperlink" Target="https://dialnet.unirioja.es/ejemplar/14281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javascript:Redirection('LE0000017603_Vigente.HTML')" TargetMode="External"/><Relationship Id="rId2" Type="http://schemas.openxmlformats.org/officeDocument/2006/relationships/hyperlink" Target="https://dialnet.unirioja.es/ejemplar/142819" TargetMode="External"/><Relationship Id="rId1" Type="http://schemas.openxmlformats.org/officeDocument/2006/relationships/hyperlink" Target="https://dialnet.unirioja.es/servlet/revista?codigo=113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AA2AD1-2BF3-4CA2-AB96-33007AA76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9451</Words>
  <Characters>51984</Characters>
  <Application>Microsoft Office Word</Application>
  <DocSecurity>0</DocSecurity>
  <Lines>433</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001</dc:creator>
  <cp:keywords/>
  <dc:description/>
  <cp:lastModifiedBy>Office 001</cp:lastModifiedBy>
  <cp:revision>2</cp:revision>
  <cp:lastPrinted>2022-12-28T10:51:00Z</cp:lastPrinted>
  <dcterms:created xsi:type="dcterms:W3CDTF">2023-01-13T09:06:00Z</dcterms:created>
  <dcterms:modified xsi:type="dcterms:W3CDTF">2023-01-13T09:06:00Z</dcterms:modified>
</cp:coreProperties>
</file>