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32B9" w:rsidRPr="003132B9" w:rsidRDefault="00A2397B" w:rsidP="003132B9">
      <w:pPr>
        <w:pStyle w:val="APA"/>
        <w:spacing w:line="240" w:lineRule="auto"/>
        <w:rPr>
          <w:vertAlign w:val="superscript"/>
          <w:lang w:eastAsia="es-ES"/>
        </w:rPr>
      </w:pPr>
      <w:bookmarkStart w:id="0" w:name="_GoBack"/>
      <w:bookmarkEnd w:id="0"/>
      <w:r>
        <w:rPr>
          <w:lang w:eastAsia="es-ES"/>
        </w:rPr>
        <w:t>Eva Garrosa</w:t>
      </w:r>
      <w:r w:rsidR="003132B9">
        <w:rPr>
          <w:vertAlign w:val="superscript"/>
          <w:lang w:eastAsia="es-ES"/>
        </w:rPr>
        <w:t>1</w:t>
      </w:r>
      <w:r w:rsidR="003132B9" w:rsidRPr="003132B9">
        <w:rPr>
          <w:lang w:eastAsia="es-ES"/>
        </w:rPr>
        <w:t>, Isabel Carmona-Cobo</w:t>
      </w:r>
      <w:r w:rsidR="003132B9">
        <w:rPr>
          <w:vertAlign w:val="superscript"/>
          <w:lang w:eastAsia="es-ES"/>
        </w:rPr>
        <w:t>1</w:t>
      </w:r>
      <w:r w:rsidR="003132B9" w:rsidRPr="003132B9">
        <w:rPr>
          <w:lang w:eastAsia="es-ES"/>
        </w:rPr>
        <w:t>, Bernardo Moreno-Jiménez</w:t>
      </w:r>
      <w:r w:rsidR="003132B9">
        <w:rPr>
          <w:vertAlign w:val="superscript"/>
          <w:lang w:eastAsia="es-ES"/>
        </w:rPr>
        <w:t>1</w:t>
      </w:r>
      <w:r w:rsidR="003132B9" w:rsidRPr="003132B9">
        <w:rPr>
          <w:lang w:eastAsia="es-ES"/>
        </w:rPr>
        <w:t>, Ana Sanz-Vergel</w:t>
      </w:r>
      <w:r w:rsidR="003132B9">
        <w:rPr>
          <w:vertAlign w:val="superscript"/>
          <w:lang w:eastAsia="es-ES"/>
        </w:rPr>
        <w:t>2</w:t>
      </w:r>
    </w:p>
    <w:p w:rsidR="003132B9" w:rsidRDefault="003132B9" w:rsidP="003132B9">
      <w:pPr>
        <w:spacing w:after="0" w:line="240" w:lineRule="auto"/>
        <w:rPr>
          <w:rFonts w:ascii="Times New Roman" w:eastAsia="Times New Roman" w:hAnsi="Times New Roman" w:cs="Times New Roman"/>
          <w:b/>
          <w:sz w:val="24"/>
          <w:szCs w:val="24"/>
          <w:lang w:eastAsia="es-ES"/>
        </w:rPr>
      </w:pPr>
    </w:p>
    <w:p w:rsidR="003132B9" w:rsidRDefault="003132B9" w:rsidP="003132B9">
      <w:pPr>
        <w:pStyle w:val="APA"/>
        <w:spacing w:after="0" w:line="240" w:lineRule="auto"/>
        <w:rPr>
          <w:lang w:eastAsia="es-ES"/>
        </w:rPr>
      </w:pPr>
      <w:r>
        <w:rPr>
          <w:vertAlign w:val="superscript"/>
          <w:lang w:eastAsia="es-ES"/>
        </w:rPr>
        <w:t>1</w:t>
      </w:r>
      <w:r>
        <w:rPr>
          <w:lang w:eastAsia="es-ES"/>
        </w:rPr>
        <w:t xml:space="preserve"> Universidad Autónoma de Madrid. Facultad de Psicología</w:t>
      </w:r>
      <w:r w:rsidR="00A2397B">
        <w:rPr>
          <w:lang w:eastAsia="es-ES"/>
        </w:rPr>
        <w:t>. España</w:t>
      </w:r>
    </w:p>
    <w:p w:rsidR="003132B9" w:rsidRPr="00A2397B" w:rsidRDefault="003132B9" w:rsidP="003132B9">
      <w:pPr>
        <w:pStyle w:val="APA"/>
        <w:spacing w:line="240" w:lineRule="auto"/>
        <w:rPr>
          <w:lang w:val="en-US" w:eastAsia="es-ES"/>
        </w:rPr>
      </w:pPr>
      <w:r w:rsidRPr="00A2397B">
        <w:rPr>
          <w:vertAlign w:val="superscript"/>
          <w:lang w:val="en-US" w:eastAsia="es-ES"/>
        </w:rPr>
        <w:t>2</w:t>
      </w:r>
      <w:r w:rsidRPr="00A2397B">
        <w:rPr>
          <w:lang w:val="en-US" w:eastAsia="es-ES"/>
        </w:rPr>
        <w:t xml:space="preserve"> </w:t>
      </w:r>
      <w:r w:rsidR="00A2397B" w:rsidRPr="00A2397B">
        <w:rPr>
          <w:lang w:val="en-US" w:eastAsia="es-ES"/>
        </w:rPr>
        <w:t xml:space="preserve">Norwich Business School. </w:t>
      </w:r>
      <w:r w:rsidRPr="00A2397B">
        <w:rPr>
          <w:lang w:val="en-US" w:eastAsia="es-ES"/>
        </w:rPr>
        <w:t>University of East Anglia</w:t>
      </w:r>
      <w:r w:rsidR="00A2397B" w:rsidRPr="00A2397B">
        <w:rPr>
          <w:lang w:val="en-US" w:eastAsia="es-ES"/>
        </w:rPr>
        <w:t xml:space="preserve">. United Kingdom </w:t>
      </w:r>
    </w:p>
    <w:p w:rsidR="003132B9" w:rsidRPr="00A2397B" w:rsidRDefault="003132B9" w:rsidP="003132B9">
      <w:pPr>
        <w:pStyle w:val="APA"/>
        <w:spacing w:line="240" w:lineRule="auto"/>
        <w:rPr>
          <w:lang w:val="en-US" w:eastAsia="es-ES"/>
        </w:rPr>
      </w:pPr>
    </w:p>
    <w:p w:rsidR="003132B9" w:rsidRPr="00A2397B" w:rsidRDefault="003132B9" w:rsidP="009B12A8">
      <w:pPr>
        <w:pStyle w:val="APA"/>
        <w:spacing w:after="0" w:line="240" w:lineRule="auto"/>
        <w:rPr>
          <w:lang w:eastAsia="es-ES"/>
        </w:rPr>
      </w:pPr>
      <w:r w:rsidRPr="00A2397B">
        <w:rPr>
          <w:lang w:eastAsia="es-ES"/>
        </w:rPr>
        <w:t xml:space="preserve">Eva Garrosa </w:t>
      </w:r>
    </w:p>
    <w:p w:rsidR="003132B9" w:rsidRDefault="009B12A8" w:rsidP="009B12A8">
      <w:pPr>
        <w:pStyle w:val="APA"/>
        <w:spacing w:after="0" w:line="240" w:lineRule="auto"/>
        <w:rPr>
          <w:lang w:eastAsia="es-ES"/>
        </w:rPr>
      </w:pPr>
      <w:r>
        <w:rPr>
          <w:lang w:eastAsia="es-ES"/>
        </w:rPr>
        <w:t>Calle Ivan Pavlov, 6</w:t>
      </w:r>
    </w:p>
    <w:p w:rsidR="009B12A8" w:rsidRDefault="009B12A8" w:rsidP="009B12A8">
      <w:pPr>
        <w:pStyle w:val="APA"/>
        <w:spacing w:after="0" w:line="240" w:lineRule="auto"/>
        <w:rPr>
          <w:lang w:eastAsia="es-ES"/>
        </w:rPr>
      </w:pPr>
      <w:r>
        <w:rPr>
          <w:lang w:eastAsia="es-ES"/>
        </w:rPr>
        <w:t>28049 – Madrid</w:t>
      </w:r>
    </w:p>
    <w:p w:rsidR="009B12A8" w:rsidRDefault="00EF6505" w:rsidP="009B12A8">
      <w:pPr>
        <w:pStyle w:val="APA"/>
        <w:spacing w:after="0" w:line="240" w:lineRule="auto"/>
        <w:rPr>
          <w:lang w:eastAsia="es-ES"/>
        </w:rPr>
      </w:pPr>
      <w:hyperlink r:id="rId7" w:history="1">
        <w:r w:rsidR="009B12A8" w:rsidRPr="00B57229">
          <w:rPr>
            <w:rStyle w:val="Hipervnculo"/>
            <w:lang w:eastAsia="es-ES"/>
          </w:rPr>
          <w:t>eva.garrosa@uam.es</w:t>
        </w:r>
      </w:hyperlink>
    </w:p>
    <w:p w:rsidR="009B12A8" w:rsidRDefault="009B12A8" w:rsidP="009B12A8">
      <w:pPr>
        <w:pStyle w:val="APA"/>
        <w:spacing w:after="0" w:line="240" w:lineRule="auto"/>
        <w:rPr>
          <w:lang w:eastAsia="es-ES"/>
        </w:rPr>
      </w:pPr>
      <w:r>
        <w:rPr>
          <w:lang w:eastAsia="es-ES"/>
        </w:rPr>
        <w:t>914974548</w:t>
      </w:r>
    </w:p>
    <w:p w:rsidR="009B12A8" w:rsidRDefault="009B12A8" w:rsidP="009B12A8">
      <w:pPr>
        <w:pStyle w:val="APA"/>
        <w:spacing w:after="0" w:line="240" w:lineRule="auto"/>
        <w:rPr>
          <w:lang w:eastAsia="es-ES"/>
        </w:rPr>
      </w:pPr>
    </w:p>
    <w:p w:rsidR="009B12A8" w:rsidRDefault="006E503B" w:rsidP="009B12A8">
      <w:pPr>
        <w:pStyle w:val="APA"/>
        <w:spacing w:after="0" w:line="240" w:lineRule="auto"/>
        <w:rPr>
          <w:lang w:eastAsia="es-ES"/>
        </w:rPr>
      </w:pPr>
      <w:r>
        <w:rPr>
          <w:lang w:eastAsia="es-ES"/>
        </w:rPr>
        <w:t>Isabel Carmona-</w:t>
      </w:r>
      <w:r w:rsidR="009B12A8">
        <w:rPr>
          <w:lang w:eastAsia="es-ES"/>
        </w:rPr>
        <w:t>Cobo</w:t>
      </w:r>
    </w:p>
    <w:p w:rsidR="009B12A8" w:rsidRDefault="009B12A8" w:rsidP="009B12A8">
      <w:pPr>
        <w:pStyle w:val="APA"/>
        <w:spacing w:after="0" w:line="240" w:lineRule="auto"/>
        <w:rPr>
          <w:lang w:eastAsia="es-ES"/>
        </w:rPr>
      </w:pPr>
      <w:r>
        <w:rPr>
          <w:lang w:eastAsia="es-ES"/>
        </w:rPr>
        <w:t>Calle Ivan Pavlov, 6</w:t>
      </w:r>
    </w:p>
    <w:p w:rsidR="009B12A8" w:rsidRDefault="009B12A8" w:rsidP="009B12A8">
      <w:pPr>
        <w:pStyle w:val="APA"/>
        <w:spacing w:after="0" w:line="240" w:lineRule="auto"/>
        <w:rPr>
          <w:lang w:eastAsia="es-ES"/>
        </w:rPr>
      </w:pPr>
      <w:r>
        <w:rPr>
          <w:lang w:eastAsia="es-ES"/>
        </w:rPr>
        <w:t>28049 – Madrid</w:t>
      </w:r>
    </w:p>
    <w:p w:rsidR="009B12A8" w:rsidRDefault="00EF6505" w:rsidP="009B12A8">
      <w:pPr>
        <w:pStyle w:val="APA"/>
        <w:spacing w:after="0" w:line="240" w:lineRule="auto"/>
        <w:rPr>
          <w:lang w:eastAsia="es-ES"/>
        </w:rPr>
      </w:pPr>
      <w:hyperlink r:id="rId8" w:history="1">
        <w:r w:rsidR="009B12A8" w:rsidRPr="00B57229">
          <w:rPr>
            <w:rStyle w:val="Hipervnculo"/>
            <w:lang w:eastAsia="es-ES"/>
          </w:rPr>
          <w:t>isabel.carmona@uam.es</w:t>
        </w:r>
      </w:hyperlink>
    </w:p>
    <w:p w:rsidR="009B12A8" w:rsidRDefault="009B12A8" w:rsidP="009B12A8">
      <w:pPr>
        <w:pStyle w:val="APA"/>
        <w:spacing w:after="0" w:line="240" w:lineRule="auto"/>
        <w:rPr>
          <w:lang w:eastAsia="es-ES"/>
        </w:rPr>
      </w:pPr>
      <w:r>
        <w:rPr>
          <w:lang w:eastAsia="es-ES"/>
        </w:rPr>
        <w:t>914978750</w:t>
      </w:r>
    </w:p>
    <w:p w:rsidR="009B12A8" w:rsidRDefault="009B12A8" w:rsidP="009B12A8">
      <w:pPr>
        <w:pStyle w:val="APA"/>
        <w:spacing w:after="0" w:line="240" w:lineRule="auto"/>
        <w:rPr>
          <w:lang w:eastAsia="es-ES"/>
        </w:rPr>
      </w:pPr>
    </w:p>
    <w:p w:rsidR="009B12A8" w:rsidRDefault="009B12A8" w:rsidP="009B12A8">
      <w:pPr>
        <w:pStyle w:val="APA"/>
        <w:spacing w:after="0" w:line="240" w:lineRule="auto"/>
        <w:rPr>
          <w:lang w:eastAsia="es-ES"/>
        </w:rPr>
      </w:pPr>
      <w:r>
        <w:rPr>
          <w:lang w:eastAsia="es-ES"/>
        </w:rPr>
        <w:t>Bernardo Moreno-Jiménez</w:t>
      </w:r>
    </w:p>
    <w:p w:rsidR="009B12A8" w:rsidRDefault="009B12A8" w:rsidP="009B12A8">
      <w:pPr>
        <w:pStyle w:val="APA"/>
        <w:spacing w:after="0" w:line="240" w:lineRule="auto"/>
        <w:rPr>
          <w:lang w:eastAsia="es-ES"/>
        </w:rPr>
      </w:pPr>
      <w:r>
        <w:rPr>
          <w:lang w:eastAsia="es-ES"/>
        </w:rPr>
        <w:t>Calle Ivan Pavlov, 6</w:t>
      </w:r>
    </w:p>
    <w:p w:rsidR="009B12A8" w:rsidRDefault="009B12A8" w:rsidP="009B12A8">
      <w:pPr>
        <w:pStyle w:val="APA"/>
        <w:spacing w:after="0" w:line="240" w:lineRule="auto"/>
        <w:rPr>
          <w:lang w:eastAsia="es-ES"/>
        </w:rPr>
      </w:pPr>
      <w:r>
        <w:rPr>
          <w:lang w:eastAsia="es-ES"/>
        </w:rPr>
        <w:t>28049 – Madrid</w:t>
      </w:r>
    </w:p>
    <w:p w:rsidR="009B12A8" w:rsidRDefault="00EF6505" w:rsidP="009B12A8">
      <w:pPr>
        <w:pStyle w:val="APA"/>
        <w:spacing w:after="0" w:line="240" w:lineRule="auto"/>
        <w:rPr>
          <w:lang w:eastAsia="es-ES"/>
        </w:rPr>
      </w:pPr>
      <w:hyperlink r:id="rId9" w:history="1">
        <w:r w:rsidR="009B12A8" w:rsidRPr="00B57229">
          <w:rPr>
            <w:rStyle w:val="Hipervnculo"/>
            <w:lang w:eastAsia="es-ES"/>
          </w:rPr>
          <w:t>bernardo.moreno@uam.es</w:t>
        </w:r>
      </w:hyperlink>
    </w:p>
    <w:p w:rsidR="009B12A8" w:rsidRDefault="009B12A8" w:rsidP="009B12A8">
      <w:pPr>
        <w:pStyle w:val="APA"/>
        <w:spacing w:after="0" w:line="240" w:lineRule="auto"/>
        <w:rPr>
          <w:lang w:eastAsia="es-ES"/>
        </w:rPr>
      </w:pPr>
      <w:r>
        <w:rPr>
          <w:lang w:eastAsia="es-ES"/>
        </w:rPr>
        <w:t>914975185</w:t>
      </w:r>
    </w:p>
    <w:p w:rsidR="009B12A8" w:rsidRDefault="009B12A8" w:rsidP="009B12A8">
      <w:pPr>
        <w:pStyle w:val="APA"/>
        <w:spacing w:after="0" w:line="240" w:lineRule="auto"/>
        <w:rPr>
          <w:lang w:eastAsia="es-ES"/>
        </w:rPr>
      </w:pPr>
    </w:p>
    <w:p w:rsidR="009B12A8" w:rsidRPr="00A2397B" w:rsidRDefault="009B12A8" w:rsidP="009B12A8">
      <w:pPr>
        <w:pStyle w:val="APA"/>
        <w:spacing w:after="0" w:line="240" w:lineRule="auto"/>
        <w:rPr>
          <w:lang w:val="en-US" w:eastAsia="es-ES"/>
        </w:rPr>
      </w:pPr>
      <w:r w:rsidRPr="00A2397B">
        <w:rPr>
          <w:lang w:val="en-US" w:eastAsia="es-ES"/>
        </w:rPr>
        <w:t>Ana Sanz-Vergel</w:t>
      </w:r>
    </w:p>
    <w:p w:rsidR="009B12A8" w:rsidRPr="00A2397B" w:rsidRDefault="009B12A8" w:rsidP="009B12A8">
      <w:pPr>
        <w:pStyle w:val="APA"/>
        <w:spacing w:after="0" w:line="240" w:lineRule="auto"/>
        <w:rPr>
          <w:lang w:val="en-US" w:eastAsia="es-ES"/>
        </w:rPr>
      </w:pPr>
      <w:r w:rsidRPr="00A2397B">
        <w:rPr>
          <w:lang w:val="en-US" w:eastAsia="es-ES"/>
        </w:rPr>
        <w:t>Thomas Paine Study Centre 1.32</w:t>
      </w:r>
    </w:p>
    <w:p w:rsidR="009B12A8" w:rsidRPr="009B12A8" w:rsidRDefault="009B12A8" w:rsidP="009B12A8">
      <w:pPr>
        <w:pStyle w:val="APA"/>
        <w:spacing w:after="0" w:line="240" w:lineRule="auto"/>
        <w:rPr>
          <w:lang w:val="en-US" w:eastAsia="es-ES"/>
        </w:rPr>
      </w:pPr>
      <w:r w:rsidRPr="009B12A8">
        <w:rPr>
          <w:lang w:val="en-US" w:eastAsia="es-ES"/>
        </w:rPr>
        <w:t>Norwich Research Park,</w:t>
      </w:r>
    </w:p>
    <w:p w:rsidR="009B12A8" w:rsidRDefault="009B12A8" w:rsidP="009B12A8">
      <w:pPr>
        <w:pStyle w:val="APA"/>
        <w:spacing w:after="0" w:line="240" w:lineRule="auto"/>
        <w:rPr>
          <w:lang w:val="en-US" w:eastAsia="es-ES"/>
        </w:rPr>
      </w:pPr>
      <w:r w:rsidRPr="009B12A8">
        <w:rPr>
          <w:lang w:val="en-US" w:eastAsia="es-ES"/>
        </w:rPr>
        <w:t>Norwich, NR4 7TJ, UK.</w:t>
      </w:r>
    </w:p>
    <w:p w:rsidR="009B12A8" w:rsidRDefault="009B12A8" w:rsidP="009B12A8">
      <w:pPr>
        <w:pStyle w:val="APA"/>
        <w:spacing w:after="0" w:line="240" w:lineRule="auto"/>
        <w:rPr>
          <w:lang w:val="en-US" w:eastAsia="es-ES"/>
        </w:rPr>
      </w:pPr>
      <w:r w:rsidRPr="009B12A8">
        <w:rPr>
          <w:lang w:val="en-US" w:eastAsia="es-ES"/>
        </w:rPr>
        <w:t xml:space="preserve">A.Sanz-Vergel@uea.ac.uk </w:t>
      </w:r>
    </w:p>
    <w:p w:rsidR="009B12A8" w:rsidRPr="006E503B" w:rsidRDefault="009B12A8" w:rsidP="009B12A8">
      <w:pPr>
        <w:pStyle w:val="APA"/>
        <w:spacing w:after="0" w:line="240" w:lineRule="auto"/>
        <w:rPr>
          <w:lang w:eastAsia="es-ES"/>
        </w:rPr>
      </w:pPr>
      <w:r w:rsidRPr="006E503B">
        <w:rPr>
          <w:lang w:eastAsia="es-ES"/>
        </w:rPr>
        <w:t>+44 01603 59 7391</w:t>
      </w:r>
    </w:p>
    <w:p w:rsidR="009B12A8" w:rsidRPr="006E503B" w:rsidRDefault="009B12A8" w:rsidP="009B12A8">
      <w:pPr>
        <w:pStyle w:val="APA"/>
        <w:spacing w:after="0" w:line="240" w:lineRule="auto"/>
        <w:rPr>
          <w:lang w:eastAsia="es-ES"/>
        </w:rPr>
      </w:pPr>
    </w:p>
    <w:p w:rsidR="009B12A8" w:rsidRPr="006E503B" w:rsidRDefault="009B12A8" w:rsidP="009B12A8">
      <w:pPr>
        <w:pStyle w:val="APA"/>
        <w:spacing w:after="0" w:line="240" w:lineRule="auto"/>
        <w:rPr>
          <w:lang w:eastAsia="es-ES"/>
        </w:rPr>
      </w:pPr>
    </w:p>
    <w:p w:rsidR="009B12A8" w:rsidRPr="006E503B" w:rsidRDefault="009B12A8" w:rsidP="009B12A8">
      <w:pPr>
        <w:pStyle w:val="APA"/>
        <w:spacing w:after="0" w:line="240" w:lineRule="auto"/>
        <w:rPr>
          <w:lang w:eastAsia="es-ES"/>
        </w:rPr>
      </w:pPr>
    </w:p>
    <w:p w:rsidR="009B12A8" w:rsidRPr="006E503B" w:rsidRDefault="009B12A8" w:rsidP="003132B9">
      <w:pPr>
        <w:pStyle w:val="APA"/>
        <w:spacing w:line="240" w:lineRule="auto"/>
        <w:rPr>
          <w:lang w:eastAsia="es-ES"/>
        </w:rPr>
      </w:pPr>
    </w:p>
    <w:p w:rsidR="003132B9" w:rsidRPr="006E503B" w:rsidRDefault="003132B9" w:rsidP="003132B9">
      <w:pPr>
        <w:pStyle w:val="APA"/>
        <w:rPr>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3132B9" w:rsidRPr="006E503B" w:rsidRDefault="003132B9"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b/>
          <w:sz w:val="24"/>
          <w:szCs w:val="24"/>
          <w:lang w:eastAsia="es-ES"/>
        </w:rPr>
        <w:lastRenderedPageBreak/>
        <w:t>El impacto emocional del incivismo laboral y el abuso verbal en el trabajo: El papel protector de la recuperación diaria </w:t>
      </w:r>
      <w:r w:rsidRPr="00594AD0">
        <w:rPr>
          <w:rFonts w:ascii="Times New Roman" w:eastAsia="Times New Roman" w:hAnsi="Times New Roman" w:cs="Times New Roman"/>
          <w:b/>
          <w:sz w:val="24"/>
          <w:szCs w:val="24"/>
          <w:lang w:eastAsia="es-ES"/>
        </w:rPr>
        <w:br/>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El objetivo fue estudiar el impacto diario del incivismo laboral y el abuso verbal en el bienestar emocional de los trabajadores, y explorar el papel de la recuperación. Se realizó un estudio de diario durante cinco días laborales consecutivos (525 días en total) con 105 trabajadores del sector servicios. Se evaluó en dos momentos temporales distintos, general y diario. La medida de diario consistió en la evaluación durante una semana laboral y en distintos momentos del día, mañana, tarde y noche. Los análisis multinivel mostraron resultados significativos del incivismo laboral y el abuso verbal como predictores del agotamiento emocional, y todos sobre el afecto negativo de la noche. No se encontraron relaciones entre estas variables y el afecto positivo de la noche. La recuperación durante la tarde fue clave en el estado afectivo de la noche. La relajación tuvo un efecto directo sobre el afecto negativo y las actividades enriquecedoras sobre el afecto positivo, además se encontraron efectos de moderación de la desconexión psicológica y la relajación. El diseño del estudio puede proporcionar importantes avances en medidas preventivas de la agresión en el ámbito laboral. </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Palabras clave: Incivismo laboral; Abuso verbal; Agotamiento Emocional; Afecto; Recuperación; Estudio de diario</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val="en-US" w:eastAsia="es-ES"/>
        </w:rPr>
      </w:pPr>
      <w:r w:rsidRPr="00594AD0">
        <w:rPr>
          <w:rFonts w:ascii="Times New Roman" w:eastAsia="Times New Roman" w:hAnsi="Times New Roman" w:cs="Times New Roman"/>
          <w:b/>
          <w:sz w:val="24"/>
          <w:szCs w:val="24"/>
          <w:lang w:val="en-US" w:eastAsia="es-ES"/>
        </w:rPr>
        <w:t>Emotional impact of workplace incivility and verbal abuse at work: Daily recovery protective role</w:t>
      </w: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The aim was to study daily fluctuations from workplace incivility and verbal abuse in the emotional well-being of employees and examine the daily role of recovery. It was conducted a diary study over five consecutive working days (total of 525 days) with 105 employees. It was evaluated on two different times, general and diary moments. Diary measure was completed in a work week, three times per day, morning, afternoon and night. Multilevel modeling showed significant results for workplace incivility and verbal abuse as predictors of emotional exhaustion, as well as an impact of all these variables on negative affect at night. However, non-significant relationships were found for positive affect at night. Recovery from daily work was a key factor predicting affect at night. Relaxation showed main effects on negative affect at night and mastery on positive affect at night. Both psychological detachment and relaxation showed a moderating role. The present diary study of occupational health psychology helps us achieve greater knowledge in this area and contribute on the prevention of aggression in the organizational context.</w:t>
      </w: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Keywords: Workplace incivility; Verbal Abuse; Emotional Exhaustion; Affect; Recovery; </w:t>
      </w:r>
      <w:r w:rsidR="00647EF7">
        <w:rPr>
          <w:rFonts w:ascii="Times New Roman" w:eastAsia="Times New Roman" w:hAnsi="Times New Roman" w:cs="Times New Roman"/>
          <w:sz w:val="24"/>
          <w:szCs w:val="24"/>
          <w:lang w:val="en-US" w:eastAsia="es-ES"/>
        </w:rPr>
        <w:t>D</w:t>
      </w:r>
      <w:r w:rsidRPr="00594AD0">
        <w:rPr>
          <w:rFonts w:ascii="Times New Roman" w:eastAsia="Times New Roman" w:hAnsi="Times New Roman" w:cs="Times New Roman"/>
          <w:sz w:val="24"/>
          <w:szCs w:val="24"/>
          <w:lang w:val="en-US" w:eastAsia="es-ES"/>
        </w:rPr>
        <w:t>iary study</w:t>
      </w: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p>
    <w:p w:rsidR="00594AD0" w:rsidRPr="00594AD0" w:rsidRDefault="00594AD0" w:rsidP="00594AD0">
      <w:pPr>
        <w:spacing w:after="0" w:line="240" w:lineRule="auto"/>
        <w:rPr>
          <w:rFonts w:ascii="Times New Roman" w:eastAsia="Times New Roman" w:hAnsi="Times New Roman" w:cs="Times New Roman"/>
          <w:sz w:val="24"/>
          <w:szCs w:val="24"/>
          <w:lang w:val="en-US"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b/>
          <w:sz w:val="24"/>
          <w:szCs w:val="24"/>
          <w:lang w:eastAsia="es-ES"/>
        </w:rPr>
        <w:lastRenderedPageBreak/>
        <w:t>Introducción</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Los estudios sobre estresores laborales sitúan la agresión como uno de los factores más estresantes y frecuentes en el trabajo. Durante los últimos quince años los investigadores han generado un gran interés sobre la agresión laboral, dando lugar a una gran variedad de constructos (Hershcovis y Barling, 2010). Sin embargo, no muchos estudios analizan las consecuencias de la agresión laboral de manera diaria, ni sus repercusiones en el estado afectivo cotidiano del trabajador. </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El incivismo laboral es una forma leve de agresión que tiene consecuencias negativas para los trabajadores y la organización. Se caracteriza por ser “una conducta antisocial de baja intensidad (ruda y descortés) con una intencionalidad ambigua de dañar a la víctima y que viola las normas laborales de respeto mutuo” (Andersson y Pearson, 1999, p. 457). A pesar de su baja intensidad, se ha comprobado que las víctimas de incivismo laboral sufren mayor estrés laboral y distracción cognitiva, y menor satisfacción laboral y creatividad, incluso pueden abandonar la organización (Lim, Cortina, y Magley, 2008). Además, recientes investigaciones informan de que esta forma de agresión sutil en el trabajo representa una forma “moderna” de discriminación laboral por sexo y raza (Cortina, Kabat-Farr, Leskinen, Huerta y Magley, 2013). La Teoría del Incivismo Selectivo se basa en la idea de que el incivismo no siempre se produce de forma general, sino que constituye una expresión encubierta de discriminación generando una disfunción en muchos contextos de trabajo (Kabat-Farr y Cortina, 2012).</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Otra forma de agresión muy frecuente en las organizaciones es el abuso verbal (Grandey, Dickter y Sin, 2004), especialmente en trabajos que demandan interacción, situación habitual del sector servicios. Las manifestaciones de abuso verbal pueden adoptar distintas formas a través de un rango variado de conductas agresivas (insultos, gritos, amenazas, silencios incómodos, etc.). Discernir en qué contextos se presentan estas conductas resulta relevante para alcanzar un mayor conocimiento del problema y tomar posibles medidas de prevención. Para ello, es importante prestar atención al origen de la agresión y al tipo de trabajo. Aquellas personas que trabajan en ocupaciones que requieren de una constante interacción con el otro, como sucede en el sector servicios, están expuestos a más situaciones de abuso verbal, especialmente cuando el abuso proviene de los clientes a los que se les presta el servicio (Grandey, Kern y Frone, 2007). </w:t>
      </w: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Los datos evidencian que el agotamiento emocional es una de las consecuencias de diferentes formas de agresión laboral (Ben-Zur y Yagil, 2005) con graves consecuencias para la salud de los trabajadores. Esta investigación estudia los efectos que pueden tener estas formas de agresión en el bienestar emocional diario de los trabajadores y se plantea la siguiente hipótesis:</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Hipótesis 1. El nivel diario de incivismo laboral y abuso verbal estará positivamente relacionado con el agotamiento emocional que sienten las personas cuando salen de trabajar.</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Las respuestas generadas por la agresión laboral pueden producir estados emocionales en los trabajadores, como miedo o enfado (Schat y Kelloway, 2000). Las secuelas del estado de ánimo negativo incluyen los síntomas psicológicos y somáticos; </w:t>
      </w:r>
      <w:r w:rsidRPr="00594AD0">
        <w:rPr>
          <w:rFonts w:ascii="Times New Roman" w:eastAsia="Times New Roman" w:hAnsi="Times New Roman" w:cs="Times New Roman"/>
          <w:sz w:val="24"/>
          <w:szCs w:val="24"/>
          <w:lang w:eastAsia="es-ES"/>
        </w:rPr>
        <w:lastRenderedPageBreak/>
        <w:t>el decremento en las actitudes positivas hacia el trabajo; un aumento en las conductas de abandono; y producen una reacción intensa en el afecto negativo. Sin embargo, esto no sucede con el afecto positivo, al ser estados de ánimo independientes (Watson, Clark y Tellegen, 1988). De igual modo, la investigación ha mostrado evidencias en la relación entre las interacciones interpersonales negativas en el trabajo y las consecuencias en el estado afectivo de los trabajadores (Dimotakis, Scott y Koopman, 2011; Xanthopoulou, Bakker, Demerouti y Schaufeli, 2009). Partiendo del impacto que parece tener la agresión laboral y el agotamiento emocional sobre el estado afectivo de los trabajadores, se propone la segunda hipótesis:</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Hipótesis 2. El nivel diario de incivismo laboral, abuso verbal y agotamiento emocional al salir del trabajo estará positivamente relacionado con  el afecto negativo (a) de la noche, y no tendrá relación con el afecto positivo (b) de la noche.</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Se ha comprobado que la realización de actividades de desconexión psicológica, relajación, actividades enriquecedoras y control del tiempo libre ayudan a las personas a recuperarse del estrés laboral diario y mejoran su bienestar (Sonnentag, Kuttler y Fritz, 2010). Sin embargo, muchos trabajadores son incapaces de apartarse psicológicamente del trabajo cuando termina su jornada laboral. Esta incapacidad de desconexión es un mecanismo clave que contribuye a explicar la fatiga y el malestar (Sonnentag, 2011). Los procesos relacionados con la recuperación del estrés laboral son relevantes para la salud de las personas, su bienestar y su rendimiento laboral. Mas que una actividad específica que por sí misma ayude a recuperarse del estrés laboral, serían los procesos subyacentes comunes a estas actividades los que estarían interviniendo en la recuperación del trabajador (Sonnentag y Fritz, 2007). En esta línea, se plantea la siguiente hipótesis:</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Hipótesis 3. El nivel diario de desconexión psicológica (a), relajación (b), actividades enriquecedoras (c) y control del tiempo libre (d) después del trabajo estará positivamente relacionado con el afecto positivo de la noche, y negativamente relacionado con el afecto negativo de la noche. </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Del mismo modo, recientes investigaciones han estudiado el papel que adoptan los procesos de recuperación sobre el bienestar diario (Sanz-Vergel, Demerouti, Moreno-Jiménez y Mayo, 2010). Sonnentag (2011) ha planteado el Modelo de Estrés-Desconexión Psicológica que propone la recuperación como un moderador que amortigua la relación estrés-desconexión. Esto lleva a plantear la cuarta hipótesis:</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Hipótesis 4. La desconexión psicológica (a), la relajación (b), las actividades enriquecedoras (c) y el control del tiempo libre (d) tendrán un papel moderador en el efecto del incivismo laboral, abuso verbal y agotamiento emocional sobre el afecto positivo y el afecto negativo de la noche.</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En  resumen, la investigación tiene como objetivo observar el impacto diario del incivismo laboral y el abuso verbal en el bienestar emocional diario de los trabajadores, así como explorar el papel diario de las experiencias de recuperación realizadas durante el tiempo libre de la tarde.</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b/>
          <w:sz w:val="24"/>
          <w:szCs w:val="24"/>
          <w:lang w:eastAsia="es-ES"/>
        </w:rPr>
        <w:t>Método</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sz w:val="24"/>
          <w:szCs w:val="24"/>
          <w:lang w:eastAsia="es-ES"/>
        </w:rPr>
        <w:tab/>
      </w:r>
      <w:r w:rsidRPr="00594AD0">
        <w:rPr>
          <w:rFonts w:ascii="Times New Roman" w:eastAsia="Times New Roman" w:hAnsi="Times New Roman" w:cs="Times New Roman"/>
          <w:b/>
          <w:sz w:val="24"/>
          <w:szCs w:val="24"/>
          <w:lang w:eastAsia="es-ES"/>
        </w:rPr>
        <w:t>Participantes</w:t>
      </w: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Se contactó con diversas entidades del sector servicios y se informó a los trabajadores la posibilidad de participar en el estudio. Los trabajadores que aceptaron participar en el estudio recibieron un sobre que incluía el protocolo de evaluación, y una carta de presentación con las instrucciones y el consentimiento informado. </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Acorde con los dos momentos temporales de evaluación –general y diario-, el protocolo estaba formado por el cuestionario general y el cuestionario de diario. Los participantes respondieron el cuestionario general en un solo momento, antes de realizar el de diario. El cuestionario de diario se realizó durante una semana laboral (de lunes a viernes) y en tres momentos del día: por la mañana, antes de ir a trabajar; por la tarde, al salir del trabajo; y por la noche, antes de dormir. Los investigadores dieron instrucciones muy precisas a los participantes acerca del procedimiento de respuesta a fin de garantizar los momentos de evaluación, de suma relevancia en este estudio. Además, se contactó con los participantes vía telefónica para comprobar que se seguía el procedimiento adecuado. Igualmente, se recomendó la utilización de la alarma móvil como recordatorio de los momentos de evaluación diarios.</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Se recogieron 106 protocolos (120 entregados) con consentimiento informado. De ellos, hubo que eliminar un participante que no había cumplimentado de forma correcta el protocolo. La muestra total es de 105 trabajadores del sector servicios (comercio, hostelería, tecnologías de la información, servicios a empresas y juego) de la Comunidad de Madrid, con evaluaciones diarias durante cinco días laborales consecutivos, con un total de 525 días evaluados (Nägel y </w:t>
      </w:r>
      <w:r w:rsidRPr="00594AD0">
        <w:rPr>
          <w:rFonts w:ascii="TimesNRMT" w:hAnsi="TimesNRMT" w:cs="TimesNRMT"/>
          <w:sz w:val="24"/>
          <w:szCs w:val="24"/>
        </w:rPr>
        <w:t>Sonnentag, 2013)</w:t>
      </w:r>
      <w:r w:rsidRPr="00594AD0">
        <w:rPr>
          <w:rFonts w:ascii="Times New Roman" w:eastAsia="Times New Roman" w:hAnsi="Times New Roman" w:cs="Times New Roman"/>
          <w:sz w:val="24"/>
          <w:szCs w:val="24"/>
          <w:lang w:eastAsia="es-ES"/>
        </w:rPr>
        <w:t>. Teniendo en cuenta la dificultad que conlleva para los participantes este tipo de diseño, la tasa de respuesta fue elevada (87,5%). El 60%  son mujeres y el 40% hombres, con una edad media de 35,01 años con estudios superiores. El 58,4% tienen contrato indefinido, trabajan la mayoría en turno de mañana y tarde, desempeñando 35-40 horas semanales.</w:t>
      </w: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sz w:val="24"/>
          <w:szCs w:val="24"/>
          <w:lang w:eastAsia="es-ES"/>
        </w:rPr>
        <w:tab/>
      </w:r>
      <w:r w:rsidRPr="00594AD0">
        <w:rPr>
          <w:rFonts w:ascii="Times New Roman" w:eastAsia="Times New Roman" w:hAnsi="Times New Roman" w:cs="Times New Roman"/>
          <w:b/>
          <w:sz w:val="24"/>
          <w:szCs w:val="24"/>
          <w:lang w:eastAsia="es-ES"/>
        </w:rPr>
        <w:t>Instrumentos</w:t>
      </w: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Todas las variables del estudio se evaluaron de forma general y diaria, utilizándose los mismos instrumentos de evaluación para ambas medidas. Sin embargo, los participantes recibieron instrucciones diferentes para cada evaluación. Las instrucciones hacían referencia al momento concreto en el que se registraba la respuesta. Además de las variables del estudio, en el cuestionario general los participantes respondieron a variables sociodemográficas y características laborales. El género, el estrés de rol (Garrosa, Rainho, Moreno-Jimenez y Monteiro, 2010), el nivel general de la variable a estudiar y el afecto de la mañana fueron tomadas como variables control. Todos los instrumentos de evaluación mostraron adecuados índices de fiabilidad (Abad, Olea, Ponsoda y García, 2011) tanto para la medida general como para la medida de diario (Tabla 1).</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Escala de Afecto Positivo y Negativo. Los estados de ánimo positivo y negativo se evaluaron con la versión corta (Thompson, 2007) del </w:t>
      </w:r>
      <w:r w:rsidRPr="00594AD0">
        <w:rPr>
          <w:rFonts w:ascii="Times New Roman" w:eastAsia="Times New Roman" w:hAnsi="Times New Roman" w:cs="Times New Roman"/>
          <w:i/>
          <w:sz w:val="24"/>
          <w:szCs w:val="24"/>
          <w:lang w:eastAsia="es-ES"/>
        </w:rPr>
        <w:t>Positive And Negative Affect Schedule</w:t>
      </w:r>
      <w:r w:rsidRPr="00594AD0">
        <w:rPr>
          <w:rFonts w:ascii="Times New Roman" w:eastAsia="Times New Roman" w:hAnsi="Times New Roman" w:cs="Times New Roman"/>
          <w:sz w:val="24"/>
          <w:szCs w:val="24"/>
          <w:lang w:eastAsia="es-ES"/>
        </w:rPr>
        <w:t xml:space="preserve"> (PANAS; Watson y cols., 1988). La escala mide mediante diez adjetivos, cinco para afecto positivo y cinco para afecto negativo, el estado afectivo de los participantes. Esta escala está compuesta por dos factores independientes: el afecto </w:t>
      </w:r>
      <w:r w:rsidRPr="00594AD0">
        <w:rPr>
          <w:rFonts w:ascii="Times New Roman" w:eastAsia="Times New Roman" w:hAnsi="Times New Roman" w:cs="Times New Roman"/>
          <w:sz w:val="24"/>
          <w:szCs w:val="24"/>
          <w:lang w:eastAsia="es-ES"/>
        </w:rPr>
        <w:lastRenderedPageBreak/>
        <w:t>positivo y el afecto negativo.</w:t>
      </w:r>
      <w:r w:rsidRPr="00594AD0">
        <w:rPr>
          <w:rFonts w:ascii="Times New Roman" w:eastAsia="Times New Roman" w:hAnsi="Times New Roman" w:cs="Times New Roman"/>
          <w:lang w:eastAsia="es-ES"/>
        </w:rPr>
        <w:t xml:space="preserve"> </w:t>
      </w:r>
      <w:r w:rsidRPr="00594AD0">
        <w:rPr>
          <w:rFonts w:ascii="Times New Roman" w:eastAsia="Times New Roman" w:hAnsi="Times New Roman" w:cs="Times New Roman"/>
          <w:sz w:val="24"/>
          <w:szCs w:val="24"/>
          <w:lang w:eastAsia="es-ES"/>
        </w:rPr>
        <w:t>La bidimensionalidad del afecto medida con el PANAS (1988) es una estructura consistente, independientemente de la cultura y el tipo de país en el que se evalúe. Por ejemplo, se ha aplicado esta medida en diferentes tipos de muestras norteamericanas y en poblaciones de diferentes culturas como la japonesa (Watson y Clark, 1984), la rusa (Balatsky y Diener, 1993) y la israelí (Almagor y Ben-Porath, 1989), encontrando para todas buenos resultados. La escala de respuesta para los dos factores –positivo y negativo-, es de tipo Likert, oscilando entre 1 (“Nunca me he sentido así”) y 6 (“Me siento así a diario”). Los participantes tenían que indicar en qué grado se sentían con afecto positivo (p.e. “Dispuesto”, “Inspirado”, “Decidido”) y con afecto negativo (p.e. “Disgustado”, “Hostil”, “Avergonzado”) según el momento de evaluación. Cuando los trabajadores respondían a la escala en el cuestionario general, se les pedía que indicaran en qué medida se sentían generalmente de ese modo; mientras que cuando respondían al cuestionario de diario, las instrucciones eran: “</w:t>
      </w:r>
      <w:r w:rsidRPr="00594AD0">
        <w:rPr>
          <w:rFonts w:ascii="Times New Roman" w:eastAsia="Times New Roman" w:hAnsi="Times New Roman" w:cs="Times New Roman"/>
          <w:sz w:val="24"/>
          <w:szCs w:val="24"/>
          <w:lang w:val="nl-NL" w:eastAsia="es-ES"/>
        </w:rPr>
        <w:t xml:space="preserve">En este momento me siento...”, para señalar el día y el momento del día en el que estaban respondiendo. Los índices de fiabilidad fueron adecuados tanto para afecto positivo (α = .80) como para afecto negativo (α = </w:t>
      </w:r>
      <w:r w:rsidRPr="00594AD0">
        <w:rPr>
          <w:rFonts w:ascii="Times New Roman" w:eastAsia="Times New Roman" w:hAnsi="Times New Roman" w:cs="Times New Roman"/>
          <w:sz w:val="24"/>
          <w:szCs w:val="24"/>
          <w:lang w:eastAsia="es-ES"/>
        </w:rPr>
        <w:t xml:space="preserve">.76) en la medida general. En la medida de diario, todos los momentos de evaluación obtuvieron buenos índices, el afecto positivo </w:t>
      </w:r>
      <w:r w:rsidRPr="00594AD0">
        <w:rPr>
          <w:rFonts w:ascii="Times New Roman" w:eastAsia="Times New Roman" w:hAnsi="Times New Roman" w:cs="Times New Roman"/>
          <w:sz w:val="24"/>
          <w:szCs w:val="24"/>
          <w:lang w:val="nl-NL" w:eastAsia="es-ES"/>
        </w:rPr>
        <w:t xml:space="preserve">(α = </w:t>
      </w:r>
      <w:r w:rsidRPr="00594AD0">
        <w:rPr>
          <w:rFonts w:ascii="Times New Roman" w:eastAsia="Times New Roman" w:hAnsi="Times New Roman" w:cs="Times New Roman"/>
          <w:sz w:val="24"/>
          <w:szCs w:val="24"/>
          <w:lang w:eastAsia="es-ES"/>
        </w:rPr>
        <w:t xml:space="preserve">.89) de la mañana; el afecto negativo </w:t>
      </w:r>
      <w:r w:rsidRPr="00594AD0">
        <w:rPr>
          <w:rFonts w:ascii="Times New Roman" w:eastAsia="Times New Roman" w:hAnsi="Times New Roman" w:cs="Times New Roman"/>
          <w:sz w:val="24"/>
          <w:szCs w:val="24"/>
          <w:lang w:val="nl-NL" w:eastAsia="es-ES"/>
        </w:rPr>
        <w:t xml:space="preserve">(α = </w:t>
      </w:r>
      <w:r w:rsidRPr="00594AD0">
        <w:rPr>
          <w:rFonts w:ascii="Times New Roman" w:eastAsia="Times New Roman" w:hAnsi="Times New Roman" w:cs="Times New Roman"/>
          <w:sz w:val="24"/>
          <w:szCs w:val="24"/>
          <w:lang w:eastAsia="es-ES"/>
        </w:rPr>
        <w:t xml:space="preserve">.79) de la mañana; el afecto positivo </w:t>
      </w:r>
      <w:r w:rsidRPr="00594AD0">
        <w:rPr>
          <w:rFonts w:ascii="Times New Roman" w:eastAsia="Times New Roman" w:hAnsi="Times New Roman" w:cs="Times New Roman"/>
          <w:sz w:val="24"/>
          <w:szCs w:val="24"/>
          <w:lang w:val="nl-NL" w:eastAsia="es-ES"/>
        </w:rPr>
        <w:t xml:space="preserve">(α = </w:t>
      </w:r>
      <w:r w:rsidRPr="00594AD0">
        <w:rPr>
          <w:rFonts w:ascii="Times New Roman" w:eastAsia="Times New Roman" w:hAnsi="Times New Roman" w:cs="Times New Roman"/>
          <w:sz w:val="24"/>
          <w:szCs w:val="24"/>
          <w:lang w:eastAsia="es-ES"/>
        </w:rPr>
        <w:t xml:space="preserve">.79) de la noche; y el afecto negativo </w:t>
      </w:r>
      <w:r w:rsidRPr="00594AD0">
        <w:rPr>
          <w:rFonts w:ascii="Times New Roman" w:eastAsia="Times New Roman" w:hAnsi="Times New Roman" w:cs="Times New Roman"/>
          <w:sz w:val="24"/>
          <w:szCs w:val="24"/>
          <w:lang w:val="nl-NL" w:eastAsia="es-ES"/>
        </w:rPr>
        <w:t xml:space="preserve">(α = </w:t>
      </w:r>
      <w:r w:rsidRPr="00594AD0">
        <w:rPr>
          <w:rFonts w:ascii="Times New Roman" w:eastAsia="Times New Roman" w:hAnsi="Times New Roman" w:cs="Times New Roman"/>
          <w:sz w:val="24"/>
          <w:szCs w:val="24"/>
          <w:lang w:eastAsia="es-ES"/>
        </w:rPr>
        <w:t xml:space="preserve">.81) de la noche. </w:t>
      </w: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3132B9">
        <w:rPr>
          <w:rFonts w:ascii="Times New Roman" w:eastAsia="Times New Roman" w:hAnsi="Times New Roman" w:cs="Times New Roman"/>
          <w:sz w:val="24"/>
          <w:szCs w:val="24"/>
          <w:lang w:eastAsia="es-ES"/>
        </w:rPr>
        <w:t>Escala de Incivismo Laboral</w:t>
      </w:r>
      <w:r w:rsidRPr="003132B9">
        <w:rPr>
          <w:rFonts w:ascii="Times New Roman" w:eastAsia="Times New Roman" w:hAnsi="Times New Roman" w:cs="Times New Roman"/>
          <w:i/>
          <w:sz w:val="24"/>
          <w:szCs w:val="24"/>
          <w:lang w:eastAsia="es-ES"/>
        </w:rPr>
        <w:t xml:space="preserve"> </w:t>
      </w:r>
      <w:r w:rsidRPr="003132B9">
        <w:rPr>
          <w:rFonts w:ascii="Times New Roman" w:eastAsia="Times New Roman" w:hAnsi="Times New Roman" w:cs="Times New Roman"/>
          <w:sz w:val="24"/>
          <w:szCs w:val="24"/>
          <w:lang w:eastAsia="es-ES"/>
        </w:rPr>
        <w:t>(</w:t>
      </w:r>
      <w:r w:rsidRPr="003132B9">
        <w:rPr>
          <w:rFonts w:ascii="Times New Roman" w:eastAsia="Times New Roman" w:hAnsi="Times New Roman" w:cs="Times New Roman"/>
          <w:i/>
          <w:sz w:val="24"/>
          <w:szCs w:val="24"/>
          <w:lang w:eastAsia="es-ES"/>
        </w:rPr>
        <w:t>Workplace Incivility Scale</w:t>
      </w:r>
      <w:r w:rsidRPr="003132B9">
        <w:rPr>
          <w:rFonts w:ascii="Times New Roman" w:eastAsia="Times New Roman" w:hAnsi="Times New Roman" w:cs="Times New Roman"/>
          <w:sz w:val="24"/>
          <w:szCs w:val="24"/>
          <w:lang w:eastAsia="es-ES"/>
        </w:rPr>
        <w:t xml:space="preserve">) (WIS; Cortina, Magley, Williams y Langhout, 2001). </w:t>
      </w:r>
      <w:r w:rsidRPr="00594AD0">
        <w:rPr>
          <w:rFonts w:ascii="Times New Roman" w:eastAsia="Times New Roman" w:hAnsi="Times New Roman" w:cs="Times New Roman"/>
          <w:sz w:val="24"/>
          <w:szCs w:val="24"/>
          <w:lang w:eastAsia="es-ES"/>
        </w:rPr>
        <w:t>Esta escala evalúa los comportamientos de incivismo que tienen lugar en el contexto de trabajo. Los participantes tenían que informar, a través de una escala tipo Likert y un rango de respuesta de 1 (“No, no es cierto”) a 6 (“Si, es cierto”) el grado en el que se habían encontrado en diferentes situaciones como: “me han menospreciado y/o subestimado”,  “han hecho comentarios humillantes o degradantes sobre mi”, “he sido ignorado o excluido del resto de compañeros o grupo profesional”, por citar algunos ejemplos. El cuestionario general guiaba al participante para responder según las siguientes instrucciones: “Durante el tiempo que llevas trabajando en tu actual empresa, te has encontrado en situaciones en las que alguno de tus superiores o compañeros…”. Por el contrario, las instrucciones de la escala evaluada por la tarde después de salir del trabajo, en el cuestionario de diario, comenzaba: “</w:t>
      </w:r>
      <w:r w:rsidRPr="00594AD0">
        <w:rPr>
          <w:rFonts w:ascii="Times New Roman" w:eastAsia="Times New Roman" w:hAnsi="Times New Roman" w:cs="Times New Roman"/>
          <w:sz w:val="24"/>
          <w:szCs w:val="24"/>
          <w:lang w:val="es-ES_tradnl" w:eastAsia="es-ES"/>
        </w:rPr>
        <w:t>Hoy me he encontrado en situaciones en las que alguno de mis superiores o compañeros...”.</w:t>
      </w:r>
      <w:r w:rsidRPr="00594AD0">
        <w:rPr>
          <w:rFonts w:ascii="Times New Roman" w:eastAsia="Times New Roman" w:hAnsi="Times New Roman" w:cs="Times New Roman"/>
          <w:sz w:val="24"/>
          <w:szCs w:val="24"/>
          <w:lang w:eastAsia="es-ES"/>
        </w:rPr>
        <w:t xml:space="preserve"> En ambos cuestionarios, general y diario, se encontraron buenos índices de fiabilidad. Para la medida general se obtuvo un coeficiente alpha de Cronbach de .90; y para la medida de diario, un .78. Teniendo en cuenta los criterios de los expertos que recomiendan un punto crítico a partir de .70 (Abad y cols., 2011), a pesar de que el obtenido en el cuestionario de diario sea menor que el general, ambos indicadores muestran buenos coeficientes.</w:t>
      </w: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Escala de Conflicto Interpersonal en el Trabajo (</w:t>
      </w:r>
      <w:r w:rsidRPr="00594AD0">
        <w:rPr>
          <w:rFonts w:ascii="Times New Roman" w:eastAsia="Times New Roman" w:hAnsi="Times New Roman" w:cs="Times New Roman"/>
          <w:i/>
          <w:sz w:val="24"/>
          <w:szCs w:val="24"/>
          <w:lang w:eastAsia="es-ES"/>
        </w:rPr>
        <w:t>Interpersonal Conflict at Work Scale</w:t>
      </w:r>
      <w:r w:rsidRPr="00594AD0">
        <w:rPr>
          <w:rFonts w:ascii="Times New Roman" w:eastAsia="Times New Roman" w:hAnsi="Times New Roman" w:cs="Times New Roman"/>
          <w:sz w:val="24"/>
          <w:szCs w:val="24"/>
          <w:lang w:eastAsia="es-ES"/>
        </w:rPr>
        <w:t>) (ICWS; Spector y Jex, 1998). La escala registra las conductas de abuso verbal en el trabajo. Esta medida indica el grado en el que jefes, compañeros y clientes muestran comportamientos de abuso usando una escala tipo Likert (de 1 “</w:t>
      </w:r>
      <w:r w:rsidRPr="00594AD0">
        <w:rPr>
          <w:rFonts w:ascii="Times New Roman" w:eastAsia="Times New Roman" w:hAnsi="Times New Roman" w:cs="Times New Roman"/>
          <w:sz w:val="24"/>
          <w:szCs w:val="24"/>
          <w:lang w:val="es-ES_tradnl" w:eastAsia="es-ES"/>
        </w:rPr>
        <w:t>Nunca o menos de una vez al día” a 6 “Varias veces al día”)</w:t>
      </w:r>
      <w:r w:rsidRPr="00594AD0">
        <w:rPr>
          <w:rFonts w:ascii="Times New Roman" w:eastAsia="Times New Roman" w:hAnsi="Times New Roman" w:cs="Times New Roman"/>
          <w:sz w:val="24"/>
          <w:szCs w:val="24"/>
          <w:lang w:eastAsia="es-ES"/>
        </w:rPr>
        <w:t>. Se utilizaron tres ítems que evalúan la frecuencia con la que habían gritado, habían discutido y habían sido groseros con el trabajador. La escala medida en el cuestionario general se presentaba de la siguiente forma: “Indica la frecuencia con la que se dan las siguientes situaciones en tu trabajo, teniendo en cuenta la escala señalada… ¿Con qué frecuencia te han gritado?”. La del cuestionario de diario, a diferencia, se presentaba como sigue: “</w:t>
      </w:r>
      <w:r w:rsidRPr="00594AD0">
        <w:rPr>
          <w:rFonts w:ascii="Times New Roman" w:eastAsia="Times New Roman" w:hAnsi="Times New Roman" w:cs="Times New Roman"/>
          <w:sz w:val="24"/>
          <w:szCs w:val="24"/>
          <w:lang w:val="es-ES_tradnl" w:eastAsia="es-ES"/>
        </w:rPr>
        <w:t xml:space="preserve">¿Con qué frecuencia te han gritado hoy en el </w:t>
      </w:r>
      <w:r w:rsidRPr="00594AD0">
        <w:rPr>
          <w:rFonts w:ascii="Times New Roman" w:eastAsia="Times New Roman" w:hAnsi="Times New Roman" w:cs="Times New Roman"/>
          <w:sz w:val="24"/>
          <w:szCs w:val="24"/>
          <w:lang w:val="es-ES_tradnl" w:eastAsia="es-ES"/>
        </w:rPr>
        <w:lastRenderedPageBreak/>
        <w:t xml:space="preserve">trabajo?”. En ambos casos, los participantes respondían la frecuencia de estos comportamientos por parte de jefes, compañeros y clientes. </w:t>
      </w:r>
      <w:r w:rsidRPr="00594AD0">
        <w:rPr>
          <w:rFonts w:ascii="Times New Roman" w:eastAsia="Times New Roman" w:hAnsi="Times New Roman" w:cs="Times New Roman"/>
          <w:sz w:val="24"/>
          <w:szCs w:val="24"/>
          <w:lang w:eastAsia="es-ES"/>
        </w:rPr>
        <w:t xml:space="preserve">El coeficiente de fiabilidad para la escala general fue de .77, y para la escala de diario fue .71. </w:t>
      </w: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Escala de Agotamiento Emocional asociado al Trabajo (</w:t>
      </w:r>
      <w:r w:rsidRPr="00594AD0">
        <w:rPr>
          <w:rFonts w:ascii="Times New Roman" w:eastAsia="Times New Roman" w:hAnsi="Times New Roman" w:cs="Times New Roman"/>
          <w:i/>
          <w:sz w:val="24"/>
          <w:szCs w:val="24"/>
          <w:lang w:eastAsia="es-ES"/>
        </w:rPr>
        <w:t>Scale of Job-Related Exhaustion</w:t>
      </w:r>
      <w:r w:rsidRPr="00594AD0">
        <w:rPr>
          <w:rFonts w:ascii="Times New Roman" w:eastAsia="Times New Roman" w:hAnsi="Times New Roman" w:cs="Times New Roman"/>
          <w:sz w:val="24"/>
          <w:szCs w:val="24"/>
          <w:lang w:eastAsia="es-ES"/>
        </w:rPr>
        <w:t>) (SJRE; Wharton, 1993). La escala medida en el cuestionario general está compuesta por seis ítems que miden de 1 (“Nunca me he sentido así”) a 6 (“Me siento así a diario”) la frecuencia con la que los participantes experimentan generalmente diversas emociones derivadas del trabajo (p.e. “Me siento frustrado por mi trabajo”, “</w:t>
      </w:r>
      <w:r w:rsidRPr="00594AD0">
        <w:rPr>
          <w:rFonts w:ascii="Times New Roman" w:eastAsia="Times New Roman" w:hAnsi="Times New Roman" w:cs="Times New Roman"/>
          <w:sz w:val="24"/>
          <w:szCs w:val="24"/>
          <w:lang w:val="es-ES_tradnl" w:eastAsia="es-ES"/>
        </w:rPr>
        <w:t>Me siento exhausto al final de mi jornada laboral”</w:t>
      </w:r>
      <w:r w:rsidRPr="00594AD0">
        <w:rPr>
          <w:rFonts w:ascii="Times New Roman" w:eastAsia="Times New Roman" w:hAnsi="Times New Roman" w:cs="Times New Roman"/>
          <w:sz w:val="24"/>
          <w:szCs w:val="24"/>
          <w:lang w:eastAsia="es-ES"/>
        </w:rPr>
        <w:t xml:space="preserve">). Las instrucciones eran: “Señala con una X la frecuencia como te sientes actualmente en cada una de las siguientes situaciones…”. En esta medida, la escala mostró un alto índice de fiabilidad, siendo el alpha de Cronbach de .90. Respecto a la escala incluida en el cuestionario de diario, por la tarde al salir del trabajo, los participantes informaban cómo se sentían “Hoy” para cada uno de los seis ítems. La escala de respuesta oscila entre 1 (“No, no es cierto”) y 6 (“Si, es cierto”). El coeficiente de fiabilidad que se obtuvo en esta medida fue de .89. Se optó por el uso de esta escala debido a su especificidad en la evaluación de comportamientos derivados del trabajo, a diferencia de otras escalas que hacen referencia a la dimensión de agotamiento emocional como parte del síndrome de </w:t>
      </w:r>
      <w:r w:rsidRPr="00594AD0">
        <w:rPr>
          <w:rFonts w:ascii="Times New Roman" w:eastAsia="Times New Roman" w:hAnsi="Times New Roman" w:cs="Times New Roman"/>
          <w:i/>
          <w:sz w:val="24"/>
          <w:szCs w:val="24"/>
          <w:lang w:eastAsia="es-ES"/>
        </w:rPr>
        <w:t>burnout</w:t>
      </w:r>
      <w:r w:rsidRPr="00594AD0">
        <w:rPr>
          <w:rFonts w:ascii="Times New Roman" w:eastAsia="Times New Roman" w:hAnsi="Times New Roman" w:cs="Times New Roman"/>
          <w:sz w:val="24"/>
          <w:szCs w:val="24"/>
          <w:lang w:eastAsia="es-ES"/>
        </w:rPr>
        <w:t xml:space="preserve"> o desgaste profesional (Maslach y Jakson, 1986).</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Cuestionario de Experiencias de Recuperación (Sanz-Vergel y cols., 2010). Se usó la adaptación española del </w:t>
      </w:r>
      <w:r w:rsidRPr="00594AD0">
        <w:rPr>
          <w:rFonts w:ascii="Times New Roman" w:eastAsia="Times New Roman" w:hAnsi="Times New Roman" w:cs="Times New Roman"/>
          <w:i/>
          <w:sz w:val="24"/>
          <w:szCs w:val="24"/>
          <w:lang w:eastAsia="es-ES"/>
        </w:rPr>
        <w:t>Recovery Experiences Questionnaire</w:t>
      </w:r>
      <w:r w:rsidRPr="00594AD0">
        <w:rPr>
          <w:rFonts w:ascii="Times New Roman" w:eastAsia="Times New Roman" w:hAnsi="Times New Roman" w:cs="Times New Roman"/>
          <w:sz w:val="24"/>
          <w:szCs w:val="24"/>
          <w:lang w:eastAsia="es-ES"/>
        </w:rPr>
        <w:t xml:space="preserve"> (REQ; Sonnentag y Fritz, 2007) para evaluar la recuperación del estrés laboral. El instrumento evalúa los procesos psicológicos subyacentes que ayudan al trabajador a recuperarse de situaciones estresantes vinculadas con el trabajo. La escala total se compone de dieciséis ítems y se subdivide en cuatro experiencias de recuperación: desconexión psicológica (e.g., “</w:t>
      </w:r>
      <w:r w:rsidRPr="00594AD0">
        <w:rPr>
          <w:rFonts w:ascii="Times New Roman" w:eastAsia="Times New Roman" w:hAnsi="Times New Roman" w:cs="Calibri"/>
          <w:sz w:val="24"/>
          <w:szCs w:val="24"/>
          <w:lang w:eastAsia="es-ES"/>
        </w:rPr>
        <w:t>Cuando he salido de trabajar, me he olvidado completamente de mi trabajo”)</w:t>
      </w:r>
      <w:r w:rsidRPr="00594AD0">
        <w:rPr>
          <w:rFonts w:ascii="Times New Roman" w:eastAsia="Times New Roman" w:hAnsi="Times New Roman" w:cs="Times New Roman"/>
          <w:sz w:val="24"/>
          <w:szCs w:val="24"/>
          <w:lang w:eastAsia="es-ES"/>
        </w:rPr>
        <w:t xml:space="preserve">, relajación (e.g., </w:t>
      </w:r>
      <w:r w:rsidRPr="00594AD0">
        <w:rPr>
          <w:rFonts w:ascii="Times New Roman" w:eastAsia="Times New Roman" w:hAnsi="Times New Roman" w:cs="Calibri"/>
          <w:sz w:val="24"/>
          <w:szCs w:val="24"/>
          <w:lang w:eastAsia="es-ES"/>
        </w:rPr>
        <w:t>“He realizado actividades que me ayudan a sentirme relajado”)</w:t>
      </w:r>
      <w:r w:rsidRPr="00594AD0">
        <w:rPr>
          <w:rFonts w:ascii="Times New Roman" w:eastAsia="Times New Roman" w:hAnsi="Times New Roman" w:cs="Times New Roman"/>
          <w:sz w:val="24"/>
          <w:szCs w:val="24"/>
          <w:lang w:eastAsia="es-ES"/>
        </w:rPr>
        <w:t xml:space="preserve">, actividades enriquecedoras (e.g., </w:t>
      </w:r>
      <w:r w:rsidRPr="00594AD0">
        <w:rPr>
          <w:rFonts w:ascii="Times New Roman" w:eastAsia="Times New Roman" w:hAnsi="Times New Roman" w:cs="Calibri"/>
          <w:sz w:val="24"/>
          <w:szCs w:val="24"/>
          <w:lang w:eastAsia="es-ES"/>
        </w:rPr>
        <w:t xml:space="preserve">“Fuera del trabajo busco nuevos retos intelectuales”) </w:t>
      </w:r>
      <w:r w:rsidRPr="00594AD0">
        <w:rPr>
          <w:rFonts w:ascii="Times New Roman" w:eastAsia="Times New Roman" w:hAnsi="Times New Roman" w:cs="Times New Roman"/>
          <w:sz w:val="24"/>
          <w:szCs w:val="24"/>
          <w:lang w:eastAsia="es-ES"/>
        </w:rPr>
        <w:t xml:space="preserve">y control del tiempo libre (e.g., </w:t>
      </w:r>
      <w:r w:rsidRPr="00594AD0">
        <w:rPr>
          <w:rFonts w:ascii="Times New Roman" w:eastAsia="Times New Roman" w:hAnsi="Times New Roman" w:cs="Calibri"/>
          <w:sz w:val="24"/>
          <w:szCs w:val="24"/>
          <w:lang w:eastAsia="es-ES"/>
        </w:rPr>
        <w:t>“He decidido por mí mismo cómo pasar mi tiempo libre”)</w:t>
      </w:r>
      <w:r w:rsidRPr="00594AD0">
        <w:rPr>
          <w:rFonts w:ascii="Times New Roman" w:eastAsia="Times New Roman" w:hAnsi="Times New Roman" w:cs="Times New Roman"/>
          <w:sz w:val="24"/>
          <w:szCs w:val="24"/>
          <w:lang w:eastAsia="es-ES"/>
        </w:rPr>
        <w:t xml:space="preserve">. Siguiendo las instrucciones del cuestionario evaluado en la medida general, los participantes tenían que indicar con una cruz la alternativa que mejor se ajustara al modo de ser o actuar, con una escala de respuesta tipo Likert, de 1 “Totalmente en desacuerdo” a 6 “Totalmente de acuerdo”. En este caso, el coeficiente de fiabilidad para todos los ítems fue .91. En cada una de las dimensiones se obtuvieron los siguientes índices: .76 para la desconexión psicológica; .80 para la relajación; .93 para las actividades enriquecedoras; y .93 para el control del tiempo libre. En relación al uso del cuestionario para la medida de diario, se evaluó la recuperación por la noche, antes de irse a dormir. En este momento se preguntaba a los trabajadores en qué grado “Hoy” habían sido capaces de recuperarse, a través de una escala de respuesta entre 1 “No, no es cierto” y 6 “Si, es cierto”. Todos los coeficientes mostraron adecuados índices de fiabilidad, tanto para el cuestionario con los dieciséis ítems </w:t>
      </w:r>
      <w:r w:rsidRPr="00594AD0">
        <w:rPr>
          <w:rFonts w:ascii="Times New Roman" w:eastAsia="Times New Roman" w:hAnsi="Times New Roman" w:cs="Times New Roman"/>
          <w:sz w:val="24"/>
          <w:szCs w:val="24"/>
          <w:lang w:val="nl-NL" w:eastAsia="es-ES"/>
        </w:rPr>
        <w:t xml:space="preserve">(α = .89), como para la desconexión psicológica (α = .85), la relajación (α = .86), las actividades enriquecedoras (α = .93), y el control del tiempo libre (α = .67). Este último obtuvo el coeficiente más bajo; sin embargo, teniendo en cuenta que solo se compone de cuatro items y que el índice de la escala total es alto, se considera un coeficiente adecuado </w:t>
      </w:r>
      <w:r w:rsidRPr="00594AD0">
        <w:rPr>
          <w:rFonts w:ascii="Times New Roman" w:eastAsia="Times New Roman" w:hAnsi="Times New Roman" w:cs="Times New Roman"/>
          <w:sz w:val="24"/>
          <w:szCs w:val="24"/>
          <w:lang w:eastAsia="es-ES"/>
        </w:rPr>
        <w:t>(Abad y cols., 2011).</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b/>
          <w:sz w:val="24"/>
          <w:szCs w:val="24"/>
          <w:lang w:eastAsia="es-ES"/>
        </w:rPr>
        <w:t>Metodología y análisis de datos</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Se trata de un estudio de diario, de dos niveles: el nivel 1 (i), día (</w:t>
      </w:r>
      <w:r w:rsidRPr="00594AD0">
        <w:rPr>
          <w:rFonts w:ascii="Times New Roman" w:eastAsia="Times New Roman" w:hAnsi="Times New Roman" w:cs="Times New Roman"/>
          <w:i/>
          <w:sz w:val="24"/>
          <w:szCs w:val="24"/>
          <w:lang w:eastAsia="es-ES"/>
        </w:rPr>
        <w:t>day-level</w:t>
      </w:r>
      <w:r w:rsidRPr="00594AD0">
        <w:rPr>
          <w:rFonts w:ascii="Times New Roman" w:eastAsia="Times New Roman" w:hAnsi="Times New Roman" w:cs="Times New Roman"/>
          <w:sz w:val="24"/>
          <w:szCs w:val="24"/>
          <w:lang w:eastAsia="es-ES"/>
        </w:rPr>
        <w:t>); y el nivel 2 (j), sujeto (</w:t>
      </w:r>
      <w:r w:rsidRPr="00594AD0">
        <w:rPr>
          <w:rFonts w:ascii="Times New Roman" w:eastAsia="Times New Roman" w:hAnsi="Times New Roman" w:cs="Times New Roman"/>
          <w:i/>
          <w:sz w:val="24"/>
          <w:szCs w:val="24"/>
          <w:lang w:eastAsia="es-ES"/>
        </w:rPr>
        <w:t>person-level</w:t>
      </w:r>
      <w:r w:rsidRPr="00594AD0">
        <w:rPr>
          <w:rFonts w:ascii="Times New Roman" w:eastAsia="Times New Roman" w:hAnsi="Times New Roman" w:cs="Times New Roman"/>
          <w:sz w:val="24"/>
          <w:szCs w:val="24"/>
          <w:lang w:eastAsia="es-ES"/>
        </w:rPr>
        <w:t>). El nivel 1 incluye las variables evaluadas de forma diaria mediante el cuestionario de diario. Esto permitió observar el cambio individual en cada participante para cada una de las variables, según el día (de lunes a viernes) y el momento de evaluación (mañana, tarde, noche). El nivel 2 recoge las variables evaluadas de forma general, a través del cuestionario de evaluación general. Este nivel de medida permitió establecer los niveles generales (</w:t>
      </w:r>
      <w:r w:rsidRPr="00594AD0">
        <w:rPr>
          <w:rFonts w:ascii="Times New Roman" w:eastAsia="Times New Roman" w:hAnsi="Times New Roman" w:cs="Times New Roman"/>
          <w:i/>
          <w:sz w:val="24"/>
          <w:szCs w:val="24"/>
          <w:lang w:eastAsia="es-ES"/>
        </w:rPr>
        <w:t>trait</w:t>
      </w:r>
      <w:r w:rsidRPr="00594AD0">
        <w:rPr>
          <w:rFonts w:ascii="Times New Roman" w:eastAsia="Times New Roman" w:hAnsi="Times New Roman" w:cs="Times New Roman"/>
          <w:sz w:val="24"/>
          <w:szCs w:val="24"/>
          <w:lang w:eastAsia="es-ES"/>
        </w:rPr>
        <w:t>) de cada participante en las variables evaluadas. Por otro lado, el afecto fue utilizado como variable control atendiendo al nivel de medida. De este modo, los análisis multinivel incluyen el control del nivel general de afecto (</w:t>
      </w:r>
      <w:r w:rsidRPr="00594AD0">
        <w:rPr>
          <w:rFonts w:ascii="Times New Roman" w:eastAsia="Times New Roman" w:hAnsi="Times New Roman" w:cs="Times New Roman"/>
          <w:i/>
          <w:sz w:val="24"/>
          <w:szCs w:val="24"/>
          <w:lang w:eastAsia="es-ES"/>
        </w:rPr>
        <w:t>trait</w:t>
      </w:r>
      <w:r w:rsidRPr="00594AD0">
        <w:rPr>
          <w:rFonts w:ascii="Times New Roman" w:eastAsia="Times New Roman" w:hAnsi="Times New Roman" w:cs="Times New Roman"/>
          <w:sz w:val="24"/>
          <w:szCs w:val="24"/>
          <w:lang w:eastAsia="es-ES"/>
        </w:rPr>
        <w:t xml:space="preserve">) en el modelo 1 para la medida general, y el control del nivel diario de la mañana en el modelo 2, como control diario. </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ab/>
      </w: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Se obtuvo el coeficiente de correlación intraclase para cada variable criterio. El 25,19% de la varianza fue explicado por las fluctuaciones a nivel diario para el agotamiento emocional de la tarde; el 45,60% de la varianza para el afecto negativo de la noche, y el 43,68% de la varianza para el afecto positivo de la noche. Incluso, todas las variables predictoras obtuvieron índices que justifican el uso del análisis multinivel (Hox y Robers, 2011). El porcentaje de variación intra-sujeto para cada variable atendiendo al momento de evaluación fue: 47% afecto positivo y 44% afecto negativo de la mañana; 47% incivismo laboral, 36% abuso verbal, y 25% agotamiento emocional de la tarde; 49% desconexión psicológica, 42% relajación, 29% actividades enriquecedoras, y 53% control del tiempo libre de la noche. </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Teniendo en cuenta este diseño y la estructura de los datos se aplicó la aproximación de modelos jerárquicos lineales (Bryk y Raudenbush, 1992) utilizando el software MlwiN (Rashbash, Browne, Healy, Cameron y Charlton, 2000). Con el fin de evitar la multiconealidad, las variables del nivel 2 se centraron en torno a las puntuaciones medias de todos los sujetos y las del nivel 1 aproximando las puntuaciones a la media de cada sujeto individualmente (Ohly, Sonnentag, Niessen y Zapf, 2010).</w:t>
      </w: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b/>
          <w:sz w:val="24"/>
          <w:szCs w:val="24"/>
          <w:lang w:eastAsia="es-ES"/>
        </w:rPr>
        <w:t>Resultados</w:t>
      </w: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Los análisis multinivel para cada variable criterio se realizaron de forma específica y simultánea para el nivel general (nivel 1, </w:t>
      </w:r>
      <w:r w:rsidRPr="00594AD0">
        <w:rPr>
          <w:rFonts w:ascii="Times New Roman" w:eastAsia="Times New Roman" w:hAnsi="Times New Roman" w:cs="Times New Roman"/>
          <w:i/>
          <w:sz w:val="24"/>
          <w:szCs w:val="24"/>
          <w:lang w:eastAsia="es-ES"/>
        </w:rPr>
        <w:t>day-level</w:t>
      </w:r>
      <w:r w:rsidRPr="00594AD0">
        <w:rPr>
          <w:rFonts w:ascii="Times New Roman" w:eastAsia="Times New Roman" w:hAnsi="Times New Roman" w:cs="Times New Roman"/>
          <w:sz w:val="24"/>
          <w:szCs w:val="24"/>
          <w:lang w:eastAsia="es-ES"/>
        </w:rPr>
        <w:t xml:space="preserve">) y el nivel diario (nivel 2, </w:t>
      </w:r>
      <w:r w:rsidRPr="00594AD0">
        <w:rPr>
          <w:rFonts w:ascii="Times New Roman" w:eastAsia="Times New Roman" w:hAnsi="Times New Roman" w:cs="Times New Roman"/>
          <w:i/>
          <w:sz w:val="24"/>
          <w:szCs w:val="24"/>
          <w:lang w:eastAsia="es-ES"/>
        </w:rPr>
        <w:t>person-level</w:t>
      </w:r>
      <w:r w:rsidRPr="00594AD0">
        <w:rPr>
          <w:rFonts w:ascii="Times New Roman" w:eastAsia="Times New Roman" w:hAnsi="Times New Roman" w:cs="Times New Roman"/>
          <w:sz w:val="24"/>
          <w:szCs w:val="24"/>
          <w:lang w:eastAsia="es-ES"/>
        </w:rPr>
        <w:t xml:space="preserve">) con los respectivos momentos de evaluación. Las variables se introdujeron por modelos. Para las tres variables criterio, agotamiento emocional, afecto negativo y afecto positivo, la constante se muestra en el </w:t>
      </w:r>
      <w:r w:rsidRPr="00594AD0">
        <w:rPr>
          <w:rFonts w:ascii="Times New Roman" w:eastAsia="Times New Roman" w:hAnsi="Times New Roman" w:cs="Times New Roman"/>
          <w:i/>
          <w:sz w:val="24"/>
          <w:szCs w:val="24"/>
          <w:lang w:eastAsia="es-ES"/>
        </w:rPr>
        <w:t>null model</w:t>
      </w:r>
      <w:r w:rsidRPr="00594AD0">
        <w:rPr>
          <w:rFonts w:ascii="Times New Roman" w:eastAsia="Times New Roman" w:hAnsi="Times New Roman" w:cs="Times New Roman"/>
          <w:sz w:val="24"/>
          <w:szCs w:val="24"/>
          <w:lang w:eastAsia="es-ES"/>
        </w:rPr>
        <w:t>; el modelo 1 añade las variables control del nivel general (género, estrés de rol y nivel general de la variable criterio); el modelo 2 introduce las variables control del nivel diario (afecto positivo y negativo de la mañana); el modelo 3 añade las formas de agresión laboral estudiadas (incivismo laboral y abuso verbal de la tarde). Para el afecto negativo y el afecto positivo se añadieron además, el modelo 4 que introduce el agotamiento emocional; el modelo 5 con las cuatro experiencias de recuperación (desconexión psicológica, relajación, actividades enriquecedoras, control del tiempo libre); y un último modelo con las interacciones entre la recuperación, las formas de agresión laboral, y el agotamiento emocional.</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El análisis multinivel del agotamiento emocional de la tarde (Tabla 2) muestra en el primer modelo un ajuste significativo sobre el </w:t>
      </w:r>
      <w:r w:rsidRPr="00594AD0">
        <w:rPr>
          <w:rFonts w:ascii="Times New Roman" w:eastAsia="Times New Roman" w:hAnsi="Times New Roman" w:cs="Times New Roman"/>
          <w:i/>
          <w:sz w:val="24"/>
          <w:szCs w:val="24"/>
          <w:lang w:eastAsia="es-ES"/>
        </w:rPr>
        <w:t>null model</w:t>
      </w:r>
      <w:r w:rsidRPr="00594AD0">
        <w:rPr>
          <w:rFonts w:ascii="Times New Roman" w:eastAsia="Times New Roman" w:hAnsi="Times New Roman" w:cs="Times New Roman"/>
          <w:sz w:val="24"/>
          <w:szCs w:val="24"/>
          <w:lang w:eastAsia="es-ES"/>
        </w:rPr>
        <w:t xml:space="preserve">, donde se incluye la constante </w:t>
      </w:r>
      <w:r w:rsidRPr="00594AD0">
        <w:rPr>
          <w:rFonts w:ascii="Times New Roman" w:eastAsia="Times New Roman" w:hAnsi="Times New Roman" w:cs="Times New Roman"/>
          <w:sz w:val="24"/>
          <w:szCs w:val="24"/>
          <w:lang w:eastAsia="es-ES"/>
        </w:rPr>
        <w:lastRenderedPageBreak/>
        <w:t>(</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90.776,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3,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.001), debido a la significación del nivel general de agotamiento emocional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11,558,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.001). El modelo 2 muestra un buen ajuste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9.106,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2,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.01) por el resultado significativo del afecto negativo de la mañana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2.833,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El modelo 3 incluye la agresión laboral y muestra el mejor nivel de ajuste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42.634, </w:t>
      </w:r>
      <w:r w:rsidRPr="00594AD0">
        <w:rPr>
          <w:rFonts w:ascii="Times New Roman" w:eastAsia="Times New Roman" w:hAnsi="Times New Roman" w:cs="Times New Roman"/>
          <w:i/>
          <w:sz w:val="24"/>
          <w:szCs w:val="24"/>
          <w:lang w:eastAsia="es-ES"/>
        </w:rPr>
        <w:t>df</w:t>
      </w:r>
      <w:r w:rsidRPr="00594AD0">
        <w:rPr>
          <w:rFonts w:ascii="Times New Roman" w:eastAsia="Times New Roman" w:hAnsi="Times New Roman" w:cs="Times New Roman"/>
          <w:sz w:val="24"/>
          <w:szCs w:val="24"/>
          <w:lang w:eastAsia="es-ES"/>
        </w:rPr>
        <w:t xml:space="preserve"> = 2,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.001) con la significación del incivismo laboral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2,219,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y el abuso verbal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3.665,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.01). En base a estos resultados, podemos mantener la hipótesis 1, ya que son las variables de agresión laboral las predictoras del agotamiento emocional de la tarde.</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594AD0" w:rsidRPr="00594AD0" w:rsidTr="00CC1D0D">
        <w:tc>
          <w:tcPr>
            <w:tcW w:w="8644" w:type="dxa"/>
            <w:tcBorders>
              <w:top w:val="single" w:sz="4" w:space="0" w:color="auto"/>
              <w:left w:val="nil"/>
              <w:bottom w:val="single" w:sz="4" w:space="0" w:color="auto"/>
              <w:right w:val="nil"/>
            </w:tcBorders>
            <w:vAlign w:val="center"/>
          </w:tcPr>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Insertar </w:t>
            </w:r>
            <w:r w:rsidR="006A1D96">
              <w:rPr>
                <w:rFonts w:ascii="Times New Roman" w:eastAsia="Times New Roman" w:hAnsi="Times New Roman" w:cs="Times New Roman"/>
                <w:sz w:val="24"/>
                <w:szCs w:val="24"/>
                <w:lang w:eastAsia="es-ES"/>
              </w:rPr>
              <w:t>T</w:t>
            </w:r>
            <w:r w:rsidRPr="00594AD0">
              <w:rPr>
                <w:rFonts w:ascii="Times New Roman" w:eastAsia="Times New Roman" w:hAnsi="Times New Roman" w:cs="Times New Roman"/>
                <w:sz w:val="24"/>
                <w:szCs w:val="24"/>
                <w:lang w:eastAsia="es-ES"/>
              </w:rPr>
              <w:t>abla 2</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tc>
      </w:tr>
    </w:tbl>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En los resultados multinivel del afecto negativo de la noche (Tabla 3), el primer modelo muestra un ajuste significativo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30,503,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3,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.001). El modelo 2 muestra un ajuste significativo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5,362,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2,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dada la significación del afecto negativo de la mañana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2.28,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El modelo 3 muestra el mejor nivel de ajuste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40,252,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2,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.001) y las dos variables introducidas han resultado significativas, el incivismo laboral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2,73,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y el abuso verbal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3,86,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como predictoras del afecto negativo de la noche. El modelo 4 mantiene la significación del modelo previo y añade el resultado significativo del agotamiento emocional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4,14,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con un buen ajuste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17,549,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1,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Según este modelo, el incivismo laboral, abuso verbal y agotamiento emocional serían predictores del afecto negativo de la noche. El último modelo introduce la recuperación y muestra un elevado nivel de ajuste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23,95,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4,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.001). La agresión se mantiene significativa y a ello se añade la relajación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-2,82,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como experiencia de recuperación. Por lo tanto, según los resultados multinivel, podemos mantener las hipótesis 2a, y 3b para el afecto negativo de la noche.</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594AD0" w:rsidRPr="00594AD0" w:rsidTr="00CC1D0D">
        <w:tc>
          <w:tcPr>
            <w:tcW w:w="8644" w:type="dxa"/>
            <w:tcBorders>
              <w:top w:val="single" w:sz="4" w:space="0" w:color="auto"/>
              <w:left w:val="nil"/>
              <w:bottom w:val="single" w:sz="4" w:space="0" w:color="auto"/>
              <w:right w:val="nil"/>
            </w:tcBorders>
            <w:vAlign w:val="center"/>
          </w:tcPr>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Insertar </w:t>
            </w:r>
            <w:r w:rsidR="006A1D96">
              <w:rPr>
                <w:rFonts w:ascii="Times New Roman" w:eastAsia="Times New Roman" w:hAnsi="Times New Roman" w:cs="Times New Roman"/>
                <w:sz w:val="24"/>
                <w:szCs w:val="24"/>
                <w:lang w:eastAsia="es-ES"/>
              </w:rPr>
              <w:t>T</w:t>
            </w:r>
            <w:r w:rsidRPr="00594AD0">
              <w:rPr>
                <w:rFonts w:ascii="Times New Roman" w:eastAsia="Times New Roman" w:hAnsi="Times New Roman" w:cs="Times New Roman"/>
                <w:sz w:val="24"/>
                <w:szCs w:val="24"/>
                <w:lang w:eastAsia="es-ES"/>
              </w:rPr>
              <w:t>abla 3</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tc>
      </w:tr>
    </w:tbl>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Como se aprecia en la Tabla 4 del afecto positivo de la noche, el modelo 1 muestra un ajuste significativo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9,194,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3,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.01). El modelo 2 ha mostrado un ajuste significativo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5,62,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2,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aunque menor al del modelo 1 y el afecto positivo de la  mañana parece ser una variable predictora significativa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2,25,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El modelo 3 incluye la agresión laboral, muestra un ajuste significativo superior al modelo 2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21.733, </w:t>
      </w:r>
      <w:r w:rsidRPr="00594AD0">
        <w:rPr>
          <w:rFonts w:ascii="Times New Roman" w:eastAsia="Times New Roman" w:hAnsi="Times New Roman" w:cs="Times New Roman"/>
          <w:i/>
          <w:sz w:val="24"/>
          <w:szCs w:val="24"/>
          <w:lang w:eastAsia="es-ES"/>
        </w:rPr>
        <w:t>df</w:t>
      </w:r>
      <w:r w:rsidRPr="00594AD0">
        <w:rPr>
          <w:rFonts w:ascii="Times New Roman" w:eastAsia="Times New Roman" w:hAnsi="Times New Roman" w:cs="Times New Roman"/>
          <w:sz w:val="24"/>
          <w:szCs w:val="24"/>
          <w:lang w:eastAsia="es-ES"/>
        </w:rPr>
        <w:t xml:space="preserve"> = 2,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.01) debido al nivel general de afecto positivo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2,62, p &lt; .05) y al afecto positivo de la mañana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2,25,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sin embargo la agresión laboral no ha sido significativa. El modelo 4, que añade el agotamiento emocional, no resultó significativo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1,645,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1, </w:t>
      </w:r>
      <w:r w:rsidRPr="00594AD0">
        <w:rPr>
          <w:rFonts w:ascii="Times New Roman" w:eastAsia="Times New Roman" w:hAnsi="Times New Roman" w:cs="Times New Roman"/>
          <w:i/>
          <w:sz w:val="24"/>
          <w:szCs w:val="24"/>
          <w:lang w:eastAsia="es-ES"/>
        </w:rPr>
        <w:t>ns</w:t>
      </w:r>
      <w:r w:rsidRPr="00594AD0">
        <w:rPr>
          <w:rFonts w:ascii="Times New Roman" w:eastAsia="Times New Roman" w:hAnsi="Times New Roman" w:cs="Times New Roman"/>
          <w:sz w:val="24"/>
          <w:szCs w:val="24"/>
          <w:lang w:eastAsia="es-ES"/>
        </w:rPr>
        <w:t>). Finalmente, el modelo 5 muestra un ajuste significativo (</w:t>
      </w:r>
      <w:r w:rsidRPr="00594AD0">
        <w:rPr>
          <w:rFonts w:ascii="Times New Roman" w:eastAsia="Times New Roman" w:hAnsi="Times New Roman" w:cs="Times New Roman"/>
          <w:i/>
          <w:sz w:val="24"/>
          <w:szCs w:val="24"/>
          <w:lang w:eastAsia="es-ES"/>
        </w:rPr>
        <w:t>difference of -2 x log</w:t>
      </w:r>
      <w:r w:rsidRPr="00594AD0">
        <w:rPr>
          <w:rFonts w:ascii="Times New Roman" w:eastAsia="Times New Roman" w:hAnsi="Times New Roman" w:cs="Times New Roman"/>
          <w:sz w:val="24"/>
          <w:szCs w:val="24"/>
          <w:lang w:eastAsia="es-ES"/>
        </w:rPr>
        <w:t xml:space="preserve"> = 17,047, </w:t>
      </w:r>
      <w:r w:rsidRPr="00594AD0">
        <w:rPr>
          <w:rFonts w:ascii="Times New Roman" w:eastAsia="Times New Roman" w:hAnsi="Times New Roman" w:cs="Times New Roman"/>
          <w:i/>
          <w:sz w:val="24"/>
          <w:szCs w:val="24"/>
          <w:lang w:eastAsia="es-ES"/>
        </w:rPr>
        <w:t xml:space="preserve">df </w:t>
      </w:r>
      <w:r w:rsidRPr="00594AD0">
        <w:rPr>
          <w:rFonts w:ascii="Times New Roman" w:eastAsia="Times New Roman" w:hAnsi="Times New Roman" w:cs="Times New Roman"/>
          <w:sz w:val="24"/>
          <w:szCs w:val="24"/>
          <w:lang w:eastAsia="es-ES"/>
        </w:rPr>
        <w:t xml:space="preserve"> = 4,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.001) donde las actividades enriquecedoras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3,09,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resultaron significativas, mientras que el afecto </w:t>
      </w:r>
      <w:r w:rsidRPr="00594AD0">
        <w:rPr>
          <w:rFonts w:ascii="Times New Roman" w:eastAsia="Times New Roman" w:hAnsi="Times New Roman" w:cs="Times New Roman"/>
          <w:sz w:val="24"/>
          <w:szCs w:val="24"/>
          <w:lang w:eastAsia="es-ES"/>
        </w:rPr>
        <w:lastRenderedPageBreak/>
        <w:t>positivo de la mañana no mostró significación. Según los resultados, se mantienen las hipótesis 2b, y 3c para el afecto positivo de la noche.</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594AD0" w:rsidRPr="00594AD0" w:rsidTr="00CC1D0D">
        <w:tc>
          <w:tcPr>
            <w:tcW w:w="8644" w:type="dxa"/>
            <w:tcBorders>
              <w:top w:val="single" w:sz="4" w:space="0" w:color="auto"/>
              <w:left w:val="nil"/>
              <w:bottom w:val="single" w:sz="4" w:space="0" w:color="auto"/>
              <w:right w:val="nil"/>
            </w:tcBorders>
            <w:vAlign w:val="center"/>
          </w:tcPr>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Insertar </w:t>
            </w:r>
            <w:r w:rsidR="006A1D96">
              <w:rPr>
                <w:rFonts w:ascii="Times New Roman" w:eastAsia="Times New Roman" w:hAnsi="Times New Roman" w:cs="Times New Roman"/>
                <w:sz w:val="24"/>
                <w:szCs w:val="24"/>
                <w:lang w:eastAsia="es-ES"/>
              </w:rPr>
              <w:t>T</w:t>
            </w:r>
            <w:r w:rsidRPr="00594AD0">
              <w:rPr>
                <w:rFonts w:ascii="Times New Roman" w:eastAsia="Times New Roman" w:hAnsi="Times New Roman" w:cs="Times New Roman"/>
                <w:sz w:val="24"/>
                <w:szCs w:val="24"/>
                <w:lang w:eastAsia="es-ES"/>
              </w:rPr>
              <w:t>abla 4</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tc>
      </w:tr>
    </w:tbl>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Se añadió un sexto modelo en los análisis multinivel del afecto de la noche para contrastar la cuarta hipótesis. En relación a las interacciones del afecto positivo de la noche, se encontró significación entre la desconexión psicológica y el agotamiento emocional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2,74,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(Figura 1). Parece que desconectar mentalmente del día de trabajo juega un papel moderador disminuyendo el efecto negativo del agotamiento emocional sobre el afecto positivo de la noche. Respecto al afecto negativo de la noche, se encontró una interacción significativa entre la relajación y el incivismo laboral (</w:t>
      </w:r>
      <w:r w:rsidRPr="00594AD0">
        <w:rPr>
          <w:rFonts w:ascii="Times New Roman" w:eastAsia="Times New Roman" w:hAnsi="Times New Roman" w:cs="Times New Roman"/>
          <w:i/>
          <w:sz w:val="24"/>
          <w:szCs w:val="24"/>
          <w:lang w:eastAsia="es-ES"/>
        </w:rPr>
        <w:t>t</w:t>
      </w:r>
      <w:r w:rsidRPr="00594AD0">
        <w:rPr>
          <w:rFonts w:ascii="Times New Roman" w:eastAsia="Times New Roman" w:hAnsi="Times New Roman" w:cs="Times New Roman"/>
          <w:sz w:val="24"/>
          <w:szCs w:val="24"/>
          <w:lang w:eastAsia="es-ES"/>
        </w:rPr>
        <w:t xml:space="preserve"> = -1,98, </w:t>
      </w:r>
      <w:r w:rsidRPr="00594AD0">
        <w:rPr>
          <w:rFonts w:ascii="Times New Roman" w:eastAsia="Times New Roman" w:hAnsi="Times New Roman" w:cs="Times New Roman"/>
          <w:i/>
          <w:sz w:val="24"/>
          <w:szCs w:val="24"/>
          <w:lang w:eastAsia="es-ES"/>
        </w:rPr>
        <w:t>p</w:t>
      </w:r>
      <w:r w:rsidRPr="00594AD0">
        <w:rPr>
          <w:rFonts w:ascii="Times New Roman" w:eastAsia="Times New Roman" w:hAnsi="Times New Roman" w:cs="Times New Roman"/>
          <w:sz w:val="24"/>
          <w:szCs w:val="24"/>
          <w:lang w:eastAsia="es-ES"/>
        </w:rPr>
        <w:t xml:space="preserve"> &lt; .05) (Figura 2). Esto parece indicar que los trabajadores que consiguen relajarse durante la tarde después del trabajo, se protegen del impacto negativo emocional provocado por el incivismo laboral experimentado durante la jornada laboral.</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594AD0" w:rsidRPr="00594AD0" w:rsidTr="00CC1D0D">
        <w:tc>
          <w:tcPr>
            <w:tcW w:w="8644" w:type="dxa"/>
            <w:tcBorders>
              <w:top w:val="single" w:sz="4" w:space="0" w:color="auto"/>
              <w:left w:val="nil"/>
              <w:bottom w:val="single" w:sz="4" w:space="0" w:color="auto"/>
              <w:right w:val="nil"/>
            </w:tcBorders>
            <w:vAlign w:val="center"/>
          </w:tcPr>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Insertar </w:t>
            </w:r>
            <w:r w:rsidR="00490196">
              <w:rPr>
                <w:rFonts w:ascii="Times New Roman" w:eastAsia="Times New Roman" w:hAnsi="Times New Roman" w:cs="Times New Roman"/>
                <w:sz w:val="24"/>
                <w:szCs w:val="24"/>
                <w:lang w:eastAsia="es-ES"/>
              </w:rPr>
              <w:t>F</w:t>
            </w:r>
            <w:r w:rsidRPr="00594AD0">
              <w:rPr>
                <w:rFonts w:ascii="Times New Roman" w:eastAsia="Times New Roman" w:hAnsi="Times New Roman" w:cs="Times New Roman"/>
                <w:sz w:val="24"/>
                <w:szCs w:val="24"/>
                <w:lang w:eastAsia="es-ES"/>
              </w:rPr>
              <w:t>igura 1</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tc>
      </w:tr>
    </w:tbl>
    <w:p w:rsidR="00594AD0" w:rsidRPr="00594AD0" w:rsidRDefault="00594AD0" w:rsidP="00594AD0">
      <w:pPr>
        <w:spacing w:after="0" w:line="240" w:lineRule="auto"/>
        <w:rPr>
          <w:rFonts w:ascii="Times New Roman" w:eastAsia="Times New Roman" w:hAnsi="Times New Roman" w:cs="Times New Roman"/>
          <w:sz w:val="24"/>
          <w:szCs w:val="24"/>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594AD0" w:rsidRPr="00594AD0" w:rsidTr="00CC1D0D">
        <w:tc>
          <w:tcPr>
            <w:tcW w:w="8644" w:type="dxa"/>
            <w:tcBorders>
              <w:top w:val="single" w:sz="4" w:space="0" w:color="auto"/>
              <w:left w:val="nil"/>
              <w:bottom w:val="single" w:sz="4" w:space="0" w:color="auto"/>
              <w:right w:val="nil"/>
            </w:tcBorders>
            <w:vAlign w:val="center"/>
          </w:tcPr>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Insertar </w:t>
            </w:r>
            <w:r w:rsidR="00490196">
              <w:rPr>
                <w:rFonts w:ascii="Times New Roman" w:eastAsia="Times New Roman" w:hAnsi="Times New Roman" w:cs="Times New Roman"/>
                <w:sz w:val="24"/>
                <w:szCs w:val="24"/>
                <w:lang w:eastAsia="es-ES"/>
              </w:rPr>
              <w:t>F</w:t>
            </w:r>
            <w:r w:rsidRPr="00594AD0">
              <w:rPr>
                <w:rFonts w:ascii="Times New Roman" w:eastAsia="Times New Roman" w:hAnsi="Times New Roman" w:cs="Times New Roman"/>
                <w:sz w:val="24"/>
                <w:szCs w:val="24"/>
                <w:lang w:eastAsia="es-ES"/>
              </w:rPr>
              <w:t>igura 2</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tc>
      </w:tr>
    </w:tbl>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b/>
          <w:sz w:val="24"/>
          <w:szCs w:val="24"/>
          <w:lang w:eastAsia="es-ES"/>
        </w:rPr>
        <w:t xml:space="preserve">Discusión </w:t>
      </w: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El objetivo del presente estudio era observar el impacto diario de algunas formas de agresión laboral y el papel diario de las experiencias de recuperación en el bienestar emocional de los trabajadores del sector servicios. Los resultados del estudio muestran la importancia que tiene el entorno laboral y las consecuencias negativas que se pueden derivar de una organización tóxica para el bienestar del trabajador, de manera diaria. Según estos resultados, y de acuerdo con otros autores (Andersson y Pearson, 1999), las personas que en su lugar de trabajo experimentan conductas incívicas parecen tener mayores niveles diarios de agotamiento al salir del trabajo. Así mismo, un trabajador que está bajo situaciones de abuso verbal se sentirá con menos energía y más agotamiento físico y mental cuando sale del trabajo. Este tipo de situaciones laborales pueden ser perjudiciales no solamente para la salud del trabajador, sino para la propia organización (Dimotakis y cols., 2011). De este modo, las condiciones laborales caracterizadas por comportamientos agresivos pueden convertirse en un factor de riesgo para la persona y la organización, actuando además como una fuente potencial de discriminación hacia las mujeres (Cortina y cols, 2013). No obstante, son escasas las investigaciones que estudian el efecto diario de estas formas de agresión en el bienestar del trabajador.</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lastRenderedPageBreak/>
        <w:t>¿Cómo influyen estas formas de agresión en el estado afectivo de los trabajadores al final del día? La respuesta a esta pregunta nos puede dar las claves para conocer hasta qué punto nuestra vida laboral está repercutiendo en nuestro bienestar personal. Esta investigación pretende observar el impacto emocional que tiene para un trabajador sufrir situaciones diarias de agresión laboral como las contempladas en la presente investigación. En este estudio se observa que sufrir una situación de agresión laboral a lo largo del día de trabajo influye en el estado de ánimo diario de la noche, haciendo que la persona se sienta por la noche con un estado de ánimo negativo caracterizado por enfado, disgusto, miedo y nerviosismo (Watson y cols., 1988). Sin embargo, esto no sucede con el afecto positivo de la noche. En la misma línea que Dimotakis y cols., (2011), los resultados confirman la independencia entre ambos estados afectivos y muestran la importancia de variables positivas como el afecto positivo de la mañana sobre el afecto positivo de la noche.</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Recuperarse del estrés laboral diario puede ser un factor protector para el trabajador que tiene un efecto directo y moderador en el bienestar. No obstante, no todas las experiencias tienen el mismo efecto. Relajarse durante la tarde después de salir del trabajo de ocio reduce el afecto negativo en la noche y disminuye el impacto emocional negativo del incivismo laboral sufrido en el trabajo. Una vez más se observan los beneficios de la relajación sobre el bienestar personal (Hahn, Binnewies, Sonnentag y Mojza, 2011). Además, realizar actividades enriquecedoras durante la tarde libre potencia el afecto positivo de la noche al crear nuevas competencias y recursos personales, haciendo que la persona se llene de energía (Sonnentag y Fritz, 2007). Potenciar este contexto de desarrollo es un ingrediente fundamental en el marco de la psicología positiva (Ryff y Singer, 2008). En línea con Sonnentag (2011), la desconexión psicológica modera el efecto negativo del agotamiento emocional. Las personas que desconectan mentalmente del trabajo por la tarde ven incrementado su afecto positivo durante la noche. Igualmente, la relajación modera la relación entre incivismo laboral y afecto negativo de la noche, sobre el que tiene un efecto positivo reduciendo el impacto emocional. </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La investigación, un estudio de diario con la realización de análisis multinivel, ha permitido observar las variaciones estudiando los pensamientos, sentimientos y comportamientos que una persona experimenta de forma diaria y a lo largo de un mismo día (observaciones intraindividuales), teniendo en cuenta el contexto natural de trabajo (Ohly y cols., 2010). Sin embargo, el estudio tiene limitaciones. Es una muestra del sector servicios que abarca un amplio rango de profesiones y sería conveniente controlar el tipo de área estudiada para comparar entre distintos tipos de ocupaciones. Los instrumentos de evaluación son medidas de autoinforme, sería relevante obtener medidas objetivas como registros psicofisiológicos para observar si existe correspondencia entre ambos tipos de datos, especialmente porque las variables evaluadas son de carácter emocional. Además, realizar una segunda medición aportaría mayor control y calidad de los resultados.   </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 xml:space="preserve">El presente estudio ofrece diversas aportaciones al conocimiento de la literatura sobre salud laboral controlando las variaciones diarias y las consecuencias diarias sobre el bienestar emocional. Estudia formas de agresión como el incivismo laboral y el abuso verbal que tienen importantes consecuencias a largo plazo para la organización y los trabajadores (Lim y cols., 2008). Esta investigación pone de manifiesto el impacto emocional diario de estas formas de agresión en el bienestar  de los trabajadores. </w:t>
      </w:r>
      <w:r w:rsidRPr="00594AD0">
        <w:rPr>
          <w:rFonts w:ascii="Times New Roman" w:eastAsia="Times New Roman" w:hAnsi="Times New Roman" w:cs="Times New Roman"/>
          <w:sz w:val="24"/>
          <w:szCs w:val="24"/>
          <w:lang w:eastAsia="es-ES"/>
        </w:rPr>
        <w:lastRenderedPageBreak/>
        <w:t>Además, estudia el efecto que tiene realizar actividades de recuperación que ayuden a las personas a desconectar de los problemas relacionados con el trabajo.</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b/>
          <w:sz w:val="24"/>
          <w:szCs w:val="24"/>
          <w:lang w:eastAsia="es-ES"/>
        </w:rPr>
        <w:t>Conclusiones</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line="240" w:lineRule="auto"/>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El planteamiento metodológico de los estudios de diario está permitiendo nuevas perspectivas en el análisis del flujo continuo de datos. Este diseño metodológico arroja un mayor control en los registros de medida y permite obtener evaluaciones en el contexto natural de trabajo, de suma importancia en el ámbito de la salud laboral. El estudio muestra el efecto interactivo de los estados emocionales y las situaciones organizacionales que experimenta un trabajador desde la mañana hasta la noche dentro de un mismo día, a lo largo de una semana de trabajo. De este modo, se observa cómo afectan las dinámicas de agresión laboral vividas durante el día de trabajo en la salud emocional de la persona, y en qué medida recuperarse de estas situaciones laborales agresivas durante el tiempo libre de la tarde, amortigua su efecto negativo y aumenta el estado de ánimo positivo de la noche. Específicamente, se observa que no todas las experiencias de recuperación son igualmente protectoras, por ejemplo, en este estudio las más significativas fueron la relajación, que tiene un efecto directo y de moderación en el afecto negativo de la noche; y la realización de actividades enriquecedoras, con un efecto directo sobre el afecto positivo. Además, la desconexión psicológica juega un papel importante como moderador del agotamiento emocional sobre el afecto positivo de la noche.</w:t>
      </w:r>
    </w:p>
    <w:p w:rsidR="00594AD0" w:rsidRPr="00594AD0" w:rsidRDefault="00594AD0" w:rsidP="00594AD0">
      <w:pPr>
        <w:spacing w:line="240" w:lineRule="auto"/>
        <w:ind w:firstLine="284"/>
        <w:rPr>
          <w:rFonts w:ascii="Times New Roman" w:eastAsia="Times New Roman" w:hAnsi="Times New Roman" w:cs="Times New Roman"/>
          <w:sz w:val="24"/>
          <w:szCs w:val="24"/>
          <w:lang w:eastAsia="es-ES"/>
        </w:rPr>
      </w:pPr>
      <w:r w:rsidRPr="00594AD0">
        <w:rPr>
          <w:rFonts w:ascii="Times New Roman" w:eastAsia="Times New Roman" w:hAnsi="Times New Roman" w:cs="Times New Roman"/>
          <w:sz w:val="24"/>
          <w:szCs w:val="24"/>
          <w:lang w:eastAsia="es-ES"/>
        </w:rPr>
        <w:t>La investigación pone en evidencia la importancia que tiene identificar y erradicar estas situaciones tóxicas de trabajo para la salud emocional de la persona y para prevenir situaciones de discriminación laboral. Recientes investigaciones están poniendo de manifiesto cómo estas formas de agresión pueden actuar como un factor de discriminación laboral que desencadena una espiral de comportamientos incívicos en el trabajo con consecuencias negativas para los trabajadores y la organización (Cortina y cols., 2013). Por lo tanto, generar un cambio en las dinámicas laborales negativas es el primer paso para construir una organización saludable, así como potenciar las prácticas de autocuidado del trabajador.</w:t>
      </w: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p>
    <w:p w:rsidR="00594AD0" w:rsidRPr="00594AD0" w:rsidRDefault="00594AD0" w:rsidP="00594AD0">
      <w:pPr>
        <w:spacing w:after="0" w:line="240" w:lineRule="auto"/>
        <w:rPr>
          <w:rFonts w:ascii="Times New Roman" w:eastAsia="Times New Roman" w:hAnsi="Times New Roman" w:cs="Times New Roman"/>
          <w:b/>
          <w:sz w:val="24"/>
          <w:szCs w:val="24"/>
          <w:lang w:eastAsia="es-ES"/>
        </w:rPr>
      </w:pPr>
      <w:r w:rsidRPr="00594AD0">
        <w:rPr>
          <w:rFonts w:ascii="Times New Roman" w:eastAsia="Times New Roman" w:hAnsi="Times New Roman" w:cs="Times New Roman"/>
          <w:b/>
          <w:sz w:val="24"/>
          <w:szCs w:val="24"/>
          <w:lang w:eastAsia="es-ES"/>
        </w:rPr>
        <w:t>Referencias</w:t>
      </w: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eastAsia="es-ES"/>
        </w:rPr>
        <w:t xml:space="preserve">Abad, F. J., Olea, J., Ponsoda, V. y García, C. (2011). </w:t>
      </w:r>
      <w:r w:rsidRPr="00594AD0">
        <w:rPr>
          <w:rFonts w:ascii="Times New Roman" w:eastAsia="Times New Roman" w:hAnsi="Times New Roman" w:cs="Times New Roman"/>
          <w:i/>
          <w:sz w:val="24"/>
          <w:szCs w:val="24"/>
          <w:lang w:eastAsia="es-ES"/>
        </w:rPr>
        <w:t>Medición en ciencias sociales y de la salud.</w:t>
      </w:r>
      <w:r w:rsidRPr="00594AD0">
        <w:rPr>
          <w:rFonts w:ascii="Times New Roman" w:eastAsia="Times New Roman" w:hAnsi="Times New Roman" w:cs="Times New Roman"/>
          <w:sz w:val="24"/>
          <w:szCs w:val="24"/>
          <w:lang w:eastAsia="es-ES"/>
        </w:rPr>
        <w:t xml:space="preserve"> </w:t>
      </w:r>
      <w:r w:rsidRPr="00594AD0">
        <w:rPr>
          <w:rFonts w:ascii="Times New Roman" w:eastAsia="Times New Roman" w:hAnsi="Times New Roman" w:cs="Times New Roman"/>
          <w:sz w:val="24"/>
          <w:szCs w:val="24"/>
          <w:lang w:val="en-US" w:eastAsia="es-ES"/>
        </w:rPr>
        <w:t>Madrid: Síntesis.</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eastAsia="es-ES"/>
        </w:rPr>
        <w:t xml:space="preserve">Almagor, M., y Ben-Porath,Y. S. (1989). </w:t>
      </w:r>
      <w:r w:rsidRPr="00594AD0">
        <w:rPr>
          <w:rFonts w:ascii="Times New Roman" w:eastAsia="Times New Roman" w:hAnsi="Times New Roman" w:cs="Times New Roman"/>
          <w:sz w:val="24"/>
          <w:szCs w:val="24"/>
          <w:lang w:val="en-US" w:eastAsia="es-ES"/>
        </w:rPr>
        <w:t xml:space="preserve">The two-factor model of self-reported mood: A cross-cultural replication. </w:t>
      </w:r>
      <w:r w:rsidRPr="00594AD0">
        <w:rPr>
          <w:rFonts w:ascii="Times New Roman" w:eastAsia="Times New Roman" w:hAnsi="Times New Roman" w:cs="Times New Roman"/>
          <w:i/>
          <w:iCs/>
          <w:sz w:val="24"/>
          <w:szCs w:val="24"/>
          <w:lang w:val="en-US" w:eastAsia="es-ES"/>
        </w:rPr>
        <w:t>Journal of Personality Assessment, 53</w:t>
      </w:r>
      <w:r w:rsidRPr="00594AD0">
        <w:rPr>
          <w:rFonts w:ascii="Times New Roman" w:eastAsia="Times New Roman" w:hAnsi="Times New Roman" w:cs="Times New Roman"/>
          <w:iCs/>
          <w:sz w:val="24"/>
          <w:szCs w:val="24"/>
          <w:lang w:val="en-US" w:eastAsia="es-ES"/>
        </w:rPr>
        <w:t>(1)</w:t>
      </w:r>
      <w:r w:rsidRPr="00594AD0">
        <w:rPr>
          <w:rFonts w:ascii="Times New Roman" w:eastAsia="Times New Roman" w:hAnsi="Times New Roman" w:cs="Times New Roman"/>
          <w:sz w:val="24"/>
          <w:szCs w:val="24"/>
          <w:lang w:val="en-US" w:eastAsia="es-ES"/>
        </w:rPr>
        <w:t>, 10-21.</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Andersson, L. M., y Pearson, C. M. (1999). Tit for tat? The spiraling effect of incivility in the workplace. </w:t>
      </w:r>
      <w:r w:rsidRPr="00594AD0">
        <w:rPr>
          <w:rFonts w:ascii="Times New Roman" w:eastAsia="Times New Roman" w:hAnsi="Times New Roman" w:cs="Times New Roman"/>
          <w:i/>
          <w:iCs/>
          <w:sz w:val="24"/>
          <w:szCs w:val="24"/>
          <w:lang w:val="en-US" w:eastAsia="es-ES"/>
        </w:rPr>
        <w:t>Academy of Management Review, 24</w:t>
      </w:r>
      <w:r w:rsidRPr="00594AD0">
        <w:rPr>
          <w:rFonts w:ascii="Times New Roman" w:eastAsia="Times New Roman" w:hAnsi="Times New Roman" w:cs="Times New Roman"/>
          <w:iCs/>
          <w:sz w:val="24"/>
          <w:szCs w:val="24"/>
          <w:lang w:val="en-US" w:eastAsia="es-ES"/>
        </w:rPr>
        <w:t>(3),</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452-471. doi: 10.5465/AMR.1999.2202131</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Balatsky, G., y Diener, E. (1993). Subjective well-being among Russian students. </w:t>
      </w:r>
      <w:r w:rsidRPr="00594AD0">
        <w:rPr>
          <w:rFonts w:ascii="Times New Roman" w:eastAsia="Times New Roman" w:hAnsi="Times New Roman" w:cs="Times New Roman"/>
          <w:i/>
          <w:iCs/>
          <w:sz w:val="24"/>
          <w:szCs w:val="24"/>
          <w:lang w:val="en-US" w:eastAsia="es-ES"/>
        </w:rPr>
        <w:t>Social Indicators Research, 28</w:t>
      </w:r>
      <w:r w:rsidRPr="00594AD0">
        <w:rPr>
          <w:rFonts w:ascii="Times New Roman" w:eastAsia="Times New Roman" w:hAnsi="Times New Roman" w:cs="Times New Roman"/>
          <w:iCs/>
          <w:sz w:val="24"/>
          <w:szCs w:val="24"/>
          <w:lang w:val="en-US" w:eastAsia="es-ES"/>
        </w:rPr>
        <w:t>(3)</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225-243. doi: 10.1007/BF01079019</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Ben-Zur, H., y Yagil, D. (2005). The relationship between empowerment, aggressive behaviors of customers, coping, and burnout. </w:t>
      </w:r>
      <w:r w:rsidRPr="00594AD0">
        <w:rPr>
          <w:rFonts w:ascii="Times New Roman" w:eastAsia="Times New Roman" w:hAnsi="Times New Roman" w:cs="Times New Roman"/>
          <w:i/>
          <w:iCs/>
          <w:sz w:val="24"/>
          <w:szCs w:val="24"/>
          <w:lang w:val="en-US" w:eastAsia="es-ES"/>
        </w:rPr>
        <w:t>European Journal of Work and Organizational Psychology, 14</w:t>
      </w:r>
      <w:r w:rsidRPr="00594AD0">
        <w:rPr>
          <w:rFonts w:ascii="Times New Roman" w:eastAsia="Times New Roman" w:hAnsi="Times New Roman" w:cs="Times New Roman"/>
          <w:sz w:val="24"/>
          <w:szCs w:val="24"/>
          <w:lang w:val="en-US" w:eastAsia="es-ES"/>
        </w:rPr>
        <w:t>(1), 81–99. doi: 10.1080/13594320444000281</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3132B9">
        <w:rPr>
          <w:rFonts w:ascii="Times New Roman" w:eastAsia="Times New Roman" w:hAnsi="Times New Roman" w:cs="Times New Roman"/>
          <w:sz w:val="24"/>
          <w:szCs w:val="24"/>
          <w:lang w:val="en-US" w:eastAsia="es-ES"/>
        </w:rPr>
        <w:lastRenderedPageBreak/>
        <w:t xml:space="preserve">Bryk, A. S., y Raudenbush, S. W. (1992). </w:t>
      </w:r>
      <w:r w:rsidRPr="00594AD0">
        <w:rPr>
          <w:rFonts w:ascii="Times New Roman" w:eastAsia="Times New Roman" w:hAnsi="Times New Roman" w:cs="Times New Roman"/>
          <w:i/>
          <w:sz w:val="24"/>
          <w:szCs w:val="24"/>
          <w:lang w:val="en-US" w:eastAsia="es-ES"/>
        </w:rPr>
        <w:t>Hierarchical linear models: Application and data analysis methods</w:t>
      </w:r>
      <w:r w:rsidRPr="00594AD0">
        <w:rPr>
          <w:rFonts w:ascii="Times New Roman" w:eastAsia="Times New Roman" w:hAnsi="Times New Roman" w:cs="Times New Roman"/>
          <w:sz w:val="24"/>
          <w:szCs w:val="24"/>
          <w:lang w:val="en-US" w:eastAsia="es-ES"/>
        </w:rPr>
        <w:t>. Newbury Park, CA: Sage.</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FB65AA">
        <w:rPr>
          <w:rFonts w:ascii="Times New Roman" w:eastAsia="Times New Roman" w:hAnsi="Times New Roman" w:cs="Times New Roman"/>
          <w:sz w:val="24"/>
          <w:szCs w:val="24"/>
          <w:lang w:eastAsia="es-ES"/>
        </w:rPr>
        <w:t xml:space="preserve">Cortina, L. M., Kabat-Farr, D., Leskinen, E. A., Huerta, M., y Magley, V. J. (2013). </w:t>
      </w:r>
      <w:r w:rsidRPr="00594AD0">
        <w:rPr>
          <w:rFonts w:ascii="Times New Roman" w:eastAsia="Times New Roman" w:hAnsi="Times New Roman" w:cs="Times New Roman"/>
          <w:sz w:val="24"/>
          <w:szCs w:val="24"/>
          <w:lang w:val="en-US" w:eastAsia="es-ES"/>
        </w:rPr>
        <w:t xml:space="preserve">Selective Incivility as Modern Discrimination in Organizations: Evidence and Impact. </w:t>
      </w:r>
      <w:r w:rsidRPr="00594AD0">
        <w:rPr>
          <w:rFonts w:ascii="Times New Roman" w:eastAsia="Times New Roman" w:hAnsi="Times New Roman" w:cs="Times New Roman"/>
          <w:i/>
          <w:sz w:val="24"/>
          <w:szCs w:val="24"/>
          <w:lang w:val="en-US" w:eastAsia="es-ES"/>
        </w:rPr>
        <w:t>Journal of Management, 39</w:t>
      </w:r>
      <w:r w:rsidRPr="00594AD0">
        <w:rPr>
          <w:rFonts w:ascii="Times New Roman" w:eastAsia="Times New Roman" w:hAnsi="Times New Roman" w:cs="Times New Roman"/>
          <w:sz w:val="24"/>
          <w:szCs w:val="24"/>
          <w:lang w:val="en-US" w:eastAsia="es-ES"/>
        </w:rPr>
        <w:t>(6), 1579-1605.</w:t>
      </w:r>
      <w:r w:rsidRPr="00594AD0">
        <w:rPr>
          <w:rFonts w:ascii="Times New Roman" w:eastAsia="Times New Roman" w:hAnsi="Times New Roman" w:cs="Times New Roman"/>
          <w:i/>
          <w:sz w:val="24"/>
          <w:szCs w:val="24"/>
          <w:lang w:val="en-US" w:eastAsia="es-ES"/>
        </w:rPr>
        <w:t xml:space="preserve"> </w:t>
      </w:r>
      <w:r w:rsidRPr="00594AD0">
        <w:rPr>
          <w:rFonts w:ascii="Times New Roman" w:eastAsia="Times New Roman" w:hAnsi="Times New Roman" w:cs="Times New Roman"/>
          <w:sz w:val="24"/>
          <w:szCs w:val="24"/>
          <w:lang w:val="en-US" w:eastAsia="es-ES"/>
        </w:rPr>
        <w:t>doi: 10.1177/0149206311418835</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Cortina, L. M., Magley, V. J., Williams, J. H., y Langhout, R. D. (2001). Incivility in the Workplace: Incidence and Impact. </w:t>
      </w:r>
      <w:r w:rsidRPr="00594AD0">
        <w:rPr>
          <w:rFonts w:ascii="Times New Roman" w:eastAsia="Times New Roman" w:hAnsi="Times New Roman" w:cs="Times New Roman"/>
          <w:i/>
          <w:iCs/>
          <w:sz w:val="24"/>
          <w:szCs w:val="24"/>
          <w:lang w:val="en-US" w:eastAsia="es-ES"/>
        </w:rPr>
        <w:t xml:space="preserve">Journal of Occupational Health Psychology, 1, </w:t>
      </w:r>
      <w:r w:rsidRPr="00594AD0">
        <w:rPr>
          <w:rFonts w:ascii="Times New Roman" w:eastAsia="Times New Roman" w:hAnsi="Times New Roman" w:cs="Times New Roman"/>
          <w:sz w:val="24"/>
          <w:szCs w:val="24"/>
          <w:lang w:val="en-US" w:eastAsia="es-ES"/>
        </w:rPr>
        <w:t xml:space="preserve">64-80. doi: 10.1037/1076-8998.6.1.64 </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Dimotakis, N., Scott, B. A., y Koopman, J. (2011). An experience sampling investigation of workplace interactions, affective states, and employee well-being. </w:t>
      </w:r>
      <w:r w:rsidRPr="00594AD0">
        <w:rPr>
          <w:rFonts w:ascii="Times New Roman" w:eastAsia="Times New Roman" w:hAnsi="Times New Roman" w:cs="Times New Roman"/>
          <w:i/>
          <w:iCs/>
          <w:sz w:val="24"/>
          <w:szCs w:val="24"/>
          <w:lang w:val="en-US" w:eastAsia="es-ES"/>
        </w:rPr>
        <w:t>Journal of Organizational Behavior, 32</w:t>
      </w:r>
      <w:r w:rsidRPr="00594AD0">
        <w:rPr>
          <w:rFonts w:ascii="Times New Roman" w:eastAsia="Times New Roman" w:hAnsi="Times New Roman" w:cs="Times New Roman"/>
          <w:iCs/>
          <w:sz w:val="24"/>
          <w:szCs w:val="24"/>
          <w:lang w:val="en-US" w:eastAsia="es-ES"/>
        </w:rPr>
        <w:t>(4)</w:t>
      </w:r>
      <w:r w:rsidRPr="00594AD0">
        <w:rPr>
          <w:rFonts w:ascii="Times New Roman" w:eastAsia="Times New Roman" w:hAnsi="Times New Roman" w:cs="Times New Roman"/>
          <w:sz w:val="24"/>
          <w:szCs w:val="24"/>
          <w:lang w:val="en-US" w:eastAsia="es-ES"/>
        </w:rPr>
        <w:t>, 572–588. doi: 10.1002/job.722</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Garrosa, E., Rainho, C., Moreno-Jimenez, B. y Monteiro, M. J. (2010). The relationship between job stressors, hardy personality, coping resources and burnout in a sample of nurses: a correlational study at two time points. </w:t>
      </w:r>
      <w:r w:rsidRPr="00594AD0">
        <w:rPr>
          <w:rFonts w:ascii="Times New Roman" w:eastAsia="Times New Roman" w:hAnsi="Times New Roman" w:cs="Times New Roman"/>
          <w:i/>
          <w:sz w:val="24"/>
          <w:szCs w:val="24"/>
          <w:lang w:val="en-US" w:eastAsia="es-ES"/>
        </w:rPr>
        <w:t>International Journal of Nursing Studies, 47</w:t>
      </w:r>
      <w:r w:rsidRPr="00594AD0">
        <w:rPr>
          <w:rFonts w:ascii="Times New Roman" w:eastAsia="Times New Roman" w:hAnsi="Times New Roman" w:cs="Times New Roman"/>
          <w:sz w:val="24"/>
          <w:szCs w:val="24"/>
          <w:lang w:val="en-US" w:eastAsia="es-ES"/>
        </w:rPr>
        <w:t>(2), 205–215. doi: 10.1016/j.ijnurstu.2009.05.014</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Grandey, A., Kern, J. H., y Frone, M. R. (2007). Verbal Abuse From Outsiders Versus Insiders: Comparing Frequency, Impact on Emotional Exhaustion, and the Role of Emotional Labor. </w:t>
      </w:r>
      <w:r w:rsidRPr="00594AD0">
        <w:rPr>
          <w:rFonts w:ascii="Times New Roman" w:eastAsia="Times New Roman" w:hAnsi="Times New Roman" w:cs="Times New Roman"/>
          <w:i/>
          <w:iCs/>
          <w:sz w:val="24"/>
          <w:szCs w:val="24"/>
          <w:lang w:val="en-US" w:eastAsia="es-ES"/>
        </w:rPr>
        <w:t>Journal of Occupational Health Psychology, 12</w:t>
      </w:r>
      <w:r w:rsidRPr="00594AD0">
        <w:rPr>
          <w:rFonts w:ascii="Times New Roman" w:eastAsia="Times New Roman" w:hAnsi="Times New Roman" w:cs="Times New Roman"/>
          <w:iCs/>
          <w:sz w:val="24"/>
          <w:szCs w:val="24"/>
          <w:lang w:val="en-US" w:eastAsia="es-ES"/>
        </w:rPr>
        <w:t>(1)</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63–79. doi: 10.1037/1076-8998.12.1.63</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FB65AA">
        <w:rPr>
          <w:rFonts w:ascii="Times New Roman" w:eastAsia="Times New Roman" w:hAnsi="Times New Roman" w:cs="Times New Roman"/>
          <w:sz w:val="24"/>
          <w:szCs w:val="24"/>
          <w:lang w:val="en-US" w:eastAsia="es-ES"/>
        </w:rPr>
        <w:t xml:space="preserve">Grandey, A., Dickter, D., y Sin, H. P. (2004). </w:t>
      </w:r>
      <w:r w:rsidRPr="00594AD0">
        <w:rPr>
          <w:rFonts w:ascii="Times New Roman" w:eastAsia="Times New Roman" w:hAnsi="Times New Roman" w:cs="Times New Roman"/>
          <w:sz w:val="24"/>
          <w:szCs w:val="24"/>
          <w:lang w:val="en-US" w:eastAsia="es-ES"/>
        </w:rPr>
        <w:t xml:space="preserve">The customer is not always right: Customer verbal aggression toward service employees. </w:t>
      </w:r>
      <w:r w:rsidRPr="00594AD0">
        <w:rPr>
          <w:rFonts w:ascii="Times New Roman" w:eastAsia="Times New Roman" w:hAnsi="Times New Roman" w:cs="Times New Roman"/>
          <w:i/>
          <w:iCs/>
          <w:sz w:val="24"/>
          <w:szCs w:val="24"/>
          <w:lang w:val="en-US" w:eastAsia="es-ES"/>
        </w:rPr>
        <w:t>Journal of Organizational Behavior, 25</w:t>
      </w:r>
      <w:r w:rsidRPr="00594AD0">
        <w:rPr>
          <w:rFonts w:ascii="Times New Roman" w:eastAsia="Times New Roman" w:hAnsi="Times New Roman" w:cs="Times New Roman"/>
          <w:iCs/>
          <w:sz w:val="24"/>
          <w:szCs w:val="24"/>
          <w:lang w:val="en-US" w:eastAsia="es-ES"/>
        </w:rPr>
        <w:t>(3)</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397–418. doi: 10.1002/job.252</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Hahn, V. C., Binnewies, C., Sonnentag, S., y Mojza, E. J. (2011). Learning How To Recover From Job Stress: Effects of a Recovery Training Program on Recovery, Recovery-Related Self-Efficacy, and Well-Being. </w:t>
      </w:r>
      <w:r w:rsidRPr="00594AD0">
        <w:rPr>
          <w:rFonts w:ascii="Times New Roman" w:eastAsia="Times New Roman" w:hAnsi="Times New Roman" w:cs="Times New Roman"/>
          <w:i/>
          <w:sz w:val="24"/>
          <w:szCs w:val="24"/>
          <w:lang w:val="en-US" w:eastAsia="es-ES"/>
        </w:rPr>
        <w:t>Journal of Occupational Health Psychology, 16</w:t>
      </w:r>
      <w:r w:rsidRPr="00594AD0">
        <w:rPr>
          <w:rFonts w:ascii="Times New Roman" w:eastAsia="Times New Roman" w:hAnsi="Times New Roman" w:cs="Times New Roman"/>
          <w:sz w:val="24"/>
          <w:szCs w:val="24"/>
          <w:lang w:val="en-US" w:eastAsia="es-ES"/>
        </w:rPr>
        <w:t>(2)</w:t>
      </w:r>
      <w:r w:rsidRPr="00594AD0">
        <w:rPr>
          <w:rFonts w:ascii="Times New Roman" w:eastAsia="Times New Roman" w:hAnsi="Times New Roman" w:cs="Times New Roman"/>
          <w:i/>
          <w:sz w:val="24"/>
          <w:szCs w:val="24"/>
          <w:lang w:val="en-US" w:eastAsia="es-ES"/>
        </w:rPr>
        <w:t xml:space="preserve">, </w:t>
      </w:r>
      <w:r w:rsidRPr="00594AD0">
        <w:rPr>
          <w:rFonts w:ascii="Times New Roman" w:eastAsia="Times New Roman" w:hAnsi="Times New Roman" w:cs="Times New Roman"/>
          <w:sz w:val="24"/>
          <w:szCs w:val="24"/>
          <w:lang w:val="en-US" w:eastAsia="es-ES"/>
        </w:rPr>
        <w:t xml:space="preserve">202–216. doi: </w:t>
      </w:r>
      <w:hyperlink r:id="rId10" w:tgtFrame="_blank" w:history="1">
        <w:r w:rsidRPr="00594AD0">
          <w:rPr>
            <w:rFonts w:ascii="Times New Roman" w:eastAsia="Times New Roman" w:hAnsi="Times New Roman" w:cs="Times New Roman"/>
            <w:sz w:val="24"/>
            <w:szCs w:val="24"/>
            <w:lang w:val="en-GB" w:eastAsia="es-ES"/>
          </w:rPr>
          <w:t>10.1037/a0022169</w:t>
        </w:r>
      </w:hyperlink>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Hershcovis, M. S., y Barling, J. (2010). Towards a multi-foci approach to workplace aggression: A meta-analytic review of outcomes from different perpetrators. </w:t>
      </w:r>
      <w:r w:rsidRPr="00594AD0">
        <w:rPr>
          <w:rFonts w:ascii="Times New Roman" w:eastAsia="Times New Roman" w:hAnsi="Times New Roman" w:cs="Times New Roman"/>
          <w:i/>
          <w:sz w:val="24"/>
          <w:szCs w:val="24"/>
          <w:lang w:val="en-US" w:eastAsia="es-ES"/>
        </w:rPr>
        <w:t>Journal of Organizational Behavior, 31</w:t>
      </w:r>
      <w:r w:rsidRPr="00594AD0">
        <w:rPr>
          <w:rFonts w:ascii="Times New Roman" w:eastAsia="Times New Roman" w:hAnsi="Times New Roman" w:cs="Times New Roman"/>
          <w:sz w:val="24"/>
          <w:szCs w:val="24"/>
          <w:lang w:val="en-US" w:eastAsia="es-ES"/>
        </w:rPr>
        <w:t>(1)</w:t>
      </w:r>
      <w:r w:rsidRPr="00594AD0">
        <w:rPr>
          <w:rFonts w:ascii="Times New Roman" w:eastAsia="Times New Roman" w:hAnsi="Times New Roman" w:cs="Times New Roman"/>
          <w:i/>
          <w:sz w:val="24"/>
          <w:szCs w:val="24"/>
          <w:lang w:val="en-US" w:eastAsia="es-ES"/>
        </w:rPr>
        <w:t>,</w:t>
      </w:r>
      <w:r w:rsidRPr="00594AD0">
        <w:rPr>
          <w:rFonts w:ascii="Times New Roman" w:eastAsia="Times New Roman" w:hAnsi="Times New Roman" w:cs="Times New Roman"/>
          <w:sz w:val="24"/>
          <w:szCs w:val="24"/>
          <w:lang w:val="en-US" w:eastAsia="es-ES"/>
        </w:rPr>
        <w:t xml:space="preserve"> 24–44. doi: 10.1002/job.621</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Hox, J. J., y Robers, J. K. (2011). </w:t>
      </w:r>
      <w:r w:rsidRPr="00594AD0">
        <w:rPr>
          <w:rFonts w:ascii="Times New Roman" w:eastAsia="Times New Roman" w:hAnsi="Times New Roman" w:cs="Times New Roman"/>
          <w:i/>
          <w:iCs/>
          <w:sz w:val="24"/>
          <w:szCs w:val="24"/>
          <w:lang w:val="en-US" w:eastAsia="es-ES"/>
        </w:rPr>
        <w:t>Handbook of advanced multilevel analyses</w:t>
      </w:r>
      <w:r w:rsidRPr="00594AD0">
        <w:rPr>
          <w:rFonts w:ascii="Times New Roman" w:eastAsia="Times New Roman" w:hAnsi="Times New Roman" w:cs="Times New Roman"/>
          <w:sz w:val="24"/>
          <w:szCs w:val="24"/>
          <w:lang w:val="en-US" w:eastAsia="es-ES"/>
        </w:rPr>
        <w:t xml:space="preserve">. </w:t>
      </w:r>
      <w:r w:rsidRPr="00594AD0">
        <w:rPr>
          <w:rFonts w:ascii="Times New Roman" w:eastAsia="Times New Roman" w:hAnsi="Times New Roman" w:cs="Times New Roman"/>
          <w:sz w:val="24"/>
          <w:szCs w:val="24"/>
          <w:lang w:val="en-GB" w:eastAsia="es-ES"/>
        </w:rPr>
        <w:t>New York, NY: Routledge.</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A2397B">
        <w:rPr>
          <w:rFonts w:ascii="Times New Roman" w:eastAsia="Times New Roman" w:hAnsi="Times New Roman" w:cs="Times New Roman"/>
          <w:sz w:val="24"/>
          <w:szCs w:val="24"/>
          <w:lang w:eastAsia="es-ES"/>
        </w:rPr>
        <w:t xml:space="preserve">Kabat-Farr, D., y Cortina, L. M. (2012). </w:t>
      </w:r>
      <w:r w:rsidRPr="00594AD0">
        <w:rPr>
          <w:rFonts w:ascii="Times New Roman" w:eastAsia="Times New Roman" w:hAnsi="Times New Roman" w:cs="Times New Roman"/>
          <w:sz w:val="24"/>
          <w:szCs w:val="24"/>
          <w:lang w:val="en-US" w:eastAsia="es-ES"/>
        </w:rPr>
        <w:t xml:space="preserve">Selective incivility: Gender, race, and the discriminatory workplace. En S. Fox y T. R. Lituchy (Eds.), </w:t>
      </w:r>
      <w:r w:rsidRPr="00594AD0">
        <w:rPr>
          <w:rFonts w:ascii="Times New Roman" w:eastAsia="Times New Roman" w:hAnsi="Times New Roman" w:cs="Times New Roman"/>
          <w:i/>
          <w:iCs/>
          <w:sz w:val="24"/>
          <w:szCs w:val="24"/>
          <w:lang w:val="en-US" w:eastAsia="es-ES"/>
        </w:rPr>
        <w:t>Gender and the dysfunctional workplace</w:t>
      </w:r>
      <w:r w:rsidRPr="00594AD0">
        <w:rPr>
          <w:rFonts w:ascii="Times New Roman" w:eastAsia="Times New Roman" w:hAnsi="Times New Roman" w:cs="Times New Roman"/>
          <w:sz w:val="24"/>
          <w:szCs w:val="24"/>
          <w:lang w:val="en-US" w:eastAsia="es-ES"/>
        </w:rPr>
        <w:t xml:space="preserve"> (pp. 120-134). Northampton, MA: Edward Elgar Publishing.</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3132B9">
        <w:rPr>
          <w:rFonts w:ascii="Times New Roman" w:eastAsia="Times New Roman" w:hAnsi="Times New Roman" w:cs="Times New Roman"/>
          <w:sz w:val="24"/>
          <w:szCs w:val="24"/>
          <w:lang w:eastAsia="es-ES"/>
        </w:rPr>
        <w:t xml:space="preserve">Lim, S., Cortina, L. M., y Magley, V. J. (2008). </w:t>
      </w:r>
      <w:r w:rsidRPr="00594AD0">
        <w:rPr>
          <w:rFonts w:ascii="Times New Roman" w:eastAsia="Times New Roman" w:hAnsi="Times New Roman" w:cs="Times New Roman"/>
          <w:sz w:val="24"/>
          <w:szCs w:val="24"/>
          <w:lang w:val="en-US" w:eastAsia="es-ES"/>
        </w:rPr>
        <w:t xml:space="preserve">Personal and workgroup incivility: Impact on work and health outcomes. </w:t>
      </w:r>
      <w:r w:rsidRPr="00594AD0">
        <w:rPr>
          <w:rFonts w:ascii="Times New Roman" w:eastAsia="Times New Roman" w:hAnsi="Times New Roman" w:cs="Times New Roman"/>
          <w:i/>
          <w:iCs/>
          <w:sz w:val="24"/>
          <w:szCs w:val="24"/>
          <w:lang w:val="en-US" w:eastAsia="es-ES"/>
        </w:rPr>
        <w:t>Journal of Applied Psychology, 93</w:t>
      </w:r>
      <w:r w:rsidRPr="00594AD0">
        <w:rPr>
          <w:rFonts w:ascii="Times New Roman" w:eastAsia="Times New Roman" w:hAnsi="Times New Roman" w:cs="Times New Roman"/>
          <w:iCs/>
          <w:sz w:val="24"/>
          <w:szCs w:val="24"/>
          <w:lang w:val="en-US" w:eastAsia="es-ES"/>
        </w:rPr>
        <w:t>(1)</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95–107. doi: 10.1037/0021-9010.93.1.95</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Maslach, C., y Jackson, S. E. (1986). </w:t>
      </w:r>
      <w:r w:rsidRPr="00594AD0">
        <w:rPr>
          <w:rFonts w:ascii="Times New Roman" w:eastAsia="Times New Roman" w:hAnsi="Times New Roman" w:cs="Times New Roman"/>
          <w:i/>
          <w:sz w:val="24"/>
          <w:szCs w:val="24"/>
          <w:lang w:val="en-US" w:eastAsia="es-ES"/>
        </w:rPr>
        <w:t xml:space="preserve">Maslach bumout inventory </w:t>
      </w:r>
      <w:r w:rsidRPr="00594AD0">
        <w:rPr>
          <w:rFonts w:ascii="Times New Roman" w:eastAsia="Times New Roman" w:hAnsi="Times New Roman" w:cs="Times New Roman"/>
          <w:sz w:val="24"/>
          <w:szCs w:val="24"/>
          <w:lang w:val="en-US" w:eastAsia="es-ES"/>
        </w:rPr>
        <w:t>(2nd ed.). Palo Alto, CA: Consulting Psychologists Press.</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3132B9">
        <w:rPr>
          <w:rFonts w:ascii="Times New Roman" w:eastAsia="Times New Roman" w:hAnsi="Times New Roman" w:cs="Times New Roman"/>
          <w:sz w:val="24"/>
          <w:szCs w:val="24"/>
          <w:lang w:eastAsia="es-ES"/>
        </w:rPr>
        <w:t xml:space="preserve">Nägel, I. J., y Sonnentag, S. (2013). </w:t>
      </w:r>
      <w:r w:rsidRPr="00594AD0">
        <w:rPr>
          <w:rFonts w:ascii="Times New Roman" w:eastAsia="Times New Roman" w:hAnsi="Times New Roman" w:cs="Times New Roman"/>
          <w:sz w:val="24"/>
          <w:szCs w:val="24"/>
          <w:lang w:val="en-US" w:eastAsia="es-ES"/>
        </w:rPr>
        <w:t xml:space="preserve">Exercise and sleep predict personal resources in employees’ daily lives. </w:t>
      </w:r>
      <w:r w:rsidRPr="00594AD0">
        <w:rPr>
          <w:rFonts w:ascii="Times New Roman" w:eastAsia="Times New Roman" w:hAnsi="Times New Roman" w:cs="Times New Roman"/>
          <w:i/>
          <w:sz w:val="24"/>
          <w:szCs w:val="24"/>
          <w:lang w:val="en-US" w:eastAsia="es-ES"/>
        </w:rPr>
        <w:t>Applied Psychology: Health And Well-Being, 5</w:t>
      </w:r>
      <w:r w:rsidRPr="00594AD0">
        <w:rPr>
          <w:rFonts w:ascii="Times New Roman" w:eastAsia="Times New Roman" w:hAnsi="Times New Roman" w:cs="Times New Roman"/>
          <w:sz w:val="24"/>
          <w:szCs w:val="24"/>
          <w:lang w:val="en-US" w:eastAsia="es-ES"/>
        </w:rPr>
        <w:t>(3), 348–368. doi: 10.1111/aphw.12014</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Ohly, S., Sonnentag, S., Niessen, C., y Zapf, D. (2010). Diary Studies in Organizational Research. An Introduction and Some Practical Recommendations. </w:t>
      </w:r>
      <w:r w:rsidRPr="00594AD0">
        <w:rPr>
          <w:rFonts w:ascii="Times New Roman" w:eastAsia="Times New Roman" w:hAnsi="Times New Roman" w:cs="Times New Roman"/>
          <w:i/>
          <w:iCs/>
          <w:sz w:val="24"/>
          <w:szCs w:val="24"/>
          <w:lang w:val="en-US" w:eastAsia="es-ES"/>
        </w:rPr>
        <w:t>Journal of Personnel Psychology, 9</w:t>
      </w:r>
      <w:r w:rsidRPr="00594AD0">
        <w:rPr>
          <w:rFonts w:ascii="Times New Roman" w:eastAsia="Times New Roman" w:hAnsi="Times New Roman" w:cs="Times New Roman"/>
          <w:iCs/>
          <w:sz w:val="24"/>
          <w:szCs w:val="24"/>
          <w:lang w:val="en-US" w:eastAsia="es-ES"/>
        </w:rPr>
        <w:t>(2),</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79–93. doi: 10.1027/1866-5888/a000009</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Rashbash, J., Browne, W., Healy, M., Cameron, B., y Charlton, C. (2000). </w:t>
      </w:r>
      <w:r w:rsidRPr="00594AD0">
        <w:rPr>
          <w:rFonts w:ascii="Times New Roman" w:eastAsia="Times New Roman" w:hAnsi="Times New Roman" w:cs="Times New Roman"/>
          <w:i/>
          <w:sz w:val="24"/>
          <w:szCs w:val="24"/>
          <w:lang w:val="en-US" w:eastAsia="es-ES"/>
        </w:rPr>
        <w:t>MLwiN (Version 1.10.006): Interactive software for multilevel analysis. Multilevel Models Project, Institute of Education.</w:t>
      </w:r>
      <w:r w:rsidRPr="00594AD0">
        <w:rPr>
          <w:rFonts w:ascii="Times New Roman" w:eastAsia="Times New Roman" w:hAnsi="Times New Roman" w:cs="Times New Roman"/>
          <w:sz w:val="24"/>
          <w:szCs w:val="24"/>
          <w:lang w:val="en-US" w:eastAsia="es-ES"/>
        </w:rPr>
        <w:t xml:space="preserve"> University of London: London.</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lastRenderedPageBreak/>
        <w:t xml:space="preserve">Ryff, C. D., y Singer, B. H. (2008). Know thyself and become what you are: A eudaimonic approach to psychological well-being. </w:t>
      </w:r>
      <w:r w:rsidRPr="00594AD0">
        <w:rPr>
          <w:rFonts w:ascii="Times New Roman" w:eastAsia="Times New Roman" w:hAnsi="Times New Roman" w:cs="Times New Roman"/>
          <w:i/>
          <w:sz w:val="24"/>
          <w:szCs w:val="24"/>
          <w:lang w:val="en-US" w:eastAsia="es-ES"/>
        </w:rPr>
        <w:t>Journal of Happiness Studies, 9</w:t>
      </w:r>
      <w:r w:rsidRPr="00594AD0">
        <w:rPr>
          <w:rFonts w:ascii="Times New Roman" w:eastAsia="Times New Roman" w:hAnsi="Times New Roman" w:cs="Times New Roman"/>
          <w:sz w:val="24"/>
          <w:szCs w:val="24"/>
          <w:lang w:val="en-US" w:eastAsia="es-ES"/>
        </w:rPr>
        <w:t>(1), 13-39. doi: 10.1007/s10902-006-9019-0</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3132B9">
        <w:rPr>
          <w:rFonts w:ascii="Times New Roman" w:eastAsia="Times New Roman" w:hAnsi="Times New Roman" w:cs="Times New Roman"/>
          <w:sz w:val="24"/>
          <w:szCs w:val="24"/>
          <w:lang w:val="en-US" w:eastAsia="es-ES"/>
        </w:rPr>
        <w:t>Sanz-Vergel</w:t>
      </w:r>
      <w:bookmarkStart w:id="1" w:name="bcor1"/>
      <w:bookmarkStart w:id="2" w:name="baff1"/>
      <w:bookmarkStart w:id="3" w:name="b"/>
      <w:bookmarkEnd w:id="1"/>
      <w:r w:rsidRPr="003132B9">
        <w:rPr>
          <w:rFonts w:ascii="Times New Roman" w:eastAsia="Times New Roman" w:hAnsi="Times New Roman" w:cs="Times New Roman"/>
          <w:sz w:val="24"/>
          <w:szCs w:val="24"/>
          <w:lang w:val="en-US" w:eastAsia="es-ES"/>
        </w:rPr>
        <w:t>, A. I., Demerouti, E., Moreno-Jiménez</w:t>
      </w:r>
      <w:bookmarkEnd w:id="2"/>
      <w:bookmarkEnd w:id="3"/>
      <w:r w:rsidRPr="003132B9">
        <w:rPr>
          <w:rFonts w:ascii="Times New Roman" w:eastAsia="Times New Roman" w:hAnsi="Times New Roman" w:cs="Times New Roman"/>
          <w:sz w:val="24"/>
          <w:szCs w:val="24"/>
          <w:lang w:val="en-US" w:eastAsia="es-ES"/>
        </w:rPr>
        <w:t>, B., y Mayo, M. (2010).</w:t>
      </w:r>
      <w:r w:rsidRPr="003132B9">
        <w:rPr>
          <w:rFonts w:ascii="Times New Roman" w:eastAsia="Times New Roman" w:hAnsi="Times New Roman" w:cs="Times New Roman"/>
          <w:b/>
          <w:bCs/>
          <w:sz w:val="24"/>
          <w:szCs w:val="24"/>
          <w:lang w:val="en-US" w:eastAsia="es-ES"/>
        </w:rPr>
        <w:t xml:space="preserve"> </w:t>
      </w:r>
      <w:r w:rsidRPr="00594AD0">
        <w:rPr>
          <w:rFonts w:ascii="Times New Roman" w:eastAsia="Times New Roman" w:hAnsi="Times New Roman" w:cs="Times New Roman"/>
          <w:sz w:val="24"/>
          <w:szCs w:val="24"/>
          <w:lang w:val="en-US" w:eastAsia="es-ES"/>
        </w:rPr>
        <w:t xml:space="preserve">Work-family balance and energy: A day-level study on recovery conditions. </w:t>
      </w:r>
      <w:r w:rsidRPr="00594AD0">
        <w:rPr>
          <w:rFonts w:ascii="Times New Roman" w:eastAsia="Times New Roman" w:hAnsi="Times New Roman" w:cs="Times New Roman"/>
          <w:i/>
          <w:iCs/>
          <w:sz w:val="24"/>
          <w:szCs w:val="24"/>
          <w:lang w:val="en-US" w:eastAsia="es-ES"/>
        </w:rPr>
        <w:t>Journal of Vocational Behavior, 76</w:t>
      </w:r>
      <w:r w:rsidRPr="00594AD0">
        <w:rPr>
          <w:rFonts w:ascii="Times New Roman" w:eastAsia="Times New Roman" w:hAnsi="Times New Roman" w:cs="Times New Roman"/>
          <w:iCs/>
          <w:sz w:val="24"/>
          <w:szCs w:val="24"/>
          <w:lang w:val="en-US" w:eastAsia="es-ES"/>
        </w:rPr>
        <w:t>(1)</w:t>
      </w:r>
      <w:r w:rsidRPr="00594AD0">
        <w:rPr>
          <w:rFonts w:ascii="Times New Roman" w:eastAsia="Times New Roman" w:hAnsi="Times New Roman" w:cs="Times New Roman"/>
          <w:sz w:val="24"/>
          <w:szCs w:val="24"/>
          <w:lang w:val="en-US" w:eastAsia="es-ES"/>
        </w:rPr>
        <w:t>, 118-130. doi: 10.1016/j.jvb.2009.07.001</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Sanz-Vergel, A. I., Sebastián, J., Rodríguez Muñoz, A., Garrosa Hernández, E., Moreno-Jiménez, B., y Sonnentag, S. (2010). </w:t>
      </w:r>
      <w:r w:rsidRPr="00594AD0">
        <w:rPr>
          <w:rFonts w:ascii="Times New Roman" w:eastAsia="Times New Roman" w:hAnsi="Times New Roman" w:cs="Times New Roman"/>
          <w:sz w:val="24"/>
          <w:szCs w:val="24"/>
          <w:lang w:eastAsia="es-ES"/>
        </w:rPr>
        <w:t xml:space="preserve">Adaptación del "Cuestionario de Experiencias de Recuperación" a una muestra española. </w:t>
      </w:r>
      <w:r w:rsidRPr="00594AD0">
        <w:rPr>
          <w:rFonts w:ascii="Times New Roman" w:eastAsia="Times New Roman" w:hAnsi="Times New Roman" w:cs="Times New Roman"/>
          <w:i/>
          <w:sz w:val="24"/>
          <w:szCs w:val="24"/>
          <w:lang w:val="en-US" w:eastAsia="es-ES"/>
        </w:rPr>
        <w:t>Psicothema, 22</w:t>
      </w:r>
      <w:r w:rsidRPr="00594AD0">
        <w:rPr>
          <w:rFonts w:ascii="Times New Roman" w:eastAsia="Times New Roman" w:hAnsi="Times New Roman" w:cs="Times New Roman"/>
          <w:sz w:val="24"/>
          <w:szCs w:val="24"/>
          <w:lang w:val="en-US" w:eastAsia="es-ES"/>
        </w:rPr>
        <w:t>(4)</w:t>
      </w:r>
      <w:r w:rsidRPr="00594AD0">
        <w:rPr>
          <w:rFonts w:ascii="Times New Roman" w:eastAsia="Times New Roman" w:hAnsi="Times New Roman" w:cs="Times New Roman"/>
          <w:i/>
          <w:sz w:val="24"/>
          <w:szCs w:val="24"/>
          <w:lang w:val="en-US" w:eastAsia="es-ES"/>
        </w:rPr>
        <w:t>,</w:t>
      </w:r>
      <w:r w:rsidRPr="00594AD0">
        <w:rPr>
          <w:rFonts w:ascii="Times New Roman" w:eastAsia="Times New Roman" w:hAnsi="Times New Roman" w:cs="Times New Roman"/>
          <w:sz w:val="24"/>
          <w:szCs w:val="24"/>
          <w:lang w:val="en-US" w:eastAsia="es-ES"/>
        </w:rPr>
        <w:t xml:space="preserve"> 990-996.</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Schat, A. C., y Kelloway, E. K. (2000). Effects of perceived control on the outcomes of workplace aggression and violence. </w:t>
      </w:r>
      <w:r w:rsidRPr="00594AD0">
        <w:rPr>
          <w:rFonts w:ascii="Times New Roman" w:eastAsia="Times New Roman" w:hAnsi="Times New Roman" w:cs="Times New Roman"/>
          <w:i/>
          <w:iCs/>
          <w:sz w:val="24"/>
          <w:szCs w:val="24"/>
          <w:lang w:val="en-US" w:eastAsia="es-ES"/>
        </w:rPr>
        <w:t>Journal of Occupational Health Psychology, 5</w:t>
      </w:r>
      <w:r w:rsidRPr="00594AD0">
        <w:rPr>
          <w:rFonts w:ascii="Times New Roman" w:eastAsia="Times New Roman" w:hAnsi="Times New Roman" w:cs="Times New Roman"/>
          <w:iCs/>
          <w:sz w:val="24"/>
          <w:szCs w:val="24"/>
          <w:lang w:val="en-US" w:eastAsia="es-ES"/>
        </w:rPr>
        <w:t>(3)</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386–402. doi: 10.1037/1076-8998.5.3.386</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Sonnentag, S. (2011). Recovery From Fatigue: The Role of Psychological Detachment. En P. L. Ackerman (Ed.), </w:t>
      </w:r>
      <w:r w:rsidRPr="00594AD0">
        <w:rPr>
          <w:rFonts w:ascii="Times New Roman" w:eastAsia="Times New Roman" w:hAnsi="Times New Roman" w:cs="Times New Roman"/>
          <w:i/>
          <w:sz w:val="24"/>
          <w:szCs w:val="24"/>
          <w:lang w:val="en-US" w:eastAsia="es-ES"/>
        </w:rPr>
        <w:t>Cognitive fatigue: Multidisciplinary perspectives on current research and future applications</w:t>
      </w:r>
      <w:r w:rsidRPr="00594AD0">
        <w:rPr>
          <w:rFonts w:ascii="Times New Roman" w:eastAsia="Times New Roman" w:hAnsi="Times New Roman" w:cs="Times New Roman"/>
          <w:sz w:val="24"/>
          <w:szCs w:val="24"/>
          <w:lang w:val="en-US" w:eastAsia="es-ES"/>
        </w:rPr>
        <w:t xml:space="preserve"> (pp. 253-272).</w:t>
      </w:r>
      <w:r w:rsidRPr="00594AD0">
        <w:rPr>
          <w:rFonts w:ascii="Times New Roman" w:eastAsia="Times New Roman" w:hAnsi="Times New Roman" w:cs="Times New Roman"/>
          <w:b/>
          <w:bCs/>
          <w:sz w:val="24"/>
          <w:szCs w:val="24"/>
          <w:lang w:val="en-US" w:eastAsia="es-ES"/>
        </w:rPr>
        <w:t xml:space="preserve"> </w:t>
      </w:r>
      <w:r w:rsidRPr="00594AD0">
        <w:rPr>
          <w:rFonts w:ascii="Times New Roman" w:eastAsia="Times New Roman" w:hAnsi="Times New Roman" w:cs="Times New Roman"/>
          <w:sz w:val="24"/>
          <w:szCs w:val="24"/>
          <w:lang w:val="en-US" w:eastAsia="es-ES"/>
        </w:rPr>
        <w:t>Washington, DC, US: American Psychological Association.</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GB" w:eastAsia="es-ES"/>
        </w:rPr>
      </w:pPr>
      <w:r w:rsidRPr="00594AD0">
        <w:rPr>
          <w:rFonts w:ascii="Times New Roman" w:eastAsia="Times New Roman" w:hAnsi="Times New Roman" w:cs="Times New Roman"/>
          <w:sz w:val="24"/>
          <w:szCs w:val="24"/>
          <w:lang w:val="en-US" w:eastAsia="es-ES"/>
        </w:rPr>
        <w:t xml:space="preserve">Sonnentag, S., Kuttler, I., y Fritz, C. (2010). Job stressors, emotional exhaustion, and need for recovery: A multi-source study on the benefits of psychological detachment. </w:t>
      </w:r>
      <w:r w:rsidRPr="00594AD0">
        <w:rPr>
          <w:rFonts w:ascii="Times New Roman" w:eastAsia="Times New Roman" w:hAnsi="Times New Roman" w:cs="Times New Roman"/>
          <w:i/>
          <w:iCs/>
          <w:sz w:val="24"/>
          <w:szCs w:val="24"/>
          <w:lang w:val="en-US" w:eastAsia="es-ES"/>
        </w:rPr>
        <w:t>Journal of Vocational Behavior, 76</w:t>
      </w:r>
      <w:r w:rsidRPr="00594AD0">
        <w:rPr>
          <w:rFonts w:ascii="Times New Roman" w:eastAsia="Times New Roman" w:hAnsi="Times New Roman" w:cs="Times New Roman"/>
          <w:iCs/>
          <w:sz w:val="24"/>
          <w:szCs w:val="24"/>
          <w:lang w:val="en-US" w:eastAsia="es-ES"/>
        </w:rPr>
        <w:t>(3)</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GB" w:eastAsia="es-ES"/>
        </w:rPr>
        <w:t>355-365. doi: 10.1016/j.jvb.2009.06.005</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Sonnentag, S., y Fritz, C. (2007). The recovery experience questionnaire: Development and validation of a measure for assessing recuperation and unwinding from work. </w:t>
      </w:r>
      <w:r w:rsidRPr="00594AD0">
        <w:rPr>
          <w:rFonts w:ascii="Times New Roman" w:eastAsia="Times New Roman" w:hAnsi="Times New Roman" w:cs="Times New Roman"/>
          <w:i/>
          <w:iCs/>
          <w:sz w:val="24"/>
          <w:szCs w:val="24"/>
          <w:lang w:val="en-US" w:eastAsia="es-ES"/>
        </w:rPr>
        <w:t>Journal of Occupational Health Psychology, 12</w:t>
      </w:r>
      <w:r w:rsidRPr="00594AD0">
        <w:rPr>
          <w:rFonts w:ascii="Times New Roman" w:eastAsia="Times New Roman" w:hAnsi="Times New Roman" w:cs="Times New Roman"/>
          <w:iCs/>
          <w:sz w:val="24"/>
          <w:szCs w:val="24"/>
          <w:lang w:val="en-US" w:eastAsia="es-ES"/>
        </w:rPr>
        <w:t>(3)</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204–221. doi: 10.1037/1076-8998.12.3.204</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3132B9">
        <w:rPr>
          <w:rFonts w:ascii="Times New Roman" w:eastAsia="Times New Roman" w:hAnsi="Times New Roman" w:cs="Times New Roman"/>
          <w:sz w:val="24"/>
          <w:szCs w:val="24"/>
          <w:lang w:val="en-US" w:eastAsia="es-ES"/>
        </w:rPr>
        <w:t xml:space="preserve">Spector, P. E., y Jex, S. M. (1998). </w:t>
      </w:r>
      <w:r w:rsidRPr="00594AD0">
        <w:rPr>
          <w:rFonts w:ascii="Times New Roman" w:eastAsia="Times New Roman" w:hAnsi="Times New Roman" w:cs="Times New Roman"/>
          <w:sz w:val="24"/>
          <w:szCs w:val="24"/>
          <w:lang w:val="en-US" w:eastAsia="es-ES"/>
        </w:rPr>
        <w:t xml:space="preserve">Development of four self-report measures of job stressors and strain: Interpersonal conflict at work scale, organizational constraints scale, quantitative workload inventory, and physical symptoms inventory. </w:t>
      </w:r>
      <w:r w:rsidRPr="00594AD0">
        <w:rPr>
          <w:rFonts w:ascii="Times New Roman" w:eastAsia="Times New Roman" w:hAnsi="Times New Roman" w:cs="Times New Roman"/>
          <w:i/>
          <w:iCs/>
          <w:sz w:val="24"/>
          <w:szCs w:val="24"/>
          <w:lang w:val="en-US" w:eastAsia="es-ES"/>
        </w:rPr>
        <w:t>Journal of Occupational Health Psychology, 3</w:t>
      </w:r>
      <w:r w:rsidRPr="00594AD0">
        <w:rPr>
          <w:rFonts w:ascii="Times New Roman" w:eastAsia="Times New Roman" w:hAnsi="Times New Roman" w:cs="Times New Roman"/>
          <w:iCs/>
          <w:sz w:val="24"/>
          <w:szCs w:val="24"/>
          <w:lang w:val="en-US" w:eastAsia="es-ES"/>
        </w:rPr>
        <w:t>(4)</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356–367. doi: 10.1037/1076-8998.3.4.356</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Thompson, E. R. (2007). Development of an internationally reliable shortform of the Positive and Negative Affect Schedule (PANAS). </w:t>
      </w:r>
      <w:r w:rsidRPr="00594AD0">
        <w:rPr>
          <w:rFonts w:ascii="Times New Roman" w:eastAsia="Times New Roman" w:hAnsi="Times New Roman" w:cs="Times New Roman"/>
          <w:i/>
          <w:sz w:val="24"/>
          <w:szCs w:val="24"/>
          <w:lang w:val="en-US" w:eastAsia="es-ES"/>
        </w:rPr>
        <w:t>Journal of Cross-Cultural Psychology, 38</w:t>
      </w:r>
      <w:r w:rsidRPr="00594AD0">
        <w:rPr>
          <w:rFonts w:ascii="Times New Roman" w:eastAsia="Times New Roman" w:hAnsi="Times New Roman" w:cs="Times New Roman"/>
          <w:sz w:val="24"/>
          <w:szCs w:val="24"/>
          <w:lang w:val="en-US" w:eastAsia="es-ES"/>
        </w:rPr>
        <w:t>(2)</w:t>
      </w:r>
      <w:r w:rsidRPr="00594AD0">
        <w:rPr>
          <w:rFonts w:ascii="Times New Roman" w:eastAsia="Times New Roman" w:hAnsi="Times New Roman" w:cs="Times New Roman"/>
          <w:i/>
          <w:sz w:val="24"/>
          <w:szCs w:val="24"/>
          <w:lang w:val="en-US" w:eastAsia="es-ES"/>
        </w:rPr>
        <w:t>,</w:t>
      </w:r>
      <w:r w:rsidRPr="00594AD0">
        <w:rPr>
          <w:rFonts w:ascii="Times New Roman" w:eastAsia="Times New Roman" w:hAnsi="Times New Roman" w:cs="Times New Roman"/>
          <w:sz w:val="24"/>
          <w:szCs w:val="24"/>
          <w:lang w:val="en-US" w:eastAsia="es-ES"/>
        </w:rPr>
        <w:t xml:space="preserve"> 227–242. doi: 10.1177/0022022106297301</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GB" w:eastAsia="es-ES"/>
        </w:rPr>
        <w:t xml:space="preserve">Watson, D., y Clark, L. A. (1984). </w:t>
      </w:r>
      <w:r w:rsidRPr="00594AD0">
        <w:rPr>
          <w:rFonts w:ascii="Times New Roman" w:eastAsia="Times New Roman" w:hAnsi="Times New Roman" w:cs="Times New Roman"/>
          <w:sz w:val="24"/>
          <w:szCs w:val="24"/>
          <w:lang w:val="en-US" w:eastAsia="es-ES"/>
        </w:rPr>
        <w:t xml:space="preserve">Negative Affectivity: The disposition to experience aversive emotional states. </w:t>
      </w:r>
      <w:r w:rsidRPr="00594AD0">
        <w:rPr>
          <w:rFonts w:ascii="Times New Roman" w:eastAsia="Times New Roman" w:hAnsi="Times New Roman" w:cs="Times New Roman"/>
          <w:i/>
          <w:iCs/>
          <w:sz w:val="24"/>
          <w:szCs w:val="24"/>
          <w:lang w:val="en-US" w:eastAsia="es-ES"/>
        </w:rPr>
        <w:t>Psychological Bulletin, 96</w:t>
      </w:r>
      <w:r w:rsidRPr="00594AD0">
        <w:rPr>
          <w:rFonts w:ascii="Times New Roman" w:eastAsia="Times New Roman" w:hAnsi="Times New Roman" w:cs="Times New Roman"/>
          <w:iCs/>
          <w:sz w:val="24"/>
          <w:szCs w:val="24"/>
          <w:lang w:val="en-US" w:eastAsia="es-ES"/>
        </w:rPr>
        <w:t>(3)</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465-490. doi: 10.1037/0033-2909.96.3.465</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Watson, D., Clark, L. A., y Tellegen, A. (1988). Development and validation of brief measures of positive and negative affect: The PANAS scales. </w:t>
      </w:r>
      <w:r w:rsidRPr="00594AD0">
        <w:rPr>
          <w:rFonts w:ascii="Times New Roman" w:eastAsia="Times New Roman" w:hAnsi="Times New Roman" w:cs="Times New Roman"/>
          <w:i/>
          <w:iCs/>
          <w:sz w:val="24"/>
          <w:szCs w:val="24"/>
          <w:lang w:val="en-US" w:eastAsia="es-ES"/>
        </w:rPr>
        <w:t>Journal of Personality and Social Psychology, 54</w:t>
      </w:r>
      <w:r w:rsidRPr="00594AD0">
        <w:rPr>
          <w:rFonts w:ascii="Times New Roman" w:eastAsia="Times New Roman" w:hAnsi="Times New Roman" w:cs="Times New Roman"/>
          <w:iCs/>
          <w:sz w:val="24"/>
          <w:szCs w:val="24"/>
          <w:lang w:val="en-US" w:eastAsia="es-ES"/>
        </w:rPr>
        <w:t>(6)</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1063-1070. doi: 10.1037/0022-3514.54.6.1063</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Wharton, A. S. (1993). The Affective Consequences of Service Work: Managing Emotions on the Job. </w:t>
      </w:r>
      <w:r w:rsidRPr="00594AD0">
        <w:rPr>
          <w:rFonts w:ascii="Times New Roman" w:eastAsia="Times New Roman" w:hAnsi="Times New Roman" w:cs="Times New Roman"/>
          <w:i/>
          <w:iCs/>
          <w:sz w:val="24"/>
          <w:szCs w:val="24"/>
          <w:lang w:val="en-US" w:eastAsia="es-ES"/>
        </w:rPr>
        <w:t>Work and Occupations, 20</w:t>
      </w:r>
      <w:r w:rsidRPr="00594AD0">
        <w:rPr>
          <w:rFonts w:ascii="Times New Roman" w:eastAsia="Times New Roman" w:hAnsi="Times New Roman" w:cs="Times New Roman"/>
          <w:iCs/>
          <w:sz w:val="24"/>
          <w:szCs w:val="24"/>
          <w:lang w:val="en-US" w:eastAsia="es-ES"/>
        </w:rPr>
        <w:t>(2)</w:t>
      </w:r>
      <w:r w:rsidRPr="00594AD0">
        <w:rPr>
          <w:rFonts w:ascii="Times New Roman" w:eastAsia="Times New Roman" w:hAnsi="Times New Roman" w:cs="Times New Roman"/>
          <w:i/>
          <w:iCs/>
          <w:sz w:val="24"/>
          <w:szCs w:val="24"/>
          <w:lang w:val="en-US" w:eastAsia="es-ES"/>
        </w:rPr>
        <w:t>,</w:t>
      </w:r>
      <w:r w:rsidRPr="00594AD0">
        <w:rPr>
          <w:rFonts w:ascii="Times New Roman" w:eastAsia="Times New Roman" w:hAnsi="Times New Roman" w:cs="Times New Roman"/>
          <w:sz w:val="24"/>
          <w:szCs w:val="24"/>
          <w:lang w:val="en-US" w:eastAsia="es-ES"/>
        </w:rPr>
        <w:t xml:space="preserve"> 205-232. doi: 10.1177/0730888493020002004</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val="en-US" w:eastAsia="es-ES"/>
        </w:rPr>
      </w:pPr>
      <w:r w:rsidRPr="00594AD0">
        <w:rPr>
          <w:rFonts w:ascii="Times New Roman" w:eastAsia="Times New Roman" w:hAnsi="Times New Roman" w:cs="Times New Roman"/>
          <w:sz w:val="24"/>
          <w:szCs w:val="24"/>
          <w:lang w:val="en-US" w:eastAsia="es-ES"/>
        </w:rPr>
        <w:t xml:space="preserve">Xanthopoulou, D., Bakker, A. B., Demerouti, E., y Schaufeli, W. B. (2009). Work engagement and financial returns: A diary study on the role of job and personal resources. </w:t>
      </w:r>
      <w:r w:rsidRPr="00594AD0">
        <w:rPr>
          <w:rFonts w:ascii="Times New Roman" w:eastAsia="Times New Roman" w:hAnsi="Times New Roman" w:cs="Times New Roman"/>
          <w:i/>
          <w:iCs/>
          <w:sz w:val="24"/>
          <w:szCs w:val="24"/>
          <w:lang w:val="en-US" w:eastAsia="es-ES"/>
        </w:rPr>
        <w:t>Journal of Occupational and Organizational Psychology, 82</w:t>
      </w:r>
      <w:r w:rsidRPr="00594AD0">
        <w:rPr>
          <w:rFonts w:ascii="Times New Roman" w:eastAsia="Times New Roman" w:hAnsi="Times New Roman" w:cs="Times New Roman"/>
          <w:iCs/>
          <w:sz w:val="24"/>
          <w:szCs w:val="24"/>
          <w:lang w:val="en-US" w:eastAsia="es-ES"/>
        </w:rPr>
        <w:t>(1),</w:t>
      </w:r>
      <w:r w:rsidRPr="00594AD0">
        <w:rPr>
          <w:rFonts w:ascii="Times New Roman" w:eastAsia="Times New Roman" w:hAnsi="Times New Roman" w:cs="Times New Roman"/>
          <w:i/>
          <w:iCs/>
          <w:sz w:val="24"/>
          <w:szCs w:val="24"/>
          <w:lang w:val="en-US" w:eastAsia="es-ES"/>
        </w:rPr>
        <w:t xml:space="preserve"> </w:t>
      </w:r>
      <w:r w:rsidRPr="00594AD0">
        <w:rPr>
          <w:rFonts w:ascii="Times New Roman" w:eastAsia="Times New Roman" w:hAnsi="Times New Roman" w:cs="Times New Roman"/>
          <w:sz w:val="24"/>
          <w:szCs w:val="24"/>
          <w:lang w:val="en-US" w:eastAsia="es-ES"/>
        </w:rPr>
        <w:t>183–200. doi: 10.1348/096317908X285633</w:t>
      </w:r>
    </w:p>
    <w:p w:rsidR="00594AD0" w:rsidRPr="00594AD0" w:rsidRDefault="00594AD0" w:rsidP="00594AD0">
      <w:pPr>
        <w:spacing w:after="0" w:line="240" w:lineRule="auto"/>
        <w:ind w:left="284" w:hanging="284"/>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sectPr w:rsidR="00594AD0" w:rsidRPr="00594AD0">
          <w:headerReference w:type="default" r:id="rId11"/>
          <w:pgSz w:w="11906" w:h="16838"/>
          <w:pgMar w:top="1417" w:right="1701" w:bottom="1417" w:left="1701" w:header="708" w:footer="708" w:gutter="0"/>
          <w:cols w:space="708"/>
          <w:docGrid w:linePitch="360"/>
        </w:sectPr>
      </w:pPr>
    </w:p>
    <w:tbl>
      <w:tblPr>
        <w:tblW w:w="0" w:type="auto"/>
        <w:tblBorders>
          <w:top w:val="single" w:sz="2" w:space="0" w:color="000000"/>
        </w:tblBorders>
        <w:tblLook w:val="0020" w:firstRow="1" w:lastRow="0" w:firstColumn="0" w:lastColumn="0" w:noHBand="0" w:noVBand="0"/>
      </w:tblPr>
      <w:tblGrid>
        <w:gridCol w:w="2745"/>
        <w:gridCol w:w="531"/>
        <w:gridCol w:w="531"/>
        <w:gridCol w:w="441"/>
        <w:gridCol w:w="621"/>
        <w:gridCol w:w="561"/>
        <w:gridCol w:w="621"/>
        <w:gridCol w:w="621"/>
        <w:gridCol w:w="621"/>
        <w:gridCol w:w="621"/>
        <w:gridCol w:w="621"/>
        <w:gridCol w:w="621"/>
        <w:gridCol w:w="621"/>
        <w:gridCol w:w="621"/>
        <w:gridCol w:w="621"/>
        <w:gridCol w:w="621"/>
        <w:gridCol w:w="621"/>
        <w:gridCol w:w="621"/>
        <w:gridCol w:w="501"/>
        <w:gridCol w:w="396"/>
      </w:tblGrid>
      <w:tr w:rsidR="00594AD0" w:rsidRPr="00594AD0" w:rsidTr="00CC1D0D">
        <w:tc>
          <w:tcPr>
            <w:tcW w:w="0" w:type="auto"/>
            <w:gridSpan w:val="20"/>
            <w:tcBorders>
              <w:top w:val="nil"/>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iCs/>
                <w:sz w:val="24"/>
                <w:szCs w:val="24"/>
                <w:lang w:eastAsia="es-ES"/>
              </w:rPr>
            </w:pPr>
            <w:r w:rsidRPr="00594AD0">
              <w:rPr>
                <w:rFonts w:ascii="Times New Roman" w:eastAsia="Times New Roman" w:hAnsi="Times New Roman" w:cs="Times New Roman"/>
                <w:b/>
                <w:iCs/>
                <w:sz w:val="24"/>
                <w:szCs w:val="24"/>
                <w:lang w:eastAsia="es-ES"/>
              </w:rPr>
              <w:lastRenderedPageBreak/>
              <w:t>Tabla 1.</w:t>
            </w:r>
            <w:r w:rsidRPr="00594AD0">
              <w:rPr>
                <w:rFonts w:ascii="Times New Roman" w:eastAsia="Times New Roman" w:hAnsi="Times New Roman" w:cs="Times New Roman"/>
                <w:iCs/>
                <w:sz w:val="24"/>
                <w:szCs w:val="24"/>
                <w:lang w:eastAsia="es-ES"/>
              </w:rPr>
              <w:t xml:space="preserve"> Fiabilidad y Correlaciones de Pearson entre las variables del estudio</w:t>
            </w:r>
          </w:p>
        </w:tc>
      </w:tr>
      <w:tr w:rsidR="00594AD0" w:rsidRPr="00594AD0" w:rsidTr="00CC1D0D">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i/>
                <w:sz w:val="18"/>
                <w:szCs w:val="18"/>
                <w:lang w:eastAsia="es-ES"/>
              </w:rPr>
            </w:pP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M</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DT</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α</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4</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5</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6</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7</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8</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9</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10</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11</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12</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13</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14</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15</w:t>
            </w:r>
          </w:p>
        </w:tc>
        <w:tc>
          <w:tcPr>
            <w:tcW w:w="0" w:type="auto"/>
            <w:tcBorders>
              <w:top w:val="single" w:sz="2" w:space="0" w:color="000000"/>
              <w:bottom w:val="single" w:sz="2" w:space="0" w:color="000000"/>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16</w:t>
            </w:r>
          </w:p>
        </w:tc>
      </w:tr>
      <w:tr w:rsidR="00594AD0" w:rsidRPr="00594AD0" w:rsidTr="00CC1D0D">
        <w:trPr>
          <w:trHeight w:val="227"/>
        </w:trPr>
        <w:tc>
          <w:tcPr>
            <w:tcW w:w="0" w:type="auto"/>
            <w:tcBorders>
              <w:top w:val="single" w:sz="2" w:space="0" w:color="000000"/>
            </w:tcBorders>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Género</w:t>
            </w:r>
            <w:r w:rsidRPr="00594AD0">
              <w:rPr>
                <w:rFonts w:ascii="Times New Roman" w:eastAsia="Times New Roman" w:hAnsi="Times New Roman" w:cs="Times New Roman"/>
                <w:sz w:val="18"/>
                <w:szCs w:val="18"/>
                <w:vertAlign w:val="superscript"/>
                <w:lang w:eastAsia="es-ES"/>
              </w:rPr>
              <w:t>a</w:t>
            </w: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1.60</w:t>
            </w: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.49</w:t>
            </w: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tcBorders>
              <w:top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Estrés de Rol</w:t>
            </w:r>
            <w:r w:rsidRPr="00594AD0">
              <w:rPr>
                <w:rFonts w:ascii="Times New Roman" w:eastAsia="Times New Roman" w:hAnsi="Times New Roman" w:cs="Times New Roman"/>
                <w:sz w:val="18"/>
                <w:szCs w:val="18"/>
                <w:vertAlign w:val="superscript"/>
                <w:lang w:eastAsia="es-ES"/>
              </w:rPr>
              <w:t>a</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4.30</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.99</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.87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.05</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Agotamiento emocional</w:t>
            </w:r>
            <w:r w:rsidRPr="00594AD0">
              <w:rPr>
                <w:rFonts w:ascii="Times New Roman" w:eastAsia="Times New Roman" w:hAnsi="Times New Roman" w:cs="Times New Roman"/>
                <w:sz w:val="18"/>
                <w:szCs w:val="18"/>
                <w:vertAlign w:val="superscript"/>
                <w:lang w:eastAsia="es-ES"/>
              </w:rPr>
              <w:t>a</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2.17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1.39</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.90</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.01</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Afecto negativo</w:t>
            </w:r>
            <w:r w:rsidRPr="00594AD0">
              <w:rPr>
                <w:rFonts w:ascii="Times New Roman" w:eastAsia="Times New Roman" w:hAnsi="Times New Roman" w:cs="Times New Roman"/>
                <w:sz w:val="18"/>
                <w:szCs w:val="18"/>
                <w:vertAlign w:val="superscript"/>
                <w:lang w:eastAsia="es-ES"/>
              </w:rPr>
              <w:t>a</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2.17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.63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.76</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.16</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-20</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Afecto positivo</w:t>
            </w:r>
            <w:r w:rsidRPr="00594AD0">
              <w:rPr>
                <w:rFonts w:ascii="Times New Roman" w:eastAsia="Times New Roman" w:hAnsi="Times New Roman" w:cs="Times New Roman"/>
                <w:sz w:val="18"/>
                <w:szCs w:val="18"/>
                <w:vertAlign w:val="superscript"/>
                <w:lang w:eastAsia="es-ES"/>
              </w:rPr>
              <w:t>a</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3.83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.53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.80</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.17</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.32</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-.25</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Afecto negativo mañana</w:t>
            </w:r>
            <w:r w:rsidRPr="00594AD0">
              <w:rPr>
                <w:rFonts w:ascii="Times New Roman" w:eastAsia="Times New Roman" w:hAnsi="Times New Roman" w:cs="Times New Roman"/>
                <w:sz w:val="18"/>
                <w:szCs w:val="18"/>
                <w:vertAlign w:val="superscript"/>
                <w:lang w:eastAsia="es-ES"/>
              </w:rPr>
              <w:t>b</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1.50</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.68</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.79</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.05</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.06</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.42</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.35</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Afecto positivo mañana</w:t>
            </w:r>
            <w:r w:rsidRPr="00594AD0">
              <w:rPr>
                <w:rFonts w:ascii="Times New Roman" w:eastAsia="Times New Roman" w:hAnsi="Times New Roman" w:cs="Times New Roman"/>
                <w:sz w:val="18"/>
                <w:szCs w:val="18"/>
                <w:vertAlign w:val="superscript"/>
                <w:lang w:eastAsia="es-ES"/>
              </w:rPr>
              <w:t>b</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3.17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1.03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.89</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-.06</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-.26</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-.14</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-.22</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Incivismo laboral tarde</w:t>
            </w:r>
            <w:r w:rsidRPr="00594AD0">
              <w:rPr>
                <w:rFonts w:ascii="Times New Roman" w:eastAsia="Times New Roman" w:hAnsi="Times New Roman" w:cs="Times New Roman"/>
                <w:sz w:val="18"/>
                <w:szCs w:val="18"/>
                <w:vertAlign w:val="superscript"/>
                <w:lang w:eastAsia="es-ES"/>
              </w:rPr>
              <w:t>b</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1.26</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.57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.78</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-.04</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-.05</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.12</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.06</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.21</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.07</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Abuso verbal tarde</w:t>
            </w:r>
            <w:r w:rsidRPr="00594AD0">
              <w:rPr>
                <w:rFonts w:ascii="Times New Roman" w:eastAsia="Times New Roman" w:hAnsi="Times New Roman" w:cs="Times New Roman"/>
                <w:sz w:val="18"/>
                <w:szCs w:val="18"/>
                <w:vertAlign w:val="superscript"/>
                <w:lang w:eastAsia="es-ES"/>
              </w:rPr>
              <w:t>b</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1.18</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.35</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.71</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-.01</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-.02</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.05</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.44</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Agotamiento emocional tarde</w:t>
            </w:r>
            <w:r w:rsidRPr="00594AD0">
              <w:rPr>
                <w:rFonts w:ascii="Times New Roman" w:eastAsia="Times New Roman" w:hAnsi="Times New Roman" w:cs="Times New Roman"/>
                <w:sz w:val="18"/>
                <w:szCs w:val="18"/>
                <w:vertAlign w:val="superscript"/>
                <w:lang w:eastAsia="es-ES"/>
              </w:rPr>
              <w:t>b</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2.03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1.63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.90</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.11</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.24</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-.16</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.67</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Desconexión psicológica noche</w:t>
            </w:r>
            <w:r w:rsidRPr="00594AD0">
              <w:rPr>
                <w:rFonts w:ascii="Times New Roman" w:eastAsia="Times New Roman" w:hAnsi="Times New Roman" w:cs="Times New Roman"/>
                <w:sz w:val="18"/>
                <w:szCs w:val="18"/>
                <w:vertAlign w:val="superscript"/>
                <w:lang w:eastAsia="es-ES"/>
              </w:rPr>
              <w:t>b</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3.60</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1.07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.86</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.04</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.01</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-.10</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.06</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-.28</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-.10</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-.02</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-.16</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-.46</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Relajación noche</w:t>
            </w:r>
            <w:r w:rsidRPr="00594AD0">
              <w:rPr>
                <w:rFonts w:ascii="Times New Roman" w:eastAsia="Times New Roman" w:hAnsi="Times New Roman" w:cs="Times New Roman"/>
                <w:sz w:val="18"/>
                <w:szCs w:val="18"/>
                <w:vertAlign w:val="superscript"/>
                <w:lang w:eastAsia="es-ES"/>
              </w:rPr>
              <w:t>b</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3.68</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1.09</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.86</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.05</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-.10</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.15</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-.31</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-.14</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.05</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-.18</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-.45</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.63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Actividades enriquecedoras noche</w:t>
            </w:r>
            <w:r w:rsidRPr="00594AD0">
              <w:rPr>
                <w:rFonts w:ascii="Times New Roman" w:eastAsia="Times New Roman" w:hAnsi="Times New Roman" w:cs="Times New Roman"/>
                <w:sz w:val="18"/>
                <w:szCs w:val="18"/>
                <w:vertAlign w:val="superscript"/>
                <w:lang w:eastAsia="es-ES"/>
              </w:rPr>
              <w:t>b</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3.16</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1.31</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.94</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-.08</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-.20</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,013</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.05</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-.04</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-.28</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.32</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.50</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Control del tiempo libre noche</w:t>
            </w:r>
            <w:r w:rsidRPr="00594AD0">
              <w:rPr>
                <w:rFonts w:ascii="Times New Roman" w:eastAsia="Times New Roman" w:hAnsi="Times New Roman" w:cs="Times New Roman"/>
                <w:sz w:val="18"/>
                <w:szCs w:val="18"/>
                <w:vertAlign w:val="superscript"/>
                <w:lang w:eastAsia="es-ES"/>
              </w:rPr>
              <w:t>b</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3.91</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1.47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.67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.01</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-.07</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.18</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-.25</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-.18</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.11</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-.08</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-.14</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.39</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.63</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.38</w:t>
            </w:r>
            <w:r w:rsidRPr="00594AD0">
              <w:rPr>
                <w:rFonts w:ascii="Times New Roman" w:eastAsia="Times New Roman" w:hAnsi="Times New Roman" w:cs="Times New Roman"/>
                <w:sz w:val="18"/>
                <w:szCs w:val="18"/>
                <w:vertAlign w:val="superscript"/>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c>
          <w:tcPr>
            <w:tcW w:w="0" w:type="auto"/>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tcBorders>
              <w:bottom w:val="nil"/>
            </w:tcBorders>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Afecto negativo noche</w:t>
            </w:r>
            <w:r w:rsidRPr="00594AD0">
              <w:rPr>
                <w:rFonts w:ascii="Times New Roman" w:eastAsia="Times New Roman" w:hAnsi="Times New Roman" w:cs="Times New Roman"/>
                <w:sz w:val="18"/>
                <w:szCs w:val="18"/>
                <w:vertAlign w:val="superscript"/>
                <w:lang w:eastAsia="es-ES"/>
              </w:rPr>
              <w:t>b</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1.44</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.70</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.81</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.05</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.03</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.40</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-.11</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.36</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.52</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-.08</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.31</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.30</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.45</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-.25</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-.31</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-.17</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-.26</w:t>
            </w:r>
            <w:r w:rsidRPr="00594AD0">
              <w:rPr>
                <w:rFonts w:ascii="Times New Roman" w:eastAsia="Times New Roman" w:hAnsi="Times New Roman" w:cs="Times New Roman"/>
                <w:sz w:val="18"/>
                <w:szCs w:val="18"/>
                <w:vertAlign w:val="superscript"/>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c>
          <w:tcPr>
            <w:tcW w:w="0" w:type="auto"/>
            <w:tcBorders>
              <w:bottom w:val="nil"/>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p>
        </w:tc>
      </w:tr>
      <w:tr w:rsidR="00594AD0" w:rsidRPr="00594AD0" w:rsidTr="00CC1D0D">
        <w:trPr>
          <w:trHeight w:val="227"/>
        </w:trPr>
        <w:tc>
          <w:tcPr>
            <w:tcW w:w="0" w:type="auto"/>
            <w:tcBorders>
              <w:top w:val="nil"/>
              <w:bottom w:val="single" w:sz="2" w:space="0" w:color="000000"/>
            </w:tcBorders>
            <w:shd w:val="clear" w:color="auto" w:fill="auto"/>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Afecto positivo noche</w:t>
            </w:r>
            <w:r w:rsidRPr="00594AD0">
              <w:rPr>
                <w:rFonts w:ascii="Times New Roman" w:eastAsia="Times New Roman" w:hAnsi="Times New Roman" w:cs="Times New Roman"/>
                <w:sz w:val="18"/>
                <w:szCs w:val="18"/>
                <w:vertAlign w:val="superscript"/>
                <w:lang w:eastAsia="es-ES"/>
              </w:rPr>
              <w:t>b</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2.45</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Calibri" w:hAnsi="Times New Roman" w:cs="Times New Roman"/>
                <w:sz w:val="18"/>
                <w:szCs w:val="18"/>
                <w:lang w:eastAsia="es-ES"/>
              </w:rPr>
              <w:t>1.11</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.79</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-.21</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-.10</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-.08</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.22</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-.30</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-.07</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.36</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.03</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.05</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-.24</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.15</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.13</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.25</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.11</w:t>
            </w:r>
            <w:r w:rsidRPr="00594AD0">
              <w:rPr>
                <w:rFonts w:ascii="Times New Roman" w:eastAsia="Times New Roman" w:hAnsi="Times New Roman" w:cs="Times New Roman"/>
                <w:sz w:val="18"/>
                <w:szCs w:val="18"/>
                <w:vertAlign w:val="superscript"/>
                <w:lang w:eastAsia="es-ES"/>
              </w:rPr>
              <w:t>*</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-.04</w:t>
            </w:r>
          </w:p>
        </w:tc>
        <w:tc>
          <w:tcPr>
            <w:tcW w:w="0" w:type="auto"/>
            <w:tcBorders>
              <w:top w:val="nil"/>
              <w:bottom w:val="single" w:sz="2" w:space="0" w:color="000000"/>
            </w:tcBorders>
            <w:shd w:val="clear" w:color="auto" w:fill="auto"/>
            <w:vAlign w:val="center"/>
          </w:tcPr>
          <w:p w:rsidR="00594AD0" w:rsidRPr="00594AD0" w:rsidRDefault="00594AD0" w:rsidP="00594AD0">
            <w:pPr>
              <w:spacing w:after="0" w:line="240" w:lineRule="auto"/>
              <w:jc w:val="center"/>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lang w:eastAsia="es-ES"/>
              </w:rPr>
              <w:t>-</w:t>
            </w:r>
          </w:p>
        </w:tc>
      </w:tr>
      <w:tr w:rsidR="00594AD0" w:rsidRPr="00594AD0" w:rsidTr="00CC1D0D">
        <w:tc>
          <w:tcPr>
            <w:tcW w:w="0" w:type="auto"/>
            <w:gridSpan w:val="20"/>
            <w:tcBorders>
              <w:top w:val="single" w:sz="2" w:space="0" w:color="000000"/>
              <w:bottom w:val="nil"/>
            </w:tcBorders>
            <w:shd w:val="clear" w:color="auto" w:fill="auto"/>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vertAlign w:val="superscript"/>
                <w:lang w:eastAsia="es-ES"/>
              </w:rPr>
              <w:t>a</w:t>
            </w:r>
            <w:r w:rsidRPr="00594AD0">
              <w:rPr>
                <w:rFonts w:ascii="Times New Roman" w:eastAsia="Times New Roman" w:hAnsi="Times New Roman" w:cs="Times New Roman"/>
                <w:sz w:val="18"/>
                <w:szCs w:val="18"/>
                <w:lang w:eastAsia="es-ES"/>
              </w:rPr>
              <w:t xml:space="preserve">Predictores del nivel 2, </w:t>
            </w:r>
            <w:r w:rsidRPr="00594AD0">
              <w:rPr>
                <w:rFonts w:ascii="Times New Roman" w:eastAsia="Times New Roman" w:hAnsi="Times New Roman" w:cs="Times New Roman"/>
                <w:i/>
                <w:sz w:val="18"/>
                <w:szCs w:val="18"/>
                <w:lang w:eastAsia="es-ES"/>
              </w:rPr>
              <w:t>person-level</w:t>
            </w:r>
            <w:r w:rsidRPr="00594AD0">
              <w:rPr>
                <w:rFonts w:ascii="Times New Roman" w:eastAsia="Times New Roman" w:hAnsi="Times New Roman" w:cs="Times New Roman"/>
                <w:sz w:val="18"/>
                <w:szCs w:val="18"/>
                <w:lang w:eastAsia="es-ES"/>
              </w:rPr>
              <w:t xml:space="preserve">. </w:t>
            </w:r>
            <w:r w:rsidRPr="00594AD0">
              <w:rPr>
                <w:rFonts w:ascii="Times New Roman" w:eastAsia="Times New Roman" w:hAnsi="Times New Roman" w:cs="Times New Roman"/>
                <w:sz w:val="18"/>
                <w:szCs w:val="18"/>
                <w:vertAlign w:val="superscript"/>
                <w:lang w:eastAsia="es-ES"/>
              </w:rPr>
              <w:t>b</w:t>
            </w:r>
            <w:r w:rsidRPr="00594AD0">
              <w:rPr>
                <w:rFonts w:ascii="Times New Roman" w:eastAsia="Times New Roman" w:hAnsi="Times New Roman" w:cs="Times New Roman"/>
                <w:sz w:val="18"/>
                <w:szCs w:val="18"/>
                <w:lang w:eastAsia="es-ES"/>
              </w:rPr>
              <w:t xml:space="preserve">Predictores del nivel 1, </w:t>
            </w:r>
            <w:r w:rsidRPr="00594AD0">
              <w:rPr>
                <w:rFonts w:ascii="Times New Roman" w:eastAsia="Times New Roman" w:hAnsi="Times New Roman" w:cs="Times New Roman"/>
                <w:i/>
                <w:sz w:val="18"/>
                <w:szCs w:val="18"/>
                <w:lang w:eastAsia="es-ES"/>
              </w:rPr>
              <w:t>day-level</w:t>
            </w:r>
            <w:r w:rsidRPr="00594AD0">
              <w:rPr>
                <w:rFonts w:ascii="Times New Roman" w:eastAsia="Times New Roman" w:hAnsi="Times New Roman" w:cs="Times New Roman"/>
                <w:sz w:val="18"/>
                <w:szCs w:val="18"/>
                <w:lang w:eastAsia="es-ES"/>
              </w:rPr>
              <w:t>.</w:t>
            </w:r>
          </w:p>
          <w:p w:rsidR="00594AD0" w:rsidRPr="00594AD0" w:rsidRDefault="00594AD0" w:rsidP="00594AD0">
            <w:pPr>
              <w:spacing w:after="0" w:line="240" w:lineRule="auto"/>
              <w:rPr>
                <w:rFonts w:ascii="Times New Roman" w:eastAsia="Times New Roman" w:hAnsi="Times New Roman" w:cs="Times New Roman"/>
                <w:i/>
                <w:sz w:val="18"/>
                <w:szCs w:val="18"/>
                <w:lang w:eastAsia="es-ES"/>
              </w:rPr>
            </w:pPr>
            <w:r w:rsidRPr="00594AD0">
              <w:rPr>
                <w:rFonts w:ascii="Times New Roman" w:eastAsia="Calibri" w:hAnsi="Times New Roman" w:cs="Times New Roman"/>
                <w:sz w:val="16"/>
                <w:szCs w:val="16"/>
                <w:lang w:val="en-US"/>
              </w:rPr>
              <w:t>*</w:t>
            </w:r>
            <w:r w:rsidRPr="00594AD0">
              <w:rPr>
                <w:rFonts w:ascii="Times New Roman" w:eastAsia="Calibri" w:hAnsi="Times New Roman" w:cs="Times New Roman"/>
                <w:i/>
                <w:sz w:val="16"/>
                <w:szCs w:val="16"/>
                <w:lang w:val="en-US"/>
              </w:rPr>
              <w:t xml:space="preserve"> p </w:t>
            </w:r>
            <w:r w:rsidRPr="00594AD0">
              <w:rPr>
                <w:rFonts w:ascii="Times New Roman" w:eastAsia="Calibri" w:hAnsi="Times New Roman" w:cs="Times New Roman"/>
                <w:sz w:val="16"/>
                <w:szCs w:val="16"/>
                <w:lang w:val="en-US"/>
              </w:rPr>
              <w:t>&lt; .05</w:t>
            </w:r>
            <w:r w:rsidRPr="00594AD0">
              <w:rPr>
                <w:rFonts w:ascii="Times New Roman" w:eastAsia="Calibri" w:hAnsi="Times New Roman" w:cs="Times New Roman"/>
                <w:i/>
                <w:sz w:val="16"/>
                <w:szCs w:val="16"/>
                <w:lang w:val="en-US"/>
              </w:rPr>
              <w:t xml:space="preserve">, ** p </w:t>
            </w:r>
            <w:r w:rsidRPr="00594AD0">
              <w:rPr>
                <w:rFonts w:ascii="Times New Roman" w:eastAsia="Calibri" w:hAnsi="Times New Roman" w:cs="Times New Roman"/>
                <w:sz w:val="16"/>
                <w:szCs w:val="16"/>
                <w:lang w:val="en-US"/>
              </w:rPr>
              <w:t>&lt; .01</w:t>
            </w:r>
            <w:r w:rsidRPr="00594AD0">
              <w:rPr>
                <w:rFonts w:ascii="Times New Roman" w:eastAsia="Calibri" w:hAnsi="Times New Roman" w:cs="Times New Roman"/>
                <w:i/>
                <w:sz w:val="16"/>
                <w:szCs w:val="16"/>
                <w:lang w:val="en-US"/>
              </w:rPr>
              <w:t xml:space="preserve">, </w:t>
            </w:r>
            <w:r w:rsidRPr="00594AD0">
              <w:rPr>
                <w:rFonts w:ascii="Times New Roman" w:eastAsia="Calibri" w:hAnsi="Times New Roman" w:cs="Times New Roman"/>
                <w:sz w:val="16"/>
                <w:szCs w:val="16"/>
                <w:lang w:val="en-US"/>
              </w:rPr>
              <w:t>***</w:t>
            </w:r>
            <w:r w:rsidRPr="00594AD0">
              <w:rPr>
                <w:rFonts w:ascii="Times New Roman" w:eastAsia="Calibri" w:hAnsi="Times New Roman" w:cs="Times New Roman"/>
                <w:i/>
                <w:sz w:val="16"/>
                <w:szCs w:val="16"/>
                <w:lang w:val="en-US"/>
              </w:rPr>
              <w:t xml:space="preserve"> p </w:t>
            </w:r>
            <w:r w:rsidRPr="00594AD0">
              <w:rPr>
                <w:rFonts w:ascii="Times New Roman" w:eastAsia="Calibri" w:hAnsi="Times New Roman" w:cs="Times New Roman"/>
                <w:sz w:val="16"/>
                <w:szCs w:val="16"/>
                <w:lang w:val="en-US"/>
              </w:rPr>
              <w:t>&lt; .001</w:t>
            </w:r>
            <w:r w:rsidRPr="00594AD0">
              <w:rPr>
                <w:rFonts w:ascii="Times New Roman" w:eastAsia="Calibri" w:hAnsi="Times New Roman" w:cs="Times New Roman"/>
                <w:i/>
                <w:sz w:val="16"/>
                <w:szCs w:val="16"/>
                <w:lang w:val="en-US"/>
              </w:rPr>
              <w:t>.</w:t>
            </w:r>
          </w:p>
        </w:tc>
      </w:tr>
    </w:tbl>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tbl>
      <w:tblPr>
        <w:tblW w:w="0" w:type="auto"/>
        <w:tblBorders>
          <w:top w:val="single" w:sz="4" w:space="0" w:color="auto"/>
          <w:bottom w:val="single" w:sz="4" w:space="0" w:color="auto"/>
        </w:tblBorders>
        <w:tblCellMar>
          <w:top w:w="57" w:type="dxa"/>
          <w:left w:w="85" w:type="dxa"/>
          <w:bottom w:w="57" w:type="dxa"/>
          <w:right w:w="85" w:type="dxa"/>
        </w:tblCellMar>
        <w:tblLook w:val="00A0" w:firstRow="1" w:lastRow="0" w:firstColumn="1" w:lastColumn="0" w:noHBand="0" w:noVBand="0"/>
      </w:tblPr>
      <w:tblGrid>
        <w:gridCol w:w="2545"/>
        <w:gridCol w:w="1031"/>
        <w:gridCol w:w="500"/>
        <w:gridCol w:w="686"/>
        <w:gridCol w:w="1031"/>
        <w:gridCol w:w="500"/>
        <w:gridCol w:w="964"/>
        <w:gridCol w:w="1031"/>
        <w:gridCol w:w="500"/>
        <w:gridCol w:w="871"/>
        <w:gridCol w:w="1031"/>
        <w:gridCol w:w="500"/>
        <w:gridCol w:w="778"/>
      </w:tblGrid>
      <w:tr w:rsidR="00594AD0" w:rsidRPr="00594AD0" w:rsidTr="00CC1D0D">
        <w:tc>
          <w:tcPr>
            <w:tcW w:w="11968" w:type="dxa"/>
            <w:gridSpan w:val="13"/>
            <w:tcBorders>
              <w:top w:val="nil"/>
              <w:left w:val="nil"/>
              <w:bottom w:val="single" w:sz="4" w:space="0" w:color="auto"/>
              <w:right w:val="nil"/>
            </w:tcBorders>
            <w:vAlign w:val="center"/>
          </w:tcPr>
          <w:p w:rsidR="00594AD0" w:rsidRPr="00594AD0" w:rsidRDefault="00594AD0" w:rsidP="00594AD0">
            <w:pPr>
              <w:spacing w:after="0" w:line="240" w:lineRule="auto"/>
              <w:rPr>
                <w:rFonts w:ascii="Times New Roman" w:eastAsia="Calibri" w:hAnsi="Times New Roman" w:cs="Times New Roman"/>
                <w:sz w:val="24"/>
                <w:szCs w:val="24"/>
              </w:rPr>
            </w:pPr>
            <w:r w:rsidRPr="00594AD0">
              <w:rPr>
                <w:rFonts w:ascii="Times New Roman" w:eastAsia="Calibri" w:hAnsi="Times New Roman" w:cs="Times New Roman"/>
                <w:b/>
                <w:sz w:val="24"/>
                <w:szCs w:val="24"/>
              </w:rPr>
              <w:lastRenderedPageBreak/>
              <w:t>Tabla 2.</w:t>
            </w:r>
            <w:r w:rsidRPr="00594AD0">
              <w:rPr>
                <w:rFonts w:ascii="Times New Roman" w:eastAsia="Calibri" w:hAnsi="Times New Roman" w:cs="Times New Roman"/>
                <w:sz w:val="24"/>
                <w:szCs w:val="24"/>
              </w:rPr>
              <w:t xml:space="preserve"> Resultados multinivel de las variables predictoras del agotamiento emocional de la tarde</w:t>
            </w:r>
          </w:p>
        </w:tc>
      </w:tr>
      <w:tr w:rsidR="00594AD0" w:rsidRPr="00594AD0" w:rsidTr="00CC1D0D">
        <w:tc>
          <w:tcPr>
            <w:tcW w:w="2468" w:type="dxa"/>
            <w:vMerge w:val="restart"/>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Variables</w:t>
            </w:r>
          </w:p>
        </w:tc>
        <w:tc>
          <w:tcPr>
            <w:tcW w:w="0" w:type="auto"/>
            <w:gridSpan w:val="3"/>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Null Model</w:t>
            </w:r>
          </w:p>
        </w:tc>
        <w:tc>
          <w:tcPr>
            <w:tcW w:w="0" w:type="auto"/>
            <w:gridSpan w:val="3"/>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1</w:t>
            </w:r>
          </w:p>
        </w:tc>
        <w:tc>
          <w:tcPr>
            <w:tcW w:w="0" w:type="auto"/>
            <w:gridSpan w:val="3"/>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2</w:t>
            </w:r>
          </w:p>
        </w:tc>
        <w:tc>
          <w:tcPr>
            <w:tcW w:w="0" w:type="auto"/>
            <w:gridSpan w:val="3"/>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3</w:t>
            </w:r>
          </w:p>
        </w:tc>
      </w:tr>
      <w:tr w:rsidR="00594AD0" w:rsidRPr="00594AD0" w:rsidTr="00CC1D0D">
        <w:tc>
          <w:tcPr>
            <w:tcW w:w="2468" w:type="dxa"/>
            <w:vMerge/>
            <w:tcBorders>
              <w:top w:val="single" w:sz="4" w:space="0" w:color="auto"/>
              <w:left w:val="nil"/>
              <w:bottom w:val="single" w:sz="4" w:space="0" w:color="auto"/>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r>
      <w:tr w:rsidR="00594AD0" w:rsidRPr="00594AD0" w:rsidTr="00CC1D0D">
        <w:tc>
          <w:tcPr>
            <w:tcW w:w="2468" w:type="dxa"/>
            <w:tcBorders>
              <w:top w:val="single" w:sz="4" w:space="0" w:color="auto"/>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Constante</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2.035</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.142</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14.330</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2.035</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.092</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22.119</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2.035</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.092</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22.119</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2.044</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.092</w:t>
            </w:r>
          </w:p>
        </w:tc>
        <w:tc>
          <w:tcPr>
            <w:tcW w:w="0" w:type="auto"/>
            <w:tcBorders>
              <w:top w:val="single" w:sz="4" w:space="0" w:color="auto"/>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22.217</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vertAlign w:val="superscript"/>
              </w:rPr>
            </w:pPr>
            <w:r w:rsidRPr="00594AD0">
              <w:rPr>
                <w:rFonts w:ascii="Times New Roman" w:eastAsia="Calibri" w:hAnsi="Times New Roman" w:cs="Times New Roman"/>
                <w:sz w:val="18"/>
                <w:szCs w:val="18"/>
              </w:rPr>
              <w:t>Género</w:t>
            </w:r>
            <w:r w:rsidRPr="00594AD0">
              <w:rPr>
                <w:rFonts w:ascii="Times New Roman" w:eastAsia="Calibri" w:hAnsi="Times New Roman" w:cs="Times New Roman"/>
                <w:sz w:val="18"/>
                <w:szCs w:val="18"/>
                <w:vertAlign w:val="superscript"/>
              </w:rPr>
              <w:t>a</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-.007</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.010</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-.007</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.010</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-.007</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.010</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Estrés de Rol</w:t>
            </w:r>
            <w:r w:rsidRPr="00594AD0">
              <w:rPr>
                <w:rFonts w:ascii="Times New Roman" w:eastAsia="Calibri" w:hAnsi="Times New Roman" w:cs="Times New Roman"/>
                <w:sz w:val="18"/>
                <w:szCs w:val="18"/>
                <w:vertAlign w:val="superscript"/>
              </w:rPr>
              <w:t>a</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-.003</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.096</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-.031</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-.003</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.096</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-.031</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-.006</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.096</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-.062</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Agotamiento emocional</w:t>
            </w:r>
            <w:r w:rsidRPr="00594AD0">
              <w:rPr>
                <w:rFonts w:ascii="Times New Roman" w:eastAsia="Calibri" w:hAnsi="Times New Roman" w:cs="Times New Roman"/>
                <w:sz w:val="18"/>
                <w:szCs w:val="18"/>
                <w:vertAlign w:val="superscript"/>
              </w:rPr>
              <w:t>a</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.786</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.068</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11.558***</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.786</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.068</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11.558**</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.782</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.068</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11.5**</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Afecto positivo mañana</w:t>
            </w:r>
            <w:r w:rsidRPr="00594AD0">
              <w:rPr>
                <w:rFonts w:ascii="Times New Roman" w:eastAsia="Calibri" w:hAnsi="Times New Roman" w:cs="Times New Roman"/>
                <w:sz w:val="18"/>
                <w:szCs w:val="18"/>
                <w:vertAlign w:val="superscript"/>
              </w:rPr>
              <w:t>b</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-.022</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.057</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-.385</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-.049</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.057</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-.859</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Afecto negativo mañana</w:t>
            </w:r>
            <w:r w:rsidRPr="00594AD0">
              <w:rPr>
                <w:rFonts w:ascii="Times New Roman" w:eastAsia="Calibri" w:hAnsi="Times New Roman" w:cs="Times New Roman"/>
                <w:sz w:val="18"/>
                <w:szCs w:val="18"/>
                <w:vertAlign w:val="superscript"/>
              </w:rPr>
              <w:t>b</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.255</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.090</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2.833*</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.171</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.090</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1.9</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Incivismo laboral tarde</w:t>
            </w:r>
            <w:r w:rsidRPr="00594AD0">
              <w:rPr>
                <w:rFonts w:ascii="Times New Roman" w:eastAsia="Calibri" w:hAnsi="Times New Roman" w:cs="Times New Roman"/>
                <w:sz w:val="18"/>
                <w:szCs w:val="18"/>
                <w:vertAlign w:val="superscript"/>
              </w:rPr>
              <w:t>b</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.233</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.105</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2.219*</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Abuso verbal tarde</w:t>
            </w:r>
            <w:r w:rsidRPr="00594AD0">
              <w:rPr>
                <w:rFonts w:ascii="Times New Roman" w:eastAsia="Calibri" w:hAnsi="Times New Roman" w:cs="Times New Roman"/>
                <w:sz w:val="18"/>
                <w:szCs w:val="18"/>
                <w:vertAlign w:val="superscript"/>
              </w:rPr>
              <w:t>b</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.733</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.200</w:t>
            </w: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r w:rsidRPr="00594AD0">
              <w:rPr>
                <w:rFonts w:ascii="Times New Roman" w:eastAsia="Calibri" w:hAnsi="Times New Roman" w:cs="Times New Roman"/>
                <w:sz w:val="18"/>
                <w:szCs w:val="18"/>
                <w:lang w:val="en-US"/>
              </w:rPr>
              <w:t>3.665**</w:t>
            </w:r>
          </w:p>
        </w:tc>
      </w:tr>
      <w:tr w:rsidR="00594AD0" w:rsidRPr="00594AD0" w:rsidTr="00CC1D0D">
        <w:trPr>
          <w:trHeight w:val="57"/>
        </w:trPr>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sz w:val="18"/>
                <w:szCs w:val="18"/>
                <w:lang w:val="en-US"/>
              </w:rPr>
            </w:pPr>
          </w:p>
          <w:p w:rsidR="00594AD0" w:rsidRPr="00594AD0" w:rsidRDefault="00594AD0" w:rsidP="00594AD0">
            <w:pPr>
              <w:spacing w:after="0" w:line="240" w:lineRule="auto"/>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c>
          <w:tcPr>
            <w:tcW w:w="0" w:type="auto"/>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lang w:val="en-US"/>
              </w:rPr>
            </w:pP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-2 X Log (lh)</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1562.911</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1472.135</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1463.029</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1420.395</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Difference of -2 X Log</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90.776***</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9.106**</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42.634***</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Df</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r>
      <w:tr w:rsidR="00594AD0" w:rsidRPr="00594AD0" w:rsidTr="00CC1D0D">
        <w:tc>
          <w:tcPr>
            <w:tcW w:w="2468" w:type="dxa"/>
            <w:tcBorders>
              <w:top w:val="nil"/>
              <w:left w:val="nil"/>
              <w:bottom w:val="nil"/>
              <w:right w:val="nil"/>
            </w:tcBorders>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Level 1 intercept variance (SE)</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.668 (.046)</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.668 (.046)</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.654 (.025)</w:t>
            </w:r>
          </w:p>
        </w:tc>
        <w:tc>
          <w:tcPr>
            <w:tcW w:w="0" w:type="auto"/>
            <w:gridSpan w:val="3"/>
            <w:tcBorders>
              <w:top w:val="nil"/>
              <w:left w:val="nil"/>
              <w:bottom w:val="nil"/>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.623 (.043)</w:t>
            </w:r>
          </w:p>
        </w:tc>
      </w:tr>
      <w:tr w:rsidR="00594AD0" w:rsidRPr="00594AD0" w:rsidTr="00CC1D0D">
        <w:tc>
          <w:tcPr>
            <w:tcW w:w="2468" w:type="dxa"/>
            <w:tcBorders>
              <w:top w:val="nil"/>
              <w:left w:val="nil"/>
              <w:bottom w:val="single" w:sz="4" w:space="0" w:color="auto"/>
              <w:right w:val="nil"/>
            </w:tcBorders>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Level 2 intercept variance (SE)</w:t>
            </w:r>
          </w:p>
        </w:tc>
        <w:tc>
          <w:tcPr>
            <w:tcW w:w="0" w:type="auto"/>
            <w:gridSpan w:val="3"/>
            <w:tcBorders>
              <w:top w:val="nil"/>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1.983 (.292)</w:t>
            </w:r>
          </w:p>
        </w:tc>
        <w:tc>
          <w:tcPr>
            <w:tcW w:w="0" w:type="auto"/>
            <w:gridSpan w:val="3"/>
            <w:tcBorders>
              <w:top w:val="nil"/>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.758 (.124)</w:t>
            </w:r>
          </w:p>
        </w:tc>
        <w:tc>
          <w:tcPr>
            <w:tcW w:w="0" w:type="auto"/>
            <w:gridSpan w:val="3"/>
            <w:tcBorders>
              <w:top w:val="nil"/>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.761 (.123)</w:t>
            </w:r>
          </w:p>
        </w:tc>
        <w:tc>
          <w:tcPr>
            <w:tcW w:w="0" w:type="auto"/>
            <w:gridSpan w:val="3"/>
            <w:tcBorders>
              <w:top w:val="nil"/>
              <w:left w:val="nil"/>
              <w:bottom w:val="single" w:sz="4" w:space="0" w:color="auto"/>
              <w:right w:val="nil"/>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.759 (.123)</w:t>
            </w:r>
          </w:p>
        </w:tc>
      </w:tr>
      <w:tr w:rsidR="00594AD0" w:rsidRPr="00594AD0" w:rsidTr="00CC1D0D">
        <w:tc>
          <w:tcPr>
            <w:tcW w:w="11968" w:type="dxa"/>
            <w:gridSpan w:val="13"/>
            <w:tcBorders>
              <w:top w:val="single" w:sz="4" w:space="0" w:color="auto"/>
              <w:left w:val="nil"/>
              <w:bottom w:val="nil"/>
              <w:right w:val="nil"/>
            </w:tcBorders>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vertAlign w:val="superscript"/>
                <w:lang w:eastAsia="es-ES"/>
              </w:rPr>
              <w:t>a</w:t>
            </w:r>
            <w:r w:rsidRPr="00594AD0">
              <w:rPr>
                <w:rFonts w:ascii="Times New Roman" w:eastAsia="Times New Roman" w:hAnsi="Times New Roman" w:cs="Times New Roman"/>
                <w:sz w:val="18"/>
                <w:szCs w:val="18"/>
                <w:lang w:eastAsia="es-ES"/>
              </w:rPr>
              <w:t xml:space="preserve">Predictores del nivel 2, </w:t>
            </w:r>
            <w:r w:rsidRPr="00594AD0">
              <w:rPr>
                <w:rFonts w:ascii="Times New Roman" w:eastAsia="Times New Roman" w:hAnsi="Times New Roman" w:cs="Times New Roman"/>
                <w:i/>
                <w:sz w:val="18"/>
                <w:szCs w:val="18"/>
                <w:lang w:eastAsia="es-ES"/>
              </w:rPr>
              <w:t>person-level</w:t>
            </w:r>
            <w:r w:rsidRPr="00594AD0">
              <w:rPr>
                <w:rFonts w:ascii="Times New Roman" w:eastAsia="Times New Roman" w:hAnsi="Times New Roman" w:cs="Times New Roman"/>
                <w:sz w:val="18"/>
                <w:szCs w:val="18"/>
                <w:lang w:eastAsia="es-ES"/>
              </w:rPr>
              <w:t xml:space="preserve">. </w:t>
            </w:r>
            <w:r w:rsidRPr="00594AD0">
              <w:rPr>
                <w:rFonts w:ascii="Times New Roman" w:eastAsia="Times New Roman" w:hAnsi="Times New Roman" w:cs="Times New Roman"/>
                <w:sz w:val="18"/>
                <w:szCs w:val="18"/>
                <w:vertAlign w:val="superscript"/>
                <w:lang w:eastAsia="es-ES"/>
              </w:rPr>
              <w:t>b</w:t>
            </w:r>
            <w:r w:rsidRPr="00594AD0">
              <w:rPr>
                <w:rFonts w:ascii="Times New Roman" w:eastAsia="Times New Roman" w:hAnsi="Times New Roman" w:cs="Times New Roman"/>
                <w:sz w:val="18"/>
                <w:szCs w:val="18"/>
                <w:lang w:eastAsia="es-ES"/>
              </w:rPr>
              <w:t xml:space="preserve">Predictores del nivel 1, </w:t>
            </w:r>
            <w:r w:rsidRPr="00594AD0">
              <w:rPr>
                <w:rFonts w:ascii="Times New Roman" w:eastAsia="Times New Roman" w:hAnsi="Times New Roman" w:cs="Times New Roman"/>
                <w:i/>
                <w:sz w:val="18"/>
                <w:szCs w:val="18"/>
                <w:lang w:eastAsia="es-ES"/>
              </w:rPr>
              <w:t>day-level</w:t>
            </w:r>
            <w:r w:rsidRPr="00594AD0">
              <w:rPr>
                <w:rFonts w:ascii="Times New Roman" w:eastAsia="Times New Roman" w:hAnsi="Times New Roman" w:cs="Times New Roman"/>
                <w:sz w:val="18"/>
                <w:szCs w:val="18"/>
                <w:lang w:eastAsia="es-ES"/>
              </w:rPr>
              <w:t>.</w:t>
            </w:r>
          </w:p>
          <w:p w:rsidR="00594AD0" w:rsidRPr="00594AD0" w:rsidRDefault="00594AD0" w:rsidP="00594AD0">
            <w:pPr>
              <w:spacing w:after="0" w:line="240" w:lineRule="auto"/>
              <w:rPr>
                <w:rFonts w:ascii="Times New Roman" w:eastAsia="Calibri" w:hAnsi="Times New Roman" w:cs="Times New Roman"/>
                <w:sz w:val="18"/>
                <w:szCs w:val="18"/>
                <w:lang w:val="en-US"/>
              </w:rPr>
            </w:pPr>
            <w:r w:rsidRPr="00594AD0">
              <w:rPr>
                <w:rFonts w:ascii="Times New Roman" w:eastAsia="Calibri" w:hAnsi="Times New Roman" w:cs="Times New Roman"/>
                <w:sz w:val="16"/>
                <w:szCs w:val="16"/>
                <w:lang w:val="en-US"/>
              </w:rPr>
              <w:t>*</w:t>
            </w:r>
            <w:r w:rsidRPr="00594AD0">
              <w:rPr>
                <w:rFonts w:ascii="Times New Roman" w:eastAsia="Calibri" w:hAnsi="Times New Roman" w:cs="Times New Roman"/>
                <w:i/>
                <w:sz w:val="16"/>
                <w:szCs w:val="16"/>
                <w:lang w:val="en-US"/>
              </w:rPr>
              <w:t xml:space="preserve"> p </w:t>
            </w:r>
            <w:r w:rsidRPr="00594AD0">
              <w:rPr>
                <w:rFonts w:ascii="Times New Roman" w:eastAsia="Calibri" w:hAnsi="Times New Roman" w:cs="Times New Roman"/>
                <w:sz w:val="16"/>
                <w:szCs w:val="16"/>
                <w:lang w:val="en-US"/>
              </w:rPr>
              <w:t>&lt; .05</w:t>
            </w:r>
            <w:r w:rsidRPr="00594AD0">
              <w:rPr>
                <w:rFonts w:ascii="Times New Roman" w:eastAsia="Calibri" w:hAnsi="Times New Roman" w:cs="Times New Roman"/>
                <w:i/>
                <w:sz w:val="16"/>
                <w:szCs w:val="16"/>
                <w:lang w:val="en-US"/>
              </w:rPr>
              <w:t xml:space="preserve">, ** p </w:t>
            </w:r>
            <w:r w:rsidRPr="00594AD0">
              <w:rPr>
                <w:rFonts w:ascii="Times New Roman" w:eastAsia="Calibri" w:hAnsi="Times New Roman" w:cs="Times New Roman"/>
                <w:sz w:val="16"/>
                <w:szCs w:val="16"/>
                <w:lang w:val="en-US"/>
              </w:rPr>
              <w:t>&lt; .01</w:t>
            </w:r>
            <w:r w:rsidRPr="00594AD0">
              <w:rPr>
                <w:rFonts w:ascii="Times New Roman" w:eastAsia="Calibri" w:hAnsi="Times New Roman" w:cs="Times New Roman"/>
                <w:i/>
                <w:sz w:val="16"/>
                <w:szCs w:val="16"/>
                <w:lang w:val="en-US"/>
              </w:rPr>
              <w:t xml:space="preserve">, </w:t>
            </w:r>
            <w:r w:rsidRPr="00594AD0">
              <w:rPr>
                <w:rFonts w:ascii="Times New Roman" w:eastAsia="Calibri" w:hAnsi="Times New Roman" w:cs="Times New Roman"/>
                <w:sz w:val="16"/>
                <w:szCs w:val="16"/>
                <w:lang w:val="en-US"/>
              </w:rPr>
              <w:t>***</w:t>
            </w:r>
            <w:r w:rsidRPr="00594AD0">
              <w:rPr>
                <w:rFonts w:ascii="Times New Roman" w:eastAsia="Calibri" w:hAnsi="Times New Roman" w:cs="Times New Roman"/>
                <w:i/>
                <w:sz w:val="16"/>
                <w:szCs w:val="16"/>
                <w:lang w:val="en-US"/>
              </w:rPr>
              <w:t xml:space="preserve"> p </w:t>
            </w:r>
            <w:r w:rsidRPr="00594AD0">
              <w:rPr>
                <w:rFonts w:ascii="Times New Roman" w:eastAsia="Calibri" w:hAnsi="Times New Roman" w:cs="Times New Roman"/>
                <w:sz w:val="16"/>
                <w:szCs w:val="16"/>
                <w:lang w:val="en-US"/>
              </w:rPr>
              <w:t>&lt; .001</w:t>
            </w:r>
            <w:r w:rsidRPr="00594AD0">
              <w:rPr>
                <w:rFonts w:ascii="Times New Roman" w:eastAsia="Calibri" w:hAnsi="Times New Roman" w:cs="Times New Roman"/>
                <w:i/>
                <w:sz w:val="16"/>
                <w:szCs w:val="16"/>
                <w:lang w:val="en-US"/>
              </w:rPr>
              <w:t>.</w:t>
            </w:r>
          </w:p>
        </w:tc>
      </w:tr>
    </w:tbl>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p w:rsidR="00594AD0" w:rsidRPr="00594AD0" w:rsidRDefault="00594AD0" w:rsidP="00594AD0">
      <w:pPr>
        <w:rPr>
          <w:rFonts w:ascii="Times New Roman" w:eastAsia="Calibri" w:hAnsi="Times New Roman" w:cs="Times New Roman"/>
        </w:rPr>
      </w:pPr>
    </w:p>
    <w:tbl>
      <w:tblPr>
        <w:tblW w:w="0" w:type="auto"/>
        <w:tblInd w:w="-26" w:type="dxa"/>
        <w:tblBorders>
          <w:top w:val="single" w:sz="4" w:space="0" w:color="auto"/>
          <w:bottom w:val="single" w:sz="4" w:space="0" w:color="auto"/>
        </w:tblBorders>
        <w:tblCellMar>
          <w:left w:w="28" w:type="dxa"/>
          <w:right w:w="28" w:type="dxa"/>
        </w:tblCellMar>
        <w:tblLook w:val="00A0" w:firstRow="1" w:lastRow="0" w:firstColumn="1" w:lastColumn="0" w:noHBand="0" w:noVBand="0"/>
      </w:tblPr>
      <w:tblGrid>
        <w:gridCol w:w="3056"/>
        <w:gridCol w:w="886"/>
        <w:gridCol w:w="461"/>
        <w:gridCol w:w="461"/>
        <w:gridCol w:w="886"/>
        <w:gridCol w:w="461"/>
        <w:gridCol w:w="551"/>
        <w:gridCol w:w="886"/>
        <w:gridCol w:w="461"/>
        <w:gridCol w:w="461"/>
        <w:gridCol w:w="886"/>
        <w:gridCol w:w="461"/>
        <w:gridCol w:w="461"/>
        <w:gridCol w:w="886"/>
        <w:gridCol w:w="461"/>
        <w:gridCol w:w="461"/>
        <w:gridCol w:w="886"/>
        <w:gridCol w:w="461"/>
        <w:gridCol w:w="551"/>
      </w:tblGrid>
      <w:tr w:rsidR="00594AD0" w:rsidRPr="00594AD0" w:rsidTr="00CC1D0D">
        <w:trPr>
          <w:trHeight w:val="340"/>
        </w:trPr>
        <w:tc>
          <w:tcPr>
            <w:tcW w:w="0" w:type="auto"/>
            <w:gridSpan w:val="19"/>
            <w:tcBorders>
              <w:top w:val="nil"/>
              <w:bottom w:val="single" w:sz="4" w:space="0" w:color="auto"/>
            </w:tcBorders>
          </w:tcPr>
          <w:p w:rsidR="00594AD0" w:rsidRPr="00594AD0" w:rsidRDefault="00594AD0" w:rsidP="00594AD0">
            <w:pPr>
              <w:spacing w:after="0" w:line="240" w:lineRule="auto"/>
              <w:rPr>
                <w:rFonts w:ascii="Times New Roman" w:eastAsia="Calibri" w:hAnsi="Times New Roman" w:cs="Times New Roman"/>
                <w:sz w:val="24"/>
                <w:szCs w:val="24"/>
              </w:rPr>
            </w:pPr>
            <w:r w:rsidRPr="00594AD0">
              <w:rPr>
                <w:rFonts w:ascii="Times New Roman" w:eastAsia="Calibri" w:hAnsi="Times New Roman" w:cs="Times New Roman"/>
                <w:b/>
                <w:sz w:val="24"/>
                <w:szCs w:val="24"/>
              </w:rPr>
              <w:lastRenderedPageBreak/>
              <w:t>Tabla 3.</w:t>
            </w:r>
            <w:r w:rsidRPr="00594AD0">
              <w:rPr>
                <w:rFonts w:ascii="Times New Roman" w:eastAsia="Calibri" w:hAnsi="Times New Roman" w:cs="Times New Roman"/>
                <w:sz w:val="24"/>
                <w:szCs w:val="24"/>
              </w:rPr>
              <w:t xml:space="preserve"> Resultados multinivel de las variables predictoras del afecto negativo de la noche</w:t>
            </w:r>
          </w:p>
        </w:tc>
      </w:tr>
      <w:tr w:rsidR="00594AD0" w:rsidRPr="00594AD0" w:rsidTr="00CC1D0D">
        <w:trPr>
          <w:trHeight w:val="340"/>
        </w:trPr>
        <w:tc>
          <w:tcPr>
            <w:tcW w:w="0" w:type="auto"/>
            <w:vMerge w:val="restart"/>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Variables</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Null Model</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1</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2</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3</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4</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5</w:t>
            </w:r>
          </w:p>
        </w:tc>
      </w:tr>
      <w:tr w:rsidR="00594AD0" w:rsidRPr="00594AD0" w:rsidTr="00CC1D0D">
        <w:trPr>
          <w:trHeight w:val="340"/>
        </w:trPr>
        <w:tc>
          <w:tcPr>
            <w:tcW w:w="0" w:type="auto"/>
            <w:vMerge/>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r>
      <w:tr w:rsidR="00594AD0" w:rsidRPr="00594AD0" w:rsidTr="00CC1D0D">
        <w:trPr>
          <w:cantSplit/>
          <w:trHeight w:val="340"/>
        </w:trPr>
        <w:tc>
          <w:tcPr>
            <w:tcW w:w="3056" w:type="dxa"/>
            <w:tcBorders>
              <w:top w:val="single" w:sz="4" w:space="0" w:color="auto"/>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Constante</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1.439</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.054</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26.64</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1.439</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55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30.61</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1.439</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30.61</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1.441</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30.02</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1.441</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30.65</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1.441</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55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30.65</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Género</w:t>
            </w:r>
            <w:r w:rsidRPr="00594AD0">
              <w:rPr>
                <w:rFonts w:ascii="Times New Roman" w:eastAsia="Calibri" w:hAnsi="Times New Roman" w:cs="Times New Roman"/>
                <w:sz w:val="20"/>
                <w:szCs w:val="20"/>
                <w:vertAlign w:val="superscript"/>
              </w:rPr>
              <w:t>a</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Estrés de Rol</w:t>
            </w:r>
            <w:r w:rsidRPr="00594AD0">
              <w:rPr>
                <w:rFonts w:ascii="Times New Roman" w:eastAsia="Calibri" w:hAnsi="Times New Roman" w:cs="Times New Roman"/>
                <w:sz w:val="20"/>
                <w:szCs w:val="20"/>
                <w:vertAlign w:val="superscript"/>
              </w:rPr>
              <w:t>a</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.12</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Afecto negativo</w:t>
            </w:r>
            <w:r w:rsidRPr="00594AD0">
              <w:rPr>
                <w:rFonts w:ascii="Times New Roman" w:eastAsia="Calibri" w:hAnsi="Times New Roman" w:cs="Times New Roman"/>
                <w:sz w:val="20"/>
                <w:szCs w:val="20"/>
                <w:vertAlign w:val="superscript"/>
              </w:rPr>
              <w:t>a</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.439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.074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5.93**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.439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.074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5.93*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.438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.075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5.84*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.437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.075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5.82*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.437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.075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5.82**</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Afecto positivo mañana</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.018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.024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.028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.87</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Afecto negativo mañana</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.061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.81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.80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1.12</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Incivismo laboral tarde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.164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.060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2.73*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.137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2.32*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2.44*</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Abuso verbal tarde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.445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3.86*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.360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3.13*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.311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2.77*</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Agotamiento emocional tarde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.028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4.14*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1.86</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Desconexión psicológica noche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Relajación noche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-2.82*</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Actividades enriquecedoras noche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-1.66</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Control del tiempo libre noche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-.016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.022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-.72</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-2 X Log (lh)</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904.814</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874.311</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5868.949</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828.697</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811.148</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787.198</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Difference of -2 X Log</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30.503***</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5.362*</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40.252***</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17.549*</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23.95***</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Df</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Level 1 intercept variance (SE)</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.223 (.015)</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.223 (.015)</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.220 (.015)</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.207 (.014)</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.199 (.014)</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.187 (.013)</w:t>
            </w:r>
          </w:p>
        </w:tc>
      </w:tr>
      <w:tr w:rsidR="00594AD0" w:rsidRPr="00594AD0" w:rsidTr="00CC1D0D">
        <w:trPr>
          <w:trHeight w:val="340"/>
        </w:trPr>
        <w:tc>
          <w:tcPr>
            <w:tcW w:w="0" w:type="auto"/>
            <w:tcBorders>
              <w:bottom w:val="single" w:sz="4" w:space="0" w:color="auto"/>
            </w:tcBorders>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Level 2 intercept variance (SE)</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.266 (.043)</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.187 (.032)</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.188 (.032)</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.189 (.032)</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.192 (.032)</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.193 (.032)</w:t>
            </w:r>
          </w:p>
        </w:tc>
      </w:tr>
      <w:tr w:rsidR="00594AD0" w:rsidRPr="00594AD0" w:rsidTr="00CC1D0D">
        <w:trPr>
          <w:trHeight w:val="340"/>
        </w:trPr>
        <w:tc>
          <w:tcPr>
            <w:tcW w:w="0" w:type="auto"/>
            <w:gridSpan w:val="19"/>
            <w:tcBorders>
              <w:top w:val="single" w:sz="4" w:space="0" w:color="auto"/>
              <w:bottom w:val="nil"/>
            </w:tcBorders>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vertAlign w:val="superscript"/>
                <w:lang w:eastAsia="es-ES"/>
              </w:rPr>
              <w:t>a</w:t>
            </w:r>
            <w:r w:rsidRPr="00594AD0">
              <w:rPr>
                <w:rFonts w:ascii="Times New Roman" w:eastAsia="Times New Roman" w:hAnsi="Times New Roman" w:cs="Times New Roman"/>
                <w:sz w:val="18"/>
                <w:szCs w:val="18"/>
                <w:lang w:eastAsia="es-ES"/>
              </w:rPr>
              <w:t xml:space="preserve">Predictores del nivel 2, </w:t>
            </w:r>
            <w:r w:rsidRPr="00594AD0">
              <w:rPr>
                <w:rFonts w:ascii="Times New Roman" w:eastAsia="Times New Roman" w:hAnsi="Times New Roman" w:cs="Times New Roman"/>
                <w:i/>
                <w:sz w:val="18"/>
                <w:szCs w:val="18"/>
                <w:lang w:eastAsia="es-ES"/>
              </w:rPr>
              <w:t>person-level</w:t>
            </w:r>
            <w:r w:rsidRPr="00594AD0">
              <w:rPr>
                <w:rFonts w:ascii="Times New Roman" w:eastAsia="Times New Roman" w:hAnsi="Times New Roman" w:cs="Times New Roman"/>
                <w:sz w:val="18"/>
                <w:szCs w:val="18"/>
                <w:lang w:eastAsia="es-ES"/>
              </w:rPr>
              <w:t xml:space="preserve">. </w:t>
            </w:r>
            <w:r w:rsidRPr="00594AD0">
              <w:rPr>
                <w:rFonts w:ascii="Times New Roman" w:eastAsia="Times New Roman" w:hAnsi="Times New Roman" w:cs="Times New Roman"/>
                <w:sz w:val="18"/>
                <w:szCs w:val="18"/>
                <w:vertAlign w:val="superscript"/>
                <w:lang w:eastAsia="es-ES"/>
              </w:rPr>
              <w:t>b</w:t>
            </w:r>
            <w:r w:rsidRPr="00594AD0">
              <w:rPr>
                <w:rFonts w:ascii="Times New Roman" w:eastAsia="Times New Roman" w:hAnsi="Times New Roman" w:cs="Times New Roman"/>
                <w:sz w:val="18"/>
                <w:szCs w:val="18"/>
                <w:lang w:eastAsia="es-ES"/>
              </w:rPr>
              <w:t xml:space="preserve">Predictores del nivel 1, </w:t>
            </w:r>
            <w:r w:rsidRPr="00594AD0">
              <w:rPr>
                <w:rFonts w:ascii="Times New Roman" w:eastAsia="Times New Roman" w:hAnsi="Times New Roman" w:cs="Times New Roman"/>
                <w:i/>
                <w:sz w:val="18"/>
                <w:szCs w:val="18"/>
                <w:lang w:eastAsia="es-ES"/>
              </w:rPr>
              <w:t>day-level</w:t>
            </w:r>
            <w:r w:rsidRPr="00594AD0">
              <w:rPr>
                <w:rFonts w:ascii="Times New Roman" w:eastAsia="Times New Roman" w:hAnsi="Times New Roman" w:cs="Times New Roman"/>
                <w:sz w:val="18"/>
                <w:szCs w:val="18"/>
                <w:lang w:eastAsia="es-ES"/>
              </w:rPr>
              <w:t>.</w:t>
            </w:r>
          </w:p>
          <w:p w:rsidR="00594AD0" w:rsidRPr="00594AD0" w:rsidRDefault="00594AD0" w:rsidP="00594AD0">
            <w:pPr>
              <w:spacing w:after="0" w:line="240" w:lineRule="auto"/>
              <w:rPr>
                <w:rFonts w:ascii="Times New Roman" w:eastAsia="Calibri" w:hAnsi="Times New Roman" w:cs="Times New Roman"/>
                <w:sz w:val="16"/>
                <w:szCs w:val="16"/>
              </w:rPr>
            </w:pPr>
            <w:r w:rsidRPr="00594AD0">
              <w:rPr>
                <w:rFonts w:ascii="Times New Roman" w:eastAsia="Calibri" w:hAnsi="Times New Roman" w:cs="Times New Roman"/>
                <w:sz w:val="16"/>
                <w:szCs w:val="16"/>
                <w:lang w:val="en-US"/>
              </w:rPr>
              <w:t>*</w:t>
            </w:r>
            <w:r w:rsidRPr="00594AD0">
              <w:rPr>
                <w:rFonts w:ascii="Times New Roman" w:eastAsia="Calibri" w:hAnsi="Times New Roman" w:cs="Times New Roman"/>
                <w:i/>
                <w:sz w:val="16"/>
                <w:szCs w:val="16"/>
                <w:lang w:val="en-US"/>
              </w:rPr>
              <w:t xml:space="preserve"> p </w:t>
            </w:r>
            <w:r w:rsidRPr="00594AD0">
              <w:rPr>
                <w:rFonts w:ascii="Times New Roman" w:eastAsia="Calibri" w:hAnsi="Times New Roman" w:cs="Times New Roman"/>
                <w:sz w:val="16"/>
                <w:szCs w:val="16"/>
                <w:lang w:val="en-US"/>
              </w:rPr>
              <w:t>&lt; .05</w:t>
            </w:r>
            <w:r w:rsidRPr="00594AD0">
              <w:rPr>
                <w:rFonts w:ascii="Times New Roman" w:eastAsia="Calibri" w:hAnsi="Times New Roman" w:cs="Times New Roman"/>
                <w:i/>
                <w:sz w:val="16"/>
                <w:szCs w:val="16"/>
                <w:lang w:val="en-US"/>
              </w:rPr>
              <w:t xml:space="preserve">, ** p </w:t>
            </w:r>
            <w:r w:rsidRPr="00594AD0">
              <w:rPr>
                <w:rFonts w:ascii="Times New Roman" w:eastAsia="Calibri" w:hAnsi="Times New Roman" w:cs="Times New Roman"/>
                <w:sz w:val="16"/>
                <w:szCs w:val="16"/>
                <w:lang w:val="en-US"/>
              </w:rPr>
              <w:t>&lt; .01</w:t>
            </w:r>
            <w:r w:rsidRPr="00594AD0">
              <w:rPr>
                <w:rFonts w:ascii="Times New Roman" w:eastAsia="Calibri" w:hAnsi="Times New Roman" w:cs="Times New Roman"/>
                <w:i/>
                <w:sz w:val="16"/>
                <w:szCs w:val="16"/>
                <w:lang w:val="en-US"/>
              </w:rPr>
              <w:t xml:space="preserve">, </w:t>
            </w:r>
            <w:r w:rsidRPr="00594AD0">
              <w:rPr>
                <w:rFonts w:ascii="Times New Roman" w:eastAsia="Calibri" w:hAnsi="Times New Roman" w:cs="Times New Roman"/>
                <w:sz w:val="16"/>
                <w:szCs w:val="16"/>
                <w:lang w:val="en-US"/>
              </w:rPr>
              <w:t>***</w:t>
            </w:r>
            <w:r w:rsidRPr="00594AD0">
              <w:rPr>
                <w:rFonts w:ascii="Times New Roman" w:eastAsia="Calibri" w:hAnsi="Times New Roman" w:cs="Times New Roman"/>
                <w:i/>
                <w:sz w:val="16"/>
                <w:szCs w:val="16"/>
                <w:lang w:val="en-US"/>
              </w:rPr>
              <w:t xml:space="preserve"> p </w:t>
            </w:r>
            <w:r w:rsidRPr="00594AD0">
              <w:rPr>
                <w:rFonts w:ascii="Times New Roman" w:eastAsia="Calibri" w:hAnsi="Times New Roman" w:cs="Times New Roman"/>
                <w:sz w:val="16"/>
                <w:szCs w:val="16"/>
                <w:lang w:val="en-US"/>
              </w:rPr>
              <w:t>&lt; .001</w:t>
            </w:r>
            <w:r w:rsidRPr="00594AD0">
              <w:rPr>
                <w:rFonts w:ascii="Times New Roman" w:eastAsia="Calibri" w:hAnsi="Times New Roman" w:cs="Times New Roman"/>
                <w:i/>
                <w:sz w:val="16"/>
                <w:szCs w:val="16"/>
                <w:lang w:val="en-US"/>
              </w:rPr>
              <w:t>.</w:t>
            </w:r>
          </w:p>
        </w:tc>
      </w:tr>
    </w:tbl>
    <w:p w:rsidR="00594AD0" w:rsidRPr="00594AD0" w:rsidRDefault="00594AD0" w:rsidP="00594AD0">
      <w:pPr>
        <w:rPr>
          <w:rFonts w:ascii="Times New Roman" w:eastAsia="Calibri" w:hAnsi="Times New Roman" w:cs="Times New Roman"/>
        </w:rPr>
      </w:pPr>
    </w:p>
    <w:tbl>
      <w:tblPr>
        <w:tblW w:w="0" w:type="auto"/>
        <w:tblInd w:w="-26" w:type="dxa"/>
        <w:tblBorders>
          <w:top w:val="single" w:sz="4" w:space="0" w:color="auto"/>
          <w:bottom w:val="single" w:sz="4" w:space="0" w:color="auto"/>
        </w:tblBorders>
        <w:tblCellMar>
          <w:left w:w="28" w:type="dxa"/>
          <w:right w:w="28" w:type="dxa"/>
        </w:tblCellMar>
        <w:tblLook w:val="00A0" w:firstRow="1" w:lastRow="0" w:firstColumn="1" w:lastColumn="0" w:noHBand="0" w:noVBand="0"/>
      </w:tblPr>
      <w:tblGrid>
        <w:gridCol w:w="2590"/>
        <w:gridCol w:w="886"/>
        <w:gridCol w:w="461"/>
        <w:gridCol w:w="461"/>
        <w:gridCol w:w="886"/>
        <w:gridCol w:w="461"/>
        <w:gridCol w:w="461"/>
        <w:gridCol w:w="886"/>
        <w:gridCol w:w="521"/>
        <w:gridCol w:w="461"/>
        <w:gridCol w:w="886"/>
        <w:gridCol w:w="461"/>
        <w:gridCol w:w="521"/>
        <w:gridCol w:w="886"/>
        <w:gridCol w:w="461"/>
        <w:gridCol w:w="461"/>
        <w:gridCol w:w="886"/>
        <w:gridCol w:w="461"/>
        <w:gridCol w:w="461"/>
      </w:tblGrid>
      <w:tr w:rsidR="00594AD0" w:rsidRPr="00594AD0" w:rsidTr="00CC1D0D">
        <w:trPr>
          <w:trHeight w:val="340"/>
        </w:trPr>
        <w:tc>
          <w:tcPr>
            <w:tcW w:w="0" w:type="auto"/>
            <w:gridSpan w:val="19"/>
            <w:tcBorders>
              <w:top w:val="nil"/>
              <w:bottom w:val="single" w:sz="4" w:space="0" w:color="auto"/>
            </w:tcBorders>
          </w:tcPr>
          <w:p w:rsidR="00594AD0" w:rsidRPr="00594AD0" w:rsidRDefault="00594AD0" w:rsidP="00594AD0">
            <w:pPr>
              <w:spacing w:after="0" w:line="240" w:lineRule="auto"/>
              <w:rPr>
                <w:rFonts w:ascii="Times New Roman" w:eastAsia="Calibri" w:hAnsi="Times New Roman" w:cs="Times New Roman"/>
                <w:sz w:val="24"/>
                <w:szCs w:val="24"/>
              </w:rPr>
            </w:pPr>
            <w:r w:rsidRPr="00594AD0">
              <w:rPr>
                <w:rFonts w:ascii="Times New Roman" w:eastAsia="Calibri" w:hAnsi="Times New Roman" w:cs="Times New Roman"/>
                <w:b/>
                <w:sz w:val="24"/>
                <w:szCs w:val="24"/>
              </w:rPr>
              <w:lastRenderedPageBreak/>
              <w:t>Tabla 4.</w:t>
            </w:r>
            <w:r w:rsidRPr="00594AD0">
              <w:rPr>
                <w:rFonts w:ascii="Times New Roman" w:eastAsia="Calibri" w:hAnsi="Times New Roman" w:cs="Times New Roman"/>
                <w:sz w:val="24"/>
                <w:szCs w:val="24"/>
              </w:rPr>
              <w:t xml:space="preserve">  Resultados multinivel de las variables predictoras del afecto positivo de la noche</w:t>
            </w:r>
          </w:p>
        </w:tc>
      </w:tr>
      <w:tr w:rsidR="00594AD0" w:rsidRPr="00594AD0" w:rsidTr="00CC1D0D">
        <w:trPr>
          <w:trHeight w:val="340"/>
        </w:trPr>
        <w:tc>
          <w:tcPr>
            <w:tcW w:w="0" w:type="auto"/>
            <w:vMerge w:val="restart"/>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Variables</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Null Model</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1</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2</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3</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4</w:t>
            </w:r>
          </w:p>
        </w:tc>
        <w:tc>
          <w:tcPr>
            <w:tcW w:w="0" w:type="auto"/>
            <w:gridSpan w:val="3"/>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Modelo 5</w:t>
            </w:r>
          </w:p>
        </w:tc>
      </w:tr>
      <w:tr w:rsidR="00594AD0" w:rsidRPr="00594AD0" w:rsidTr="00CC1D0D">
        <w:trPr>
          <w:trHeight w:val="340"/>
        </w:trPr>
        <w:tc>
          <w:tcPr>
            <w:tcW w:w="0" w:type="auto"/>
            <w:vMerge/>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Coeficiente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sz w:val="18"/>
                <w:szCs w:val="18"/>
              </w:rPr>
            </w:pPr>
            <w:r w:rsidRPr="00594AD0">
              <w:rPr>
                <w:rFonts w:ascii="Times New Roman" w:eastAsia="Calibri" w:hAnsi="Times New Roman" w:cs="Times New Roman"/>
                <w:i/>
                <w:sz w:val="18"/>
                <w:szCs w:val="18"/>
              </w:rPr>
              <w:t>SE</w:t>
            </w:r>
          </w:p>
        </w:tc>
        <w:tc>
          <w:tcPr>
            <w:tcW w:w="0" w:type="auto"/>
            <w:tcBorders>
              <w:top w:val="single" w:sz="4" w:space="0" w:color="auto"/>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i/>
                <w:iCs/>
                <w:sz w:val="18"/>
                <w:szCs w:val="18"/>
              </w:rPr>
            </w:pPr>
            <w:r w:rsidRPr="00594AD0">
              <w:rPr>
                <w:rFonts w:ascii="Times New Roman" w:eastAsia="Calibri" w:hAnsi="Times New Roman" w:cs="Times New Roman"/>
                <w:i/>
                <w:iCs/>
                <w:sz w:val="18"/>
                <w:szCs w:val="18"/>
              </w:rPr>
              <w:t>t</w:t>
            </w:r>
          </w:p>
        </w:tc>
      </w:tr>
      <w:tr w:rsidR="00594AD0" w:rsidRPr="00594AD0" w:rsidTr="00CC1D0D">
        <w:trPr>
          <w:cantSplit/>
          <w:trHeight w:val="340"/>
        </w:trPr>
        <w:tc>
          <w:tcPr>
            <w:tcW w:w="2590" w:type="dxa"/>
            <w:tcBorders>
              <w:top w:val="single" w:sz="4" w:space="0" w:color="auto"/>
            </w:tcBorders>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Constante</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2.453</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.088</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27.87</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2.453</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.084</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29.20</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2.453</w:t>
            </w:r>
          </w:p>
        </w:tc>
        <w:tc>
          <w:tcPr>
            <w:tcW w:w="52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.084</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29.20</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2.451</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.085</w:t>
            </w:r>
          </w:p>
        </w:tc>
        <w:tc>
          <w:tcPr>
            <w:tcW w:w="52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28.83</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2.450</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.085</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28.82</w:t>
            </w:r>
          </w:p>
        </w:tc>
        <w:tc>
          <w:tcPr>
            <w:tcW w:w="886"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2.451</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.085</w:t>
            </w:r>
          </w:p>
        </w:tc>
        <w:tc>
          <w:tcPr>
            <w:tcW w:w="461" w:type="dxa"/>
            <w:tcBorders>
              <w:top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28.83</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Género</w:t>
            </w:r>
            <w:r w:rsidRPr="00594AD0">
              <w:rPr>
                <w:rFonts w:ascii="Times New Roman" w:eastAsia="Calibri" w:hAnsi="Times New Roman" w:cs="Times New Roman"/>
                <w:sz w:val="20"/>
                <w:szCs w:val="20"/>
                <w:vertAlign w:val="superscript"/>
              </w:rPr>
              <w:t>a</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-.000</w:t>
            </w:r>
          </w:p>
        </w:tc>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.009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-.000</w:t>
            </w:r>
          </w:p>
        </w:tc>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.009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Estrés de Rol</w:t>
            </w:r>
            <w:r w:rsidRPr="00594AD0">
              <w:rPr>
                <w:rFonts w:ascii="Times New Roman" w:eastAsia="Calibri" w:hAnsi="Times New Roman" w:cs="Times New Roman"/>
                <w:sz w:val="20"/>
                <w:szCs w:val="20"/>
                <w:vertAlign w:val="superscript"/>
              </w:rPr>
              <w:t>a</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-1.21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-1.22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-1.22</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Afecto positivo</w:t>
            </w:r>
            <w:r w:rsidRPr="00594AD0">
              <w:rPr>
                <w:rFonts w:ascii="Times New Roman" w:eastAsia="Calibri" w:hAnsi="Times New Roman" w:cs="Times New Roman"/>
                <w:sz w:val="20"/>
                <w:szCs w:val="20"/>
                <w:vertAlign w:val="superscript"/>
              </w:rPr>
              <w:t>a</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.447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.159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2.81*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.447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.159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2.81*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.425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.162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2.62*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.425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.162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2.62*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.425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.162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2.62*</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Afecto positivo mañana</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2.25*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.098</w:t>
            </w:r>
          </w:p>
        </w:tc>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.052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1.88</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Afecto negativo mañana</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.081</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1.30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1.04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.69</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Incivismo laboral tarde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.014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.013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-.014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.096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-.14</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Abuso verbal tarde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-.158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.185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-.854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-.164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.188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-.87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.186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-.63</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Agotamiento emocional tarde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.008</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.084</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.049</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1.71</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Desconexión psicológica noche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.073</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.057</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1.28</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Relajación noche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.060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.065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.92</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Actividades enriquecedoras noche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.170</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.055</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3.09*</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sz w:val="18"/>
                <w:szCs w:val="18"/>
              </w:rPr>
              <w:t>Control del tiempo libre noche</w:t>
            </w:r>
            <w:r w:rsidRPr="00594AD0">
              <w:rPr>
                <w:rFonts w:ascii="Times New Roman" w:eastAsia="Calibri" w:hAnsi="Times New Roman" w:cs="Times New Roman"/>
                <w:sz w:val="20"/>
                <w:szCs w:val="20"/>
                <w:vertAlign w:val="superscript"/>
              </w:rPr>
              <w:t>b</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-.042</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.036</w:t>
            </w: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-1.16</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-2 X Log (lh)</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1379.868</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1370.674</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1365.054</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1343.231</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1341.586</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1324.539</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Difference of -2 X Log</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9.194**</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5.62*</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21.733**</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1.645</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17.047***</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Df</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3</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2</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1</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4</w:t>
            </w:r>
          </w:p>
        </w:tc>
      </w:tr>
      <w:tr w:rsidR="00594AD0" w:rsidRPr="00594AD0" w:rsidTr="00CC1D0D">
        <w:trPr>
          <w:trHeight w:val="340"/>
        </w:trPr>
        <w:tc>
          <w:tcPr>
            <w:tcW w:w="0" w:type="auto"/>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Level 1 intercept variance (SE)</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.543 (.037)</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.543 (.037)</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.536 (.037)</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.534 (.037)</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.535 (.037)</w:t>
            </w:r>
          </w:p>
        </w:tc>
        <w:tc>
          <w:tcPr>
            <w:tcW w:w="0" w:type="auto"/>
            <w:gridSpan w:val="3"/>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.513 (.036)</w:t>
            </w:r>
          </w:p>
        </w:tc>
      </w:tr>
      <w:tr w:rsidR="00594AD0" w:rsidRPr="00594AD0" w:rsidTr="00CC1D0D">
        <w:trPr>
          <w:trHeight w:val="340"/>
        </w:trPr>
        <w:tc>
          <w:tcPr>
            <w:tcW w:w="0" w:type="auto"/>
            <w:tcBorders>
              <w:bottom w:val="single" w:sz="4" w:space="0" w:color="auto"/>
            </w:tcBorders>
            <w:vAlign w:val="center"/>
          </w:tcPr>
          <w:p w:rsidR="00594AD0" w:rsidRPr="00594AD0" w:rsidRDefault="00594AD0" w:rsidP="00594AD0">
            <w:pPr>
              <w:spacing w:after="0" w:line="240" w:lineRule="auto"/>
              <w:rPr>
                <w:rFonts w:ascii="Times New Roman" w:eastAsia="Calibri" w:hAnsi="Times New Roman" w:cs="Times New Roman"/>
                <w:i/>
                <w:sz w:val="18"/>
                <w:szCs w:val="18"/>
                <w:lang w:val="en-US"/>
              </w:rPr>
            </w:pPr>
            <w:r w:rsidRPr="00594AD0">
              <w:rPr>
                <w:rFonts w:ascii="Times New Roman" w:eastAsia="Calibri" w:hAnsi="Times New Roman" w:cs="Times New Roman"/>
                <w:i/>
                <w:sz w:val="18"/>
                <w:szCs w:val="18"/>
                <w:lang w:val="en-US"/>
              </w:rPr>
              <w:t>Level 2 intercept variance (SE)</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.700 (.112)</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.632 (.102)</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.634 (.102)</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.647 (.105)</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.649 (.105)</w:t>
            </w:r>
          </w:p>
        </w:tc>
        <w:tc>
          <w:tcPr>
            <w:tcW w:w="0" w:type="auto"/>
            <w:gridSpan w:val="3"/>
            <w:tcBorders>
              <w:bottom w:val="single" w:sz="4" w:space="0" w:color="auto"/>
            </w:tcBorders>
            <w:vAlign w:val="center"/>
          </w:tcPr>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sz w:val="18"/>
                <w:szCs w:val="18"/>
              </w:rPr>
              <w:t>.655 (.105)</w:t>
            </w:r>
          </w:p>
        </w:tc>
      </w:tr>
      <w:tr w:rsidR="00594AD0" w:rsidRPr="00594AD0" w:rsidTr="00CC1D0D">
        <w:trPr>
          <w:trHeight w:val="340"/>
        </w:trPr>
        <w:tc>
          <w:tcPr>
            <w:tcW w:w="0" w:type="auto"/>
            <w:gridSpan w:val="19"/>
            <w:tcBorders>
              <w:top w:val="single" w:sz="4" w:space="0" w:color="auto"/>
              <w:bottom w:val="nil"/>
            </w:tcBorders>
            <w:vAlign w:val="center"/>
          </w:tcPr>
          <w:p w:rsidR="00594AD0" w:rsidRPr="00594AD0" w:rsidRDefault="00594AD0" w:rsidP="00594AD0">
            <w:pPr>
              <w:spacing w:after="0" w:line="240" w:lineRule="auto"/>
              <w:rPr>
                <w:rFonts w:ascii="Times New Roman" w:eastAsia="Times New Roman" w:hAnsi="Times New Roman" w:cs="Times New Roman"/>
                <w:sz w:val="18"/>
                <w:szCs w:val="18"/>
                <w:lang w:eastAsia="es-ES"/>
              </w:rPr>
            </w:pPr>
            <w:r w:rsidRPr="00594AD0">
              <w:rPr>
                <w:rFonts w:ascii="Times New Roman" w:eastAsia="Times New Roman" w:hAnsi="Times New Roman" w:cs="Times New Roman"/>
                <w:sz w:val="18"/>
                <w:szCs w:val="18"/>
                <w:vertAlign w:val="superscript"/>
                <w:lang w:eastAsia="es-ES"/>
              </w:rPr>
              <w:t>a</w:t>
            </w:r>
            <w:r w:rsidRPr="00594AD0">
              <w:rPr>
                <w:rFonts w:ascii="Times New Roman" w:eastAsia="Times New Roman" w:hAnsi="Times New Roman" w:cs="Times New Roman"/>
                <w:sz w:val="18"/>
                <w:szCs w:val="18"/>
                <w:lang w:eastAsia="es-ES"/>
              </w:rPr>
              <w:t xml:space="preserve">Predictores del nivel 2, </w:t>
            </w:r>
            <w:r w:rsidRPr="00594AD0">
              <w:rPr>
                <w:rFonts w:ascii="Times New Roman" w:eastAsia="Times New Roman" w:hAnsi="Times New Roman" w:cs="Times New Roman"/>
                <w:i/>
                <w:sz w:val="18"/>
                <w:szCs w:val="18"/>
                <w:lang w:eastAsia="es-ES"/>
              </w:rPr>
              <w:t>person-level</w:t>
            </w:r>
            <w:r w:rsidRPr="00594AD0">
              <w:rPr>
                <w:rFonts w:ascii="Times New Roman" w:eastAsia="Times New Roman" w:hAnsi="Times New Roman" w:cs="Times New Roman"/>
                <w:sz w:val="18"/>
                <w:szCs w:val="18"/>
                <w:lang w:eastAsia="es-ES"/>
              </w:rPr>
              <w:t xml:space="preserve">. </w:t>
            </w:r>
            <w:r w:rsidRPr="00594AD0">
              <w:rPr>
                <w:rFonts w:ascii="Times New Roman" w:eastAsia="Times New Roman" w:hAnsi="Times New Roman" w:cs="Times New Roman"/>
                <w:sz w:val="18"/>
                <w:szCs w:val="18"/>
                <w:vertAlign w:val="superscript"/>
                <w:lang w:eastAsia="es-ES"/>
              </w:rPr>
              <w:t>b</w:t>
            </w:r>
            <w:r w:rsidRPr="00594AD0">
              <w:rPr>
                <w:rFonts w:ascii="Times New Roman" w:eastAsia="Times New Roman" w:hAnsi="Times New Roman" w:cs="Times New Roman"/>
                <w:sz w:val="18"/>
                <w:szCs w:val="18"/>
                <w:lang w:eastAsia="es-ES"/>
              </w:rPr>
              <w:t xml:space="preserve">Predictores del nivel 1, </w:t>
            </w:r>
            <w:r w:rsidRPr="00594AD0">
              <w:rPr>
                <w:rFonts w:ascii="Times New Roman" w:eastAsia="Times New Roman" w:hAnsi="Times New Roman" w:cs="Times New Roman"/>
                <w:i/>
                <w:sz w:val="18"/>
                <w:szCs w:val="18"/>
                <w:lang w:eastAsia="es-ES"/>
              </w:rPr>
              <w:t>day-level</w:t>
            </w:r>
            <w:r w:rsidRPr="00594AD0">
              <w:rPr>
                <w:rFonts w:ascii="Times New Roman" w:eastAsia="Times New Roman" w:hAnsi="Times New Roman" w:cs="Times New Roman"/>
                <w:sz w:val="18"/>
                <w:szCs w:val="18"/>
                <w:lang w:eastAsia="es-ES"/>
              </w:rPr>
              <w:t>.</w:t>
            </w:r>
          </w:p>
          <w:p w:rsidR="00594AD0" w:rsidRPr="00594AD0" w:rsidRDefault="00594AD0" w:rsidP="00594AD0">
            <w:pPr>
              <w:spacing w:after="0"/>
              <w:ind w:right="-1242"/>
              <w:rPr>
                <w:rFonts w:ascii="Times New Roman" w:eastAsia="Calibri" w:hAnsi="Times New Roman" w:cs="Times New Roman"/>
                <w:sz w:val="16"/>
                <w:szCs w:val="16"/>
              </w:rPr>
            </w:pPr>
            <w:r w:rsidRPr="00594AD0">
              <w:rPr>
                <w:rFonts w:ascii="Times New Roman" w:eastAsia="Calibri" w:hAnsi="Times New Roman" w:cs="Times New Roman"/>
                <w:sz w:val="16"/>
                <w:szCs w:val="16"/>
                <w:lang w:val="en-US"/>
              </w:rPr>
              <w:t>*</w:t>
            </w:r>
            <w:r w:rsidRPr="00594AD0">
              <w:rPr>
                <w:rFonts w:ascii="Times New Roman" w:eastAsia="Calibri" w:hAnsi="Times New Roman" w:cs="Times New Roman"/>
                <w:i/>
                <w:sz w:val="16"/>
                <w:szCs w:val="16"/>
                <w:lang w:val="en-US"/>
              </w:rPr>
              <w:t xml:space="preserve"> p </w:t>
            </w:r>
            <w:r w:rsidRPr="00594AD0">
              <w:rPr>
                <w:rFonts w:ascii="Times New Roman" w:eastAsia="Calibri" w:hAnsi="Times New Roman" w:cs="Times New Roman"/>
                <w:sz w:val="16"/>
                <w:szCs w:val="16"/>
                <w:lang w:val="en-US"/>
              </w:rPr>
              <w:t>&lt; .05</w:t>
            </w:r>
            <w:r w:rsidRPr="00594AD0">
              <w:rPr>
                <w:rFonts w:ascii="Times New Roman" w:eastAsia="Calibri" w:hAnsi="Times New Roman" w:cs="Times New Roman"/>
                <w:i/>
                <w:sz w:val="16"/>
                <w:szCs w:val="16"/>
                <w:lang w:val="en-US"/>
              </w:rPr>
              <w:t xml:space="preserve">, ** p </w:t>
            </w:r>
            <w:r w:rsidRPr="00594AD0">
              <w:rPr>
                <w:rFonts w:ascii="Times New Roman" w:eastAsia="Calibri" w:hAnsi="Times New Roman" w:cs="Times New Roman"/>
                <w:sz w:val="16"/>
                <w:szCs w:val="16"/>
                <w:lang w:val="en-US"/>
              </w:rPr>
              <w:t>&lt; .01</w:t>
            </w:r>
            <w:r w:rsidRPr="00594AD0">
              <w:rPr>
                <w:rFonts w:ascii="Times New Roman" w:eastAsia="Calibri" w:hAnsi="Times New Roman" w:cs="Times New Roman"/>
                <w:i/>
                <w:sz w:val="16"/>
                <w:szCs w:val="16"/>
                <w:lang w:val="en-US"/>
              </w:rPr>
              <w:t xml:space="preserve">, </w:t>
            </w:r>
            <w:r w:rsidRPr="00594AD0">
              <w:rPr>
                <w:rFonts w:ascii="Times New Roman" w:eastAsia="Calibri" w:hAnsi="Times New Roman" w:cs="Times New Roman"/>
                <w:sz w:val="16"/>
                <w:szCs w:val="16"/>
                <w:lang w:val="en-US"/>
              </w:rPr>
              <w:t>***</w:t>
            </w:r>
            <w:r w:rsidRPr="00594AD0">
              <w:rPr>
                <w:rFonts w:ascii="Times New Roman" w:eastAsia="Calibri" w:hAnsi="Times New Roman" w:cs="Times New Roman"/>
                <w:i/>
                <w:sz w:val="16"/>
                <w:szCs w:val="16"/>
                <w:lang w:val="en-US"/>
              </w:rPr>
              <w:t xml:space="preserve"> p </w:t>
            </w:r>
            <w:r w:rsidRPr="00594AD0">
              <w:rPr>
                <w:rFonts w:ascii="Times New Roman" w:eastAsia="Calibri" w:hAnsi="Times New Roman" w:cs="Times New Roman"/>
                <w:sz w:val="16"/>
                <w:szCs w:val="16"/>
                <w:lang w:val="en-US"/>
              </w:rPr>
              <w:t>&lt; .001</w:t>
            </w:r>
            <w:r w:rsidRPr="00594AD0">
              <w:rPr>
                <w:rFonts w:ascii="Times New Roman" w:eastAsia="Calibri" w:hAnsi="Times New Roman" w:cs="Times New Roman"/>
                <w:i/>
                <w:sz w:val="16"/>
                <w:szCs w:val="16"/>
                <w:lang w:val="en-US"/>
              </w:rPr>
              <w:t>.</w:t>
            </w:r>
          </w:p>
        </w:tc>
      </w:tr>
    </w:tbl>
    <w:p w:rsidR="00594AD0" w:rsidRPr="00594AD0" w:rsidRDefault="00594AD0" w:rsidP="00594AD0">
      <w:pPr>
        <w:rPr>
          <w:rFonts w:ascii="Times New Roman" w:eastAsia="Calibri" w:hAnsi="Times New Roman" w:cs="Times New Roman"/>
        </w:rPr>
        <w:sectPr w:rsidR="00594AD0" w:rsidRPr="00594AD0" w:rsidSect="00CC1D0D">
          <w:pgSz w:w="16838" w:h="11906" w:orient="landscape"/>
          <w:pgMar w:top="1701" w:right="1417" w:bottom="1701" w:left="1417" w:header="708" w:footer="708" w:gutter="0"/>
          <w:cols w:space="708"/>
          <w:docGrid w:linePitch="360"/>
        </w:sectPr>
      </w:pPr>
    </w:p>
    <w:p w:rsidR="00594AD0" w:rsidRPr="00594AD0" w:rsidRDefault="00594AD0" w:rsidP="00594AD0">
      <w:pPr>
        <w:spacing w:after="0" w:line="240" w:lineRule="auto"/>
        <w:jc w:val="center"/>
        <w:rPr>
          <w:rFonts w:ascii="Times New Roman" w:eastAsia="Calibri" w:hAnsi="Times New Roman" w:cs="Times New Roman"/>
          <w:sz w:val="18"/>
          <w:szCs w:val="18"/>
        </w:rPr>
      </w:pPr>
      <w:r w:rsidRPr="00594AD0">
        <w:rPr>
          <w:rFonts w:ascii="Times New Roman" w:eastAsia="Calibri" w:hAnsi="Times New Roman" w:cs="Times New Roman"/>
          <w:noProof/>
          <w:sz w:val="18"/>
          <w:szCs w:val="18"/>
          <w:lang w:eastAsia="es-ES"/>
        </w:rPr>
        <w:lastRenderedPageBreak/>
        <w:drawing>
          <wp:inline distT="0" distB="0" distL="0" distR="0">
            <wp:extent cx="5398770" cy="3175000"/>
            <wp:effectExtent l="0" t="0" r="0" b="0"/>
            <wp:docPr id="3"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line="240" w:lineRule="auto"/>
        <w:jc w:val="center"/>
        <w:rPr>
          <w:rFonts w:ascii="Times New Roman" w:eastAsia="Calibri" w:hAnsi="Times New Roman" w:cs="Times New Roman"/>
          <w:iCs/>
          <w:sz w:val="24"/>
          <w:szCs w:val="24"/>
        </w:rPr>
      </w:pPr>
      <w:r w:rsidRPr="00594AD0">
        <w:rPr>
          <w:rFonts w:ascii="Times New Roman" w:eastAsia="Calibri" w:hAnsi="Times New Roman" w:cs="Times New Roman"/>
          <w:b/>
          <w:iCs/>
          <w:sz w:val="24"/>
          <w:szCs w:val="24"/>
        </w:rPr>
        <w:t>Figura 1.</w:t>
      </w:r>
      <w:r w:rsidRPr="00594AD0">
        <w:rPr>
          <w:rFonts w:ascii="Times New Roman" w:eastAsia="Calibri" w:hAnsi="Times New Roman" w:cs="Times New Roman"/>
          <w:iCs/>
          <w:sz w:val="24"/>
          <w:szCs w:val="24"/>
        </w:rPr>
        <w:t xml:space="preserve"> Interacción entre la desconexión psicológica y el agotamiento emocional sobre el afecto positivo de la noche</w:t>
      </w:r>
    </w:p>
    <w:p w:rsidR="00594AD0" w:rsidRPr="00594AD0" w:rsidRDefault="00594AD0" w:rsidP="00594AD0">
      <w:pPr>
        <w:spacing w:after="0" w:line="240" w:lineRule="auto"/>
        <w:rPr>
          <w:rFonts w:ascii="Times New Roman" w:eastAsia="Calibri" w:hAnsi="Times New Roman" w:cs="Times New Roman"/>
          <w:sz w:val="20"/>
          <w:szCs w:val="20"/>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r w:rsidRPr="00594AD0">
        <w:rPr>
          <w:rFonts w:ascii="Times New Roman" w:eastAsia="Calibri" w:hAnsi="Times New Roman" w:cs="Times New Roman"/>
          <w:noProof/>
          <w:sz w:val="18"/>
          <w:szCs w:val="18"/>
          <w:lang w:eastAsia="es-ES"/>
        </w:rPr>
        <w:lastRenderedPageBreak/>
        <w:drawing>
          <wp:inline distT="0" distB="0" distL="0" distR="0">
            <wp:extent cx="5398770" cy="3145790"/>
            <wp:effectExtent l="0" t="0" r="0" b="0"/>
            <wp:docPr id="4"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jc w:val="center"/>
        <w:rPr>
          <w:rFonts w:ascii="Times New Roman" w:eastAsia="Calibri" w:hAnsi="Times New Roman" w:cs="Times New Roman"/>
          <w:i/>
          <w:iCs/>
          <w:sz w:val="20"/>
          <w:szCs w:val="20"/>
        </w:rPr>
      </w:pPr>
      <w:r w:rsidRPr="00594AD0">
        <w:rPr>
          <w:rFonts w:ascii="Times New Roman" w:eastAsia="Calibri" w:hAnsi="Times New Roman" w:cs="Times New Roman"/>
          <w:b/>
          <w:iCs/>
          <w:sz w:val="24"/>
          <w:szCs w:val="24"/>
        </w:rPr>
        <w:t xml:space="preserve">Figura 2. </w:t>
      </w:r>
      <w:r w:rsidRPr="00594AD0">
        <w:rPr>
          <w:rFonts w:ascii="Times New Roman" w:eastAsia="Calibri" w:hAnsi="Times New Roman" w:cs="Times New Roman"/>
          <w:iCs/>
          <w:sz w:val="24"/>
          <w:szCs w:val="24"/>
        </w:rPr>
        <w:t>Interacción entre la relajación y el incivismo laboral sobre el afecto negativo de la noche</w:t>
      </w:r>
    </w:p>
    <w:p w:rsidR="00594AD0" w:rsidRPr="00594AD0" w:rsidRDefault="00594AD0" w:rsidP="00594AD0">
      <w:pPr>
        <w:spacing w:after="0" w:line="240" w:lineRule="auto"/>
        <w:rPr>
          <w:rFonts w:ascii="Times New Roman" w:eastAsia="Calibri" w:hAnsi="Times New Roman" w:cs="Times New Roman"/>
          <w:sz w:val="20"/>
          <w:szCs w:val="20"/>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spacing w:after="0" w:line="240" w:lineRule="auto"/>
        <w:rPr>
          <w:rFonts w:ascii="Times New Roman" w:eastAsia="Calibri" w:hAnsi="Times New Roman" w:cs="Times New Roman"/>
          <w:sz w:val="18"/>
          <w:szCs w:val="18"/>
        </w:rPr>
      </w:pPr>
    </w:p>
    <w:p w:rsidR="00594AD0" w:rsidRPr="00594AD0" w:rsidRDefault="00594AD0" w:rsidP="00594AD0">
      <w:pPr>
        <w:rPr>
          <w:rFonts w:ascii="Times New Roman" w:eastAsia="Calibri" w:hAnsi="Times New Roman" w:cs="Times New Roman"/>
        </w:rPr>
      </w:pPr>
    </w:p>
    <w:p w:rsidR="00594AD0" w:rsidRPr="00594AD0" w:rsidRDefault="00594AD0" w:rsidP="00594AD0">
      <w:pPr>
        <w:tabs>
          <w:tab w:val="left" w:pos="1875"/>
        </w:tabs>
        <w:rPr>
          <w:rFonts w:ascii="Times New Roman" w:eastAsia="Calibri" w:hAnsi="Times New Roman" w:cs="Times New Roman"/>
        </w:rPr>
      </w:pPr>
      <w:r w:rsidRPr="00594AD0">
        <w:rPr>
          <w:rFonts w:ascii="Times New Roman" w:eastAsia="Calibri" w:hAnsi="Times New Roman" w:cs="Times New Roman"/>
        </w:rPr>
        <w:tab/>
      </w:r>
    </w:p>
    <w:p w:rsidR="00594AD0" w:rsidRPr="00594AD0" w:rsidRDefault="00594AD0" w:rsidP="00594AD0">
      <w:pPr>
        <w:rPr>
          <w:rFonts w:ascii="Times New Roman" w:eastAsia="Calibri" w:hAnsi="Times New Roman" w:cs="Times New Roman"/>
        </w:rPr>
      </w:pPr>
    </w:p>
    <w:p w:rsidR="00594AD0" w:rsidRPr="00594AD0" w:rsidRDefault="00594AD0" w:rsidP="00594AD0">
      <w:pPr>
        <w:spacing w:after="0" w:line="240" w:lineRule="auto"/>
        <w:ind w:left="426" w:hanging="426"/>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Pr="00594AD0" w:rsidRDefault="00594AD0" w:rsidP="00594AD0">
      <w:pPr>
        <w:spacing w:after="0" w:line="240" w:lineRule="auto"/>
        <w:rPr>
          <w:rFonts w:ascii="Times New Roman" w:eastAsia="Times New Roman" w:hAnsi="Times New Roman" w:cs="Times New Roman"/>
          <w:sz w:val="24"/>
          <w:szCs w:val="24"/>
          <w:lang w:eastAsia="es-ES"/>
        </w:rPr>
      </w:pPr>
    </w:p>
    <w:p w:rsidR="00594AD0" w:rsidRDefault="00594AD0"/>
    <w:sectPr w:rsidR="00594AD0" w:rsidSect="00CC1D0D">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6505" w:rsidRDefault="00EF6505" w:rsidP="0076655C">
      <w:pPr>
        <w:spacing w:after="0" w:line="240" w:lineRule="auto"/>
      </w:pPr>
      <w:r>
        <w:separator/>
      </w:r>
    </w:p>
  </w:endnote>
  <w:endnote w:type="continuationSeparator" w:id="0">
    <w:p w:rsidR="00EF6505" w:rsidRDefault="00EF6505" w:rsidP="007665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R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6505" w:rsidRDefault="00EF6505" w:rsidP="0076655C">
      <w:pPr>
        <w:spacing w:after="0" w:line="240" w:lineRule="auto"/>
      </w:pPr>
      <w:r>
        <w:separator/>
      </w:r>
    </w:p>
  </w:footnote>
  <w:footnote w:type="continuationSeparator" w:id="0">
    <w:p w:rsidR="00EF6505" w:rsidRDefault="00EF6505" w:rsidP="007665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32B9" w:rsidRDefault="007736A8">
    <w:pPr>
      <w:pStyle w:val="Encabezado"/>
      <w:jc w:val="right"/>
    </w:pPr>
    <w:r w:rsidRPr="00386631">
      <w:rPr>
        <w:rFonts w:ascii="Times New Roman" w:hAnsi="Times New Roman" w:cs="Times New Roman"/>
        <w:sz w:val="24"/>
        <w:szCs w:val="24"/>
      </w:rPr>
      <w:fldChar w:fldCharType="begin"/>
    </w:r>
    <w:r w:rsidR="003132B9" w:rsidRPr="00386631">
      <w:rPr>
        <w:rFonts w:ascii="Times New Roman" w:hAnsi="Times New Roman" w:cs="Times New Roman"/>
        <w:sz w:val="24"/>
        <w:szCs w:val="24"/>
      </w:rPr>
      <w:instrText xml:space="preserve"> PAGE   \* MERGEFORMAT </w:instrText>
    </w:r>
    <w:r w:rsidRPr="00386631">
      <w:rPr>
        <w:rFonts w:ascii="Times New Roman" w:hAnsi="Times New Roman" w:cs="Times New Roman"/>
        <w:sz w:val="24"/>
        <w:szCs w:val="24"/>
      </w:rPr>
      <w:fldChar w:fldCharType="separate"/>
    </w:r>
    <w:r w:rsidR="005F3370">
      <w:rPr>
        <w:rFonts w:ascii="Times New Roman" w:hAnsi="Times New Roman" w:cs="Times New Roman"/>
        <w:noProof/>
        <w:sz w:val="24"/>
        <w:szCs w:val="24"/>
      </w:rPr>
      <w:t>2</w:t>
    </w:r>
    <w:r w:rsidRPr="00386631">
      <w:rPr>
        <w:rFonts w:ascii="Times New Roman" w:hAnsi="Times New Roman" w:cs="Times New Roman"/>
        <w:sz w:val="24"/>
        <w:szCs w:val="24"/>
      </w:rPr>
      <w:fldChar w:fldCharType="end"/>
    </w:r>
  </w:p>
  <w:p w:rsidR="003132B9" w:rsidRDefault="003132B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F5569D"/>
    <w:multiLevelType w:val="hybridMultilevel"/>
    <w:tmpl w:val="3ABA4D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43571A07"/>
    <w:multiLevelType w:val="hybridMultilevel"/>
    <w:tmpl w:val="A2BA3CC4"/>
    <w:lvl w:ilvl="0" w:tplc="6E08C40C">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4AD0"/>
    <w:rsid w:val="00031C36"/>
    <w:rsid w:val="00047A5E"/>
    <w:rsid w:val="00050024"/>
    <w:rsid w:val="00084AE6"/>
    <w:rsid w:val="00094DCA"/>
    <w:rsid w:val="000C67C6"/>
    <w:rsid w:val="000E074A"/>
    <w:rsid w:val="000E47AE"/>
    <w:rsid w:val="001119B7"/>
    <w:rsid w:val="00140CE9"/>
    <w:rsid w:val="00151244"/>
    <w:rsid w:val="0015573B"/>
    <w:rsid w:val="0017385A"/>
    <w:rsid w:val="001758F4"/>
    <w:rsid w:val="0018595F"/>
    <w:rsid w:val="001A7D99"/>
    <w:rsid w:val="001B4D48"/>
    <w:rsid w:val="001C58B8"/>
    <w:rsid w:val="002012BA"/>
    <w:rsid w:val="0021074E"/>
    <w:rsid w:val="00233B10"/>
    <w:rsid w:val="002A0ABB"/>
    <w:rsid w:val="002A7A65"/>
    <w:rsid w:val="002B09F9"/>
    <w:rsid w:val="002B5C53"/>
    <w:rsid w:val="003132B9"/>
    <w:rsid w:val="00345B44"/>
    <w:rsid w:val="00357FAD"/>
    <w:rsid w:val="003645F0"/>
    <w:rsid w:val="003A41A9"/>
    <w:rsid w:val="003A5F1C"/>
    <w:rsid w:val="003B2C39"/>
    <w:rsid w:val="003B508A"/>
    <w:rsid w:val="003B7275"/>
    <w:rsid w:val="003E1262"/>
    <w:rsid w:val="003E3A51"/>
    <w:rsid w:val="004327C9"/>
    <w:rsid w:val="00451AA8"/>
    <w:rsid w:val="00455CEB"/>
    <w:rsid w:val="00484703"/>
    <w:rsid w:val="00490196"/>
    <w:rsid w:val="004A08CD"/>
    <w:rsid w:val="004B3461"/>
    <w:rsid w:val="004C66F5"/>
    <w:rsid w:val="004D2131"/>
    <w:rsid w:val="004D6A4E"/>
    <w:rsid w:val="004E0157"/>
    <w:rsid w:val="005624EC"/>
    <w:rsid w:val="0056594A"/>
    <w:rsid w:val="00576076"/>
    <w:rsid w:val="00580DF2"/>
    <w:rsid w:val="005879C6"/>
    <w:rsid w:val="00594AD0"/>
    <w:rsid w:val="005A211B"/>
    <w:rsid w:val="005A6B0C"/>
    <w:rsid w:val="005E50ED"/>
    <w:rsid w:val="005E57B3"/>
    <w:rsid w:val="005F3370"/>
    <w:rsid w:val="00611E21"/>
    <w:rsid w:val="00623793"/>
    <w:rsid w:val="006445C6"/>
    <w:rsid w:val="00647EF7"/>
    <w:rsid w:val="006571CF"/>
    <w:rsid w:val="00682939"/>
    <w:rsid w:val="00697CD7"/>
    <w:rsid w:val="006A1D96"/>
    <w:rsid w:val="006B56AD"/>
    <w:rsid w:val="006C1BDE"/>
    <w:rsid w:val="006C3140"/>
    <w:rsid w:val="006E26F9"/>
    <w:rsid w:val="006E503B"/>
    <w:rsid w:val="00701F98"/>
    <w:rsid w:val="00714A4C"/>
    <w:rsid w:val="00720414"/>
    <w:rsid w:val="00740653"/>
    <w:rsid w:val="00744900"/>
    <w:rsid w:val="00751725"/>
    <w:rsid w:val="0075788E"/>
    <w:rsid w:val="00763428"/>
    <w:rsid w:val="0076655C"/>
    <w:rsid w:val="00770557"/>
    <w:rsid w:val="0077181A"/>
    <w:rsid w:val="007736A8"/>
    <w:rsid w:val="007736F1"/>
    <w:rsid w:val="00780077"/>
    <w:rsid w:val="0079488A"/>
    <w:rsid w:val="007A0EBB"/>
    <w:rsid w:val="007B0449"/>
    <w:rsid w:val="007B1A37"/>
    <w:rsid w:val="007F0314"/>
    <w:rsid w:val="007F215D"/>
    <w:rsid w:val="007F7F52"/>
    <w:rsid w:val="00811637"/>
    <w:rsid w:val="00815B03"/>
    <w:rsid w:val="00820B45"/>
    <w:rsid w:val="00830090"/>
    <w:rsid w:val="00847462"/>
    <w:rsid w:val="00851A49"/>
    <w:rsid w:val="008910D6"/>
    <w:rsid w:val="008A7CAF"/>
    <w:rsid w:val="008A7FF0"/>
    <w:rsid w:val="008D1227"/>
    <w:rsid w:val="00915563"/>
    <w:rsid w:val="0091728B"/>
    <w:rsid w:val="00934007"/>
    <w:rsid w:val="00976A62"/>
    <w:rsid w:val="009A13F2"/>
    <w:rsid w:val="009A4D53"/>
    <w:rsid w:val="009B12A8"/>
    <w:rsid w:val="009B4FD9"/>
    <w:rsid w:val="009E6D38"/>
    <w:rsid w:val="00A2397B"/>
    <w:rsid w:val="00A51998"/>
    <w:rsid w:val="00AB78CD"/>
    <w:rsid w:val="00AC7F47"/>
    <w:rsid w:val="00AF3E36"/>
    <w:rsid w:val="00B06901"/>
    <w:rsid w:val="00B117EF"/>
    <w:rsid w:val="00B4533E"/>
    <w:rsid w:val="00B60244"/>
    <w:rsid w:val="00B75286"/>
    <w:rsid w:val="00B92BA8"/>
    <w:rsid w:val="00BA4EFB"/>
    <w:rsid w:val="00BB32BF"/>
    <w:rsid w:val="00BC4C0A"/>
    <w:rsid w:val="00BD7C95"/>
    <w:rsid w:val="00C029A7"/>
    <w:rsid w:val="00C06740"/>
    <w:rsid w:val="00C163F5"/>
    <w:rsid w:val="00C2534A"/>
    <w:rsid w:val="00C47022"/>
    <w:rsid w:val="00C675DF"/>
    <w:rsid w:val="00CB1BD1"/>
    <w:rsid w:val="00CC1B99"/>
    <w:rsid w:val="00CC1D0D"/>
    <w:rsid w:val="00CE3DBB"/>
    <w:rsid w:val="00CE4444"/>
    <w:rsid w:val="00CF7E6E"/>
    <w:rsid w:val="00D11881"/>
    <w:rsid w:val="00D222B6"/>
    <w:rsid w:val="00D22378"/>
    <w:rsid w:val="00D26C20"/>
    <w:rsid w:val="00D275E2"/>
    <w:rsid w:val="00D31B48"/>
    <w:rsid w:val="00D53B2C"/>
    <w:rsid w:val="00D56763"/>
    <w:rsid w:val="00D843D7"/>
    <w:rsid w:val="00DA0F65"/>
    <w:rsid w:val="00DE0C29"/>
    <w:rsid w:val="00DE67D2"/>
    <w:rsid w:val="00DF2F0B"/>
    <w:rsid w:val="00E35B7A"/>
    <w:rsid w:val="00E40FC9"/>
    <w:rsid w:val="00E45CF1"/>
    <w:rsid w:val="00E65503"/>
    <w:rsid w:val="00E9345B"/>
    <w:rsid w:val="00EB1F6A"/>
    <w:rsid w:val="00EB3CA6"/>
    <w:rsid w:val="00EC5625"/>
    <w:rsid w:val="00EC6FCA"/>
    <w:rsid w:val="00EF6505"/>
    <w:rsid w:val="00F148FB"/>
    <w:rsid w:val="00F402BF"/>
    <w:rsid w:val="00F408B3"/>
    <w:rsid w:val="00F4253D"/>
    <w:rsid w:val="00F4564A"/>
    <w:rsid w:val="00F45F9C"/>
    <w:rsid w:val="00F463C2"/>
    <w:rsid w:val="00F5289B"/>
    <w:rsid w:val="00F74240"/>
    <w:rsid w:val="00F85D99"/>
    <w:rsid w:val="00FB65AA"/>
    <w:rsid w:val="00FD395E"/>
    <w:rsid w:val="00FE0CEB"/>
    <w:rsid w:val="00FE2B95"/>
    <w:rsid w:val="00FE2C34"/>
    <w:rsid w:val="00FE4D9F"/>
    <w:rsid w:val="00FF428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19C6BB-1046-4FAA-A3F2-460EE4757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4AD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1">
    <w:name w:val="Estilo1"/>
    <w:basedOn w:val="Normal"/>
    <w:qFormat/>
    <w:rsid w:val="00031C36"/>
    <w:pPr>
      <w:spacing w:before="120" w:after="320" w:line="360" w:lineRule="auto"/>
      <w:jc w:val="both"/>
    </w:pPr>
    <w:rPr>
      <w:rFonts w:ascii="Times New Roman" w:hAnsi="Times New Roman"/>
      <w:sz w:val="24"/>
    </w:rPr>
  </w:style>
  <w:style w:type="paragraph" w:customStyle="1" w:styleId="APA">
    <w:name w:val="APA"/>
    <w:basedOn w:val="Normal"/>
    <w:qFormat/>
    <w:rsid w:val="00031C36"/>
    <w:pPr>
      <w:spacing w:line="360" w:lineRule="auto"/>
      <w:jc w:val="both"/>
    </w:pPr>
    <w:rPr>
      <w:rFonts w:ascii="Times New Roman" w:hAnsi="Times New Roman"/>
      <w:sz w:val="24"/>
    </w:rPr>
  </w:style>
  <w:style w:type="numbering" w:customStyle="1" w:styleId="Sinlista1">
    <w:name w:val="Sin lista1"/>
    <w:next w:val="Sinlista"/>
    <w:uiPriority w:val="99"/>
    <w:semiHidden/>
    <w:unhideWhenUsed/>
    <w:rsid w:val="00594AD0"/>
  </w:style>
  <w:style w:type="character" w:styleId="Hipervnculo">
    <w:name w:val="Hyperlink"/>
    <w:basedOn w:val="Fuentedeprrafopredeter"/>
    <w:rsid w:val="00594AD0"/>
    <w:rPr>
      <w:color w:val="0000FF"/>
      <w:u w:val="single"/>
    </w:rPr>
  </w:style>
  <w:style w:type="table" w:styleId="Tablaconcuadrcula">
    <w:name w:val="Table Grid"/>
    <w:basedOn w:val="Tablanormal"/>
    <w:rsid w:val="00594AD0"/>
    <w:pPr>
      <w:spacing w:after="0" w:line="240" w:lineRule="auto"/>
    </w:pPr>
    <w:rPr>
      <w:rFonts w:ascii="Times New Roman" w:eastAsia="Times New Roman" w:hAnsi="Times New Roman"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594AD0"/>
    <w:pPr>
      <w:tabs>
        <w:tab w:val="center" w:pos="4252"/>
        <w:tab w:val="right" w:pos="8504"/>
      </w:tabs>
      <w:spacing w:after="0" w:line="240" w:lineRule="auto"/>
    </w:pPr>
    <w:rPr>
      <w:rFonts w:ascii="Calibri" w:eastAsia="Calibri" w:hAnsi="Calibri" w:cs="Calibri"/>
    </w:rPr>
  </w:style>
  <w:style w:type="character" w:customStyle="1" w:styleId="EncabezadoCar">
    <w:name w:val="Encabezado Car"/>
    <w:basedOn w:val="Fuentedeprrafopredeter"/>
    <w:link w:val="Encabezado"/>
    <w:uiPriority w:val="99"/>
    <w:rsid w:val="00594AD0"/>
    <w:rPr>
      <w:rFonts w:ascii="Calibri" w:eastAsia="Calibri" w:hAnsi="Calibri" w:cs="Calibri"/>
    </w:rPr>
  </w:style>
  <w:style w:type="character" w:styleId="nfasis">
    <w:name w:val="Emphasis"/>
    <w:basedOn w:val="Fuentedeprrafopredeter"/>
    <w:qFormat/>
    <w:rsid w:val="00594AD0"/>
    <w:rPr>
      <w:i/>
      <w:iCs/>
    </w:rPr>
  </w:style>
  <w:style w:type="paragraph" w:styleId="Textocomentario">
    <w:name w:val="annotation text"/>
    <w:basedOn w:val="Normal"/>
    <w:link w:val="TextocomentarioCar"/>
    <w:uiPriority w:val="99"/>
    <w:rsid w:val="00594AD0"/>
    <w:pPr>
      <w:spacing w:line="240" w:lineRule="auto"/>
    </w:pPr>
    <w:rPr>
      <w:rFonts w:ascii="Calibri" w:eastAsia="Calibri" w:hAnsi="Calibri" w:cs="Calibri"/>
      <w:sz w:val="20"/>
      <w:szCs w:val="20"/>
    </w:rPr>
  </w:style>
  <w:style w:type="character" w:customStyle="1" w:styleId="TextocomentarioCar">
    <w:name w:val="Texto comentario Car"/>
    <w:basedOn w:val="Fuentedeprrafopredeter"/>
    <w:link w:val="Textocomentario"/>
    <w:uiPriority w:val="99"/>
    <w:rsid w:val="00594AD0"/>
    <w:rPr>
      <w:rFonts w:ascii="Calibri" w:eastAsia="Calibri" w:hAnsi="Calibri" w:cs="Calibri"/>
      <w:sz w:val="20"/>
      <w:szCs w:val="20"/>
    </w:rPr>
  </w:style>
  <w:style w:type="character" w:styleId="Refdecomentario">
    <w:name w:val="annotation reference"/>
    <w:basedOn w:val="Fuentedeprrafopredeter"/>
    <w:uiPriority w:val="99"/>
    <w:rsid w:val="00594AD0"/>
    <w:rPr>
      <w:sz w:val="16"/>
      <w:szCs w:val="16"/>
    </w:rPr>
  </w:style>
  <w:style w:type="paragraph" w:styleId="Asuntodelcomentario">
    <w:name w:val="annotation subject"/>
    <w:basedOn w:val="Textocomentario"/>
    <w:next w:val="Textocomentario"/>
    <w:link w:val="AsuntodelcomentarioCar"/>
    <w:rsid w:val="00594AD0"/>
    <w:pPr>
      <w:spacing w:after="0"/>
    </w:pPr>
    <w:rPr>
      <w:rFonts w:ascii="Times New Roman" w:eastAsia="Times New Roman" w:hAnsi="Times New Roman" w:cs="Times New Roman"/>
      <w:b/>
      <w:bCs/>
      <w:lang w:eastAsia="es-ES"/>
    </w:rPr>
  </w:style>
  <w:style w:type="character" w:customStyle="1" w:styleId="AsuntodelcomentarioCar">
    <w:name w:val="Asunto del comentario Car"/>
    <w:basedOn w:val="TextocomentarioCar"/>
    <w:link w:val="Asuntodelcomentario"/>
    <w:rsid w:val="00594AD0"/>
    <w:rPr>
      <w:rFonts w:ascii="Times New Roman" w:eastAsia="Times New Roman" w:hAnsi="Times New Roman" w:cs="Times New Roman"/>
      <w:b/>
      <w:bCs/>
      <w:sz w:val="20"/>
      <w:szCs w:val="20"/>
      <w:lang w:eastAsia="es-ES"/>
    </w:rPr>
  </w:style>
  <w:style w:type="paragraph" w:styleId="Textodeglobo">
    <w:name w:val="Balloon Text"/>
    <w:basedOn w:val="Normal"/>
    <w:link w:val="TextodegloboCar"/>
    <w:uiPriority w:val="99"/>
    <w:rsid w:val="00594AD0"/>
    <w:pPr>
      <w:spacing w:after="0" w:line="240" w:lineRule="auto"/>
    </w:pPr>
    <w:rPr>
      <w:rFonts w:ascii="Tahoma" w:eastAsia="Times New Roman" w:hAnsi="Tahoma" w:cs="Tahoma"/>
      <w:sz w:val="16"/>
      <w:szCs w:val="16"/>
      <w:lang w:eastAsia="es-ES"/>
    </w:rPr>
  </w:style>
  <w:style w:type="character" w:customStyle="1" w:styleId="TextodegloboCar">
    <w:name w:val="Texto de globo Car"/>
    <w:basedOn w:val="Fuentedeprrafopredeter"/>
    <w:link w:val="Textodeglobo"/>
    <w:uiPriority w:val="99"/>
    <w:rsid w:val="00594AD0"/>
    <w:rPr>
      <w:rFonts w:ascii="Tahoma" w:eastAsia="Times New Roman" w:hAnsi="Tahoma" w:cs="Tahoma"/>
      <w:sz w:val="16"/>
      <w:szCs w:val="16"/>
      <w:lang w:eastAsia="es-ES"/>
    </w:rPr>
  </w:style>
  <w:style w:type="paragraph" w:styleId="Piedepgina">
    <w:name w:val="footer"/>
    <w:basedOn w:val="Normal"/>
    <w:link w:val="PiedepginaCar"/>
    <w:uiPriority w:val="99"/>
    <w:rsid w:val="00594AD0"/>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uiPriority w:val="99"/>
    <w:rsid w:val="00594AD0"/>
    <w:rPr>
      <w:rFonts w:ascii="Times New Roman" w:eastAsia="Times New Roman" w:hAnsi="Times New Roman" w:cs="Times New Roman"/>
      <w:sz w:val="24"/>
      <w:szCs w:val="24"/>
      <w:lang w:eastAsia="es-ES"/>
    </w:rPr>
  </w:style>
  <w:style w:type="numbering" w:customStyle="1" w:styleId="Sinlista11">
    <w:name w:val="Sin lista11"/>
    <w:next w:val="Sinlista"/>
    <w:uiPriority w:val="99"/>
    <w:semiHidden/>
    <w:unhideWhenUsed/>
    <w:rsid w:val="00594AD0"/>
  </w:style>
  <w:style w:type="table" w:customStyle="1" w:styleId="Tablaconcuadrcula1">
    <w:name w:val="Tabla con cuadrícula1"/>
    <w:basedOn w:val="Tablanormal"/>
    <w:next w:val="Tablaconcuadrcula"/>
    <w:uiPriority w:val="99"/>
    <w:rsid w:val="00594AD0"/>
    <w:pPr>
      <w:spacing w:after="0" w:line="240" w:lineRule="auto"/>
    </w:pPr>
    <w:rPr>
      <w:rFonts w:ascii="Calibri" w:eastAsia="Calibri" w:hAnsi="Calibri" w:cs="Calibri"/>
      <w:sz w:val="20"/>
      <w:szCs w:val="20"/>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uiPriority w:val="99"/>
    <w:rsid w:val="00594AD0"/>
    <w:pPr>
      <w:autoSpaceDE w:val="0"/>
      <w:autoSpaceDN w:val="0"/>
      <w:adjustRightInd w:val="0"/>
      <w:spacing w:after="0" w:line="240" w:lineRule="auto"/>
    </w:pPr>
    <w:rPr>
      <w:rFonts w:ascii="Calibri" w:eastAsia="Calibri" w:hAnsi="Calibri" w:cs="Calibri"/>
      <w:color w:val="000000"/>
      <w:sz w:val="24"/>
      <w:szCs w:val="24"/>
    </w:rPr>
  </w:style>
  <w:style w:type="character" w:styleId="Textoennegrita">
    <w:name w:val="Strong"/>
    <w:basedOn w:val="Fuentedeprrafopredeter"/>
    <w:uiPriority w:val="99"/>
    <w:qFormat/>
    <w:rsid w:val="00594AD0"/>
    <w:rPr>
      <w:b/>
      <w:bCs/>
    </w:rPr>
  </w:style>
  <w:style w:type="table" w:styleId="Tablaclsica1">
    <w:name w:val="Table Classic 1"/>
    <w:basedOn w:val="Tablanormal"/>
    <w:rsid w:val="00594AD0"/>
    <w:pPr>
      <w:spacing w:after="0" w:line="240" w:lineRule="auto"/>
    </w:pPr>
    <w:rPr>
      <w:rFonts w:ascii="Times New Roman" w:eastAsia="Times New Roman" w:hAnsi="Times New Roman" w:cs="Times New Roman"/>
      <w:sz w:val="20"/>
      <w:szCs w:val="20"/>
      <w:lang w:eastAsia="es-E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Revisin">
    <w:name w:val="Revision"/>
    <w:hidden/>
    <w:uiPriority w:val="99"/>
    <w:semiHidden/>
    <w:rsid w:val="00594AD0"/>
    <w:pPr>
      <w:spacing w:after="0"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sabel.carmona@uam.es" TargetMode="External"/><Relationship Id="rId13"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hyperlink" Target="mailto:eva.garrosa@uam.es" TargetMode="External"/><Relationship Id="rId12"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psycnet.apa.org/doi/10.1037/a0022169" TargetMode="External"/><Relationship Id="rId4" Type="http://schemas.openxmlformats.org/officeDocument/2006/relationships/webSettings" Target="webSettings.xml"/><Relationship Id="rId9" Type="http://schemas.openxmlformats.org/officeDocument/2006/relationships/hyperlink" Target="mailto:bernardo.moreno@uam.es"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F:\DEA\DEA\RESULTADOS\GR&#193;FICOS%20INTERACCIONES\2.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F:\DEA\DEA\RESULTADOS\GR&#193;FICOS%20INTERACCIONES\1.xls"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556160829811438"/>
          <c:y val="8.5146641438032244E-2"/>
          <c:w val="0.49342526912483542"/>
          <c:h val="0.82876064333018318"/>
        </c:manualLayout>
      </c:layout>
      <c:lineChart>
        <c:grouping val="standard"/>
        <c:varyColors val="0"/>
        <c:ser>
          <c:idx val="0"/>
          <c:order val="0"/>
          <c:tx>
            <c:v>Baja DP</c:v>
          </c:tx>
          <c:spPr>
            <a:ln w="12700">
              <a:solidFill>
                <a:srgbClr val="000000"/>
              </a:solidFill>
              <a:prstDash val="solid"/>
            </a:ln>
          </c:spPr>
          <c:marker>
            <c:symbol val="diamond"/>
            <c:size val="5"/>
            <c:spPr>
              <a:solidFill>
                <a:srgbClr val="000000"/>
              </a:solidFill>
              <a:ln>
                <a:solidFill>
                  <a:srgbClr val="000000"/>
                </a:solidFill>
                <a:prstDash val="solid"/>
              </a:ln>
            </c:spPr>
          </c:marker>
          <c:cat>
            <c:strRef>
              <c:f>'2 way interactions'!$C$30:$D$30</c:f>
              <c:strCache>
                <c:ptCount val="2"/>
                <c:pt idx="0">
                  <c:v>Low Agotamiento emocional</c:v>
                </c:pt>
                <c:pt idx="1">
                  <c:v>High Agotamiento emocional</c:v>
                </c:pt>
              </c:strCache>
            </c:strRef>
          </c:cat>
          <c:val>
            <c:numRef>
              <c:f>'2 way interactions'!$C$31:$D$31</c:f>
              <c:numCache>
                <c:formatCode>General</c:formatCode>
                <c:ptCount val="2"/>
                <c:pt idx="0">
                  <c:v>28.29</c:v>
                </c:pt>
                <c:pt idx="1">
                  <c:v>27.25</c:v>
                </c:pt>
              </c:numCache>
            </c:numRef>
          </c:val>
          <c:smooth val="0"/>
          <c:extLst>
            <c:ext xmlns:c16="http://schemas.microsoft.com/office/drawing/2014/chart" uri="{C3380CC4-5D6E-409C-BE32-E72D297353CC}">
              <c16:uniqueId val="{00000000-E59C-4DE7-B01D-BD018CD4605E}"/>
            </c:ext>
          </c:extLst>
        </c:ser>
        <c:ser>
          <c:idx val="1"/>
          <c:order val="1"/>
          <c:tx>
            <c:v>Alta DP</c:v>
          </c:tx>
          <c:spPr>
            <a:ln w="12700">
              <a:solidFill>
                <a:srgbClr val="000000"/>
              </a:solidFill>
              <a:prstDash val="sysDash"/>
            </a:ln>
          </c:spPr>
          <c:marker>
            <c:symbol val="square"/>
            <c:size val="5"/>
            <c:spPr>
              <a:solidFill>
                <a:srgbClr val="000000"/>
              </a:solidFill>
              <a:ln>
                <a:solidFill>
                  <a:srgbClr val="000000"/>
                </a:solidFill>
                <a:prstDash val="solid"/>
              </a:ln>
            </c:spPr>
          </c:marker>
          <c:cat>
            <c:strRef>
              <c:f>'2 way interactions'!$C$30:$D$30</c:f>
              <c:strCache>
                <c:ptCount val="2"/>
                <c:pt idx="0">
                  <c:v>Low Agotamiento emocional</c:v>
                </c:pt>
                <c:pt idx="1">
                  <c:v>High Agotamiento emocional</c:v>
                </c:pt>
              </c:strCache>
            </c:strRef>
          </c:cat>
          <c:val>
            <c:numRef>
              <c:f>'2 way interactions'!$C$32:$D$32</c:f>
              <c:numCache>
                <c:formatCode>General</c:formatCode>
                <c:ptCount val="2"/>
                <c:pt idx="0">
                  <c:v>24.49</c:v>
                </c:pt>
                <c:pt idx="1">
                  <c:v>34.410000000000004</c:v>
                </c:pt>
              </c:numCache>
            </c:numRef>
          </c:val>
          <c:smooth val="0"/>
          <c:extLst>
            <c:ext xmlns:c16="http://schemas.microsoft.com/office/drawing/2014/chart" uri="{C3380CC4-5D6E-409C-BE32-E72D297353CC}">
              <c16:uniqueId val="{00000001-E59C-4DE7-B01D-BD018CD4605E}"/>
            </c:ext>
          </c:extLst>
        </c:ser>
        <c:dLbls>
          <c:showLegendKey val="0"/>
          <c:showVal val="0"/>
          <c:showCatName val="0"/>
          <c:showSerName val="0"/>
          <c:showPercent val="0"/>
          <c:showBubbleSize val="0"/>
        </c:dLbls>
        <c:marker val="1"/>
        <c:smooth val="0"/>
        <c:axId val="214516864"/>
        <c:axId val="214518400"/>
      </c:lineChart>
      <c:catAx>
        <c:axId val="21451686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ES"/>
          </a:p>
        </c:txPr>
        <c:crossAx val="214518400"/>
        <c:crosses val="autoZero"/>
        <c:auto val="1"/>
        <c:lblAlgn val="ctr"/>
        <c:lblOffset val="100"/>
        <c:tickLblSkip val="1"/>
        <c:tickMarkSkip val="1"/>
        <c:noMultiLvlLbl val="0"/>
      </c:catAx>
      <c:valAx>
        <c:axId val="214518400"/>
        <c:scaling>
          <c:orientation val="minMax"/>
        </c:scaling>
        <c:delete val="0"/>
        <c:axPos val="l"/>
        <c:title>
          <c:tx>
            <c:rich>
              <a:bodyPr/>
              <a:lstStyle/>
              <a:p>
                <a:pPr>
                  <a:defRPr sz="1000" b="1" i="0" u="none" strike="noStrike" baseline="0">
                    <a:solidFill>
                      <a:srgbClr val="000000"/>
                    </a:solidFill>
                    <a:latin typeface="Arial"/>
                    <a:ea typeface="Arial"/>
                    <a:cs typeface="Arial"/>
                  </a:defRPr>
                </a:pPr>
                <a:r>
                  <a:rPr lang="es-ES_tradnl" sz="1000" b="0">
                    <a:latin typeface="Times New Roman" pitchFamily="18" charset="0"/>
                    <a:cs typeface="Times New Roman" pitchFamily="18" charset="0"/>
                  </a:rPr>
                  <a:t>Afecto</a:t>
                </a:r>
                <a:r>
                  <a:rPr lang="es-ES_tradnl" sz="1000" b="0" baseline="0">
                    <a:latin typeface="Times New Roman" pitchFamily="18" charset="0"/>
                    <a:cs typeface="Times New Roman" pitchFamily="18" charset="0"/>
                  </a:rPr>
                  <a:t> Positivo Noche</a:t>
                </a:r>
                <a:endParaRPr lang="es-ES_tradnl" sz="1000" b="0">
                  <a:latin typeface="Times New Roman" pitchFamily="18" charset="0"/>
                  <a:cs typeface="Times New Roman" pitchFamily="18" charset="0"/>
                </a:endParaRPr>
              </a:p>
            </c:rich>
          </c:tx>
          <c:layout>
            <c:manualLayout>
              <c:xMode val="edge"/>
              <c:yMode val="edge"/>
              <c:x val="3.9698594825223622E-2"/>
              <c:y val="0.2593030970733025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es-ES"/>
          </a:p>
        </c:txPr>
        <c:crossAx val="214516864"/>
        <c:crosses val="autoZero"/>
        <c:crossBetween val="between"/>
      </c:valAx>
      <c:spPr>
        <a:solidFill>
          <a:srgbClr val="FFFFFF"/>
        </a:solidFill>
        <a:ln w="12700">
          <a:solidFill>
            <a:srgbClr val="808080"/>
          </a:solidFill>
          <a:prstDash val="solid"/>
        </a:ln>
      </c:spPr>
    </c:plotArea>
    <c:legend>
      <c:legendPos val="r"/>
      <c:legendEntry>
        <c:idx val="0"/>
        <c:txPr>
          <a:bodyPr/>
          <a:lstStyle/>
          <a:p>
            <a:pPr>
              <a:defRPr sz="1000" b="0" i="0" u="none" strike="noStrike" baseline="0">
                <a:solidFill>
                  <a:srgbClr val="000000"/>
                </a:solidFill>
                <a:latin typeface="Times New Roman"/>
                <a:ea typeface="Times New Roman"/>
                <a:cs typeface="Times New Roman"/>
              </a:defRPr>
            </a:pPr>
            <a:endParaRPr lang="es-ES"/>
          </a:p>
        </c:txPr>
      </c:legendEntry>
      <c:legendEntry>
        <c:idx val="1"/>
        <c:txPr>
          <a:bodyPr/>
          <a:lstStyle/>
          <a:p>
            <a:pPr>
              <a:defRPr sz="1000" b="0" i="0" u="none" strike="noStrike" baseline="0">
                <a:solidFill>
                  <a:srgbClr val="000000"/>
                </a:solidFill>
                <a:latin typeface="Times New Roman"/>
                <a:ea typeface="Times New Roman"/>
                <a:cs typeface="Times New Roman"/>
              </a:defRPr>
            </a:pPr>
            <a:endParaRPr lang="es-ES"/>
          </a:p>
        </c:txPr>
      </c:legendEntry>
      <c:layout>
        <c:manualLayout>
          <c:xMode val="edge"/>
          <c:yMode val="edge"/>
          <c:x val="0.65669468832183653"/>
          <c:y val="0.24216624910522658"/>
          <c:w val="0.27567469173660941"/>
          <c:h val="0.30085144649397927"/>
        </c:manualLayout>
      </c:layout>
      <c:overlay val="0"/>
      <c:spPr>
        <a:noFill/>
        <a:ln>
          <a:noFill/>
        </a:ln>
      </c:spPr>
      <c:txPr>
        <a:bodyPr/>
        <a:lstStyle/>
        <a:p>
          <a:pPr>
            <a:defRPr sz="1100" b="0" i="0" u="none" strike="noStrike" baseline="0">
              <a:solidFill>
                <a:srgbClr val="000000"/>
              </a:solidFill>
              <a:latin typeface="Times New Roman"/>
              <a:ea typeface="Times New Roman"/>
              <a:cs typeface="Times New Roman"/>
            </a:defRPr>
          </a:pPr>
          <a:endParaRPr lang="es-ES"/>
        </a:p>
      </c:txPr>
    </c:legend>
    <c:plotVisOnly val="1"/>
    <c:dispBlanksAs val="gap"/>
    <c:showDLblsOverMax val="0"/>
  </c:chart>
  <c:spPr>
    <a:noFill/>
    <a:ln w="3175">
      <a:noFill/>
      <a:prstDash val="solid"/>
    </a:ln>
  </c:spPr>
  <c:txPr>
    <a:bodyPr/>
    <a:lstStyle/>
    <a:p>
      <a:pPr>
        <a:defRPr sz="1200" b="0" i="0" u="none" strike="noStrike" baseline="0">
          <a:solidFill>
            <a:srgbClr val="000000"/>
          </a:solidFill>
          <a:latin typeface="Arial"/>
          <a:ea typeface="Arial"/>
          <a:cs typeface="Arial"/>
        </a:defRPr>
      </a:pPr>
      <a:endParaRPr lang="es-ES"/>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556160829811438"/>
          <c:y val="8.5146641438032244E-2"/>
          <c:w val="0.47087531674822358"/>
          <c:h val="0.82876064333018318"/>
        </c:manualLayout>
      </c:layout>
      <c:lineChart>
        <c:grouping val="standard"/>
        <c:varyColors val="0"/>
        <c:ser>
          <c:idx val="0"/>
          <c:order val="0"/>
          <c:tx>
            <c:v>Baja R</c:v>
          </c:tx>
          <c:spPr>
            <a:ln w="12700">
              <a:solidFill>
                <a:srgbClr val="000000"/>
              </a:solidFill>
              <a:prstDash val="solid"/>
            </a:ln>
          </c:spPr>
          <c:marker>
            <c:symbol val="diamond"/>
            <c:size val="5"/>
            <c:spPr>
              <a:solidFill>
                <a:srgbClr val="000000"/>
              </a:solidFill>
              <a:ln>
                <a:solidFill>
                  <a:srgbClr val="000000"/>
                </a:solidFill>
                <a:prstDash val="solid"/>
              </a:ln>
            </c:spPr>
          </c:marker>
          <c:cat>
            <c:strRef>
              <c:f>'2 way interactions'!$C$30:$D$30</c:f>
              <c:strCache>
                <c:ptCount val="2"/>
                <c:pt idx="0">
                  <c:v>Low Incivismo laboral</c:v>
                </c:pt>
                <c:pt idx="1">
                  <c:v>High Incivismo laboral</c:v>
                </c:pt>
              </c:strCache>
            </c:strRef>
          </c:cat>
          <c:val>
            <c:numRef>
              <c:f>'2 way interactions'!$C$31:$D$31</c:f>
              <c:numCache>
                <c:formatCode>General</c:formatCode>
                <c:ptCount val="2"/>
                <c:pt idx="0">
                  <c:v>28.18</c:v>
                </c:pt>
                <c:pt idx="1">
                  <c:v>34.800000000000004</c:v>
                </c:pt>
              </c:numCache>
            </c:numRef>
          </c:val>
          <c:smooth val="0"/>
          <c:extLst>
            <c:ext xmlns:c16="http://schemas.microsoft.com/office/drawing/2014/chart" uri="{C3380CC4-5D6E-409C-BE32-E72D297353CC}">
              <c16:uniqueId val="{00000000-38E8-455E-BAC1-388779A687BE}"/>
            </c:ext>
          </c:extLst>
        </c:ser>
        <c:ser>
          <c:idx val="1"/>
          <c:order val="1"/>
          <c:tx>
            <c:v>Alta R</c:v>
          </c:tx>
          <c:spPr>
            <a:ln w="12700">
              <a:solidFill>
                <a:srgbClr val="000000"/>
              </a:solidFill>
              <a:prstDash val="sysDash"/>
            </a:ln>
          </c:spPr>
          <c:marker>
            <c:symbol val="square"/>
            <c:size val="5"/>
            <c:spPr>
              <a:solidFill>
                <a:srgbClr val="000000"/>
              </a:solidFill>
              <a:ln>
                <a:solidFill>
                  <a:srgbClr val="000000"/>
                </a:solidFill>
                <a:prstDash val="solid"/>
              </a:ln>
            </c:spPr>
          </c:marker>
          <c:cat>
            <c:strRef>
              <c:f>'2 way interactions'!$C$30:$D$30</c:f>
              <c:strCache>
                <c:ptCount val="2"/>
                <c:pt idx="0">
                  <c:v>Low Incivismo laboral</c:v>
                </c:pt>
                <c:pt idx="1">
                  <c:v>High Incivismo laboral</c:v>
                </c:pt>
              </c:strCache>
            </c:strRef>
          </c:cat>
          <c:val>
            <c:numRef>
              <c:f>'2 way interactions'!$C$32:$D$32</c:f>
              <c:numCache>
                <c:formatCode>General</c:formatCode>
                <c:ptCount val="2"/>
                <c:pt idx="0">
                  <c:v>28.74</c:v>
                </c:pt>
                <c:pt idx="1">
                  <c:v>27.439999999999987</c:v>
                </c:pt>
              </c:numCache>
            </c:numRef>
          </c:val>
          <c:smooth val="0"/>
          <c:extLst>
            <c:ext xmlns:c16="http://schemas.microsoft.com/office/drawing/2014/chart" uri="{C3380CC4-5D6E-409C-BE32-E72D297353CC}">
              <c16:uniqueId val="{00000001-38E8-455E-BAC1-388779A687BE}"/>
            </c:ext>
          </c:extLst>
        </c:ser>
        <c:dLbls>
          <c:showLegendKey val="0"/>
          <c:showVal val="0"/>
          <c:showCatName val="0"/>
          <c:showSerName val="0"/>
          <c:showPercent val="0"/>
          <c:showBubbleSize val="0"/>
        </c:dLbls>
        <c:marker val="1"/>
        <c:smooth val="0"/>
        <c:axId val="214558208"/>
        <c:axId val="214559744"/>
      </c:lineChart>
      <c:catAx>
        <c:axId val="214558208"/>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050" b="0" i="0" u="none" strike="noStrike" baseline="0">
                <a:solidFill>
                  <a:srgbClr val="000000"/>
                </a:solidFill>
                <a:latin typeface="Times New Roman"/>
                <a:ea typeface="Times New Roman"/>
                <a:cs typeface="Times New Roman"/>
              </a:defRPr>
            </a:pPr>
            <a:endParaRPr lang="es-ES"/>
          </a:p>
        </c:txPr>
        <c:crossAx val="214559744"/>
        <c:crosses val="autoZero"/>
        <c:auto val="1"/>
        <c:lblAlgn val="ctr"/>
        <c:lblOffset val="100"/>
        <c:tickLblSkip val="1"/>
        <c:tickMarkSkip val="1"/>
        <c:noMultiLvlLbl val="0"/>
      </c:catAx>
      <c:valAx>
        <c:axId val="214559744"/>
        <c:scaling>
          <c:orientation val="minMax"/>
        </c:scaling>
        <c:delete val="0"/>
        <c:axPos val="l"/>
        <c:title>
          <c:tx>
            <c:rich>
              <a:bodyPr/>
              <a:lstStyle/>
              <a:p>
                <a:pPr>
                  <a:defRPr sz="1000" b="1" i="0" u="none" strike="noStrike" baseline="0">
                    <a:solidFill>
                      <a:srgbClr val="000000"/>
                    </a:solidFill>
                    <a:latin typeface="Arial"/>
                    <a:ea typeface="Arial"/>
                    <a:cs typeface="Arial"/>
                  </a:defRPr>
                </a:pPr>
                <a:r>
                  <a:rPr lang="es-ES" b="0">
                    <a:latin typeface="Times New Roman" pitchFamily="18" charset="0"/>
                    <a:cs typeface="Times New Roman" pitchFamily="18" charset="0"/>
                  </a:rPr>
                  <a:t>Afecto</a:t>
                </a:r>
                <a:r>
                  <a:rPr lang="es-ES" b="0" baseline="0">
                    <a:latin typeface="Times New Roman" pitchFamily="18" charset="0"/>
                    <a:cs typeface="Times New Roman" pitchFamily="18" charset="0"/>
                  </a:rPr>
                  <a:t> Negativo Noche</a:t>
                </a:r>
                <a:endParaRPr lang="es-ES" b="0">
                  <a:latin typeface="Times New Roman" pitchFamily="18" charset="0"/>
                  <a:cs typeface="Times New Roman" pitchFamily="18" charset="0"/>
                </a:endParaRPr>
              </a:p>
            </c:rich>
          </c:tx>
          <c:layout>
            <c:manualLayout>
              <c:xMode val="edge"/>
              <c:yMode val="edge"/>
              <c:x val="3.969858960737551E-2"/>
              <c:y val="0.2753075041756156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es-ES"/>
          </a:p>
        </c:txPr>
        <c:crossAx val="214558208"/>
        <c:crosses val="autoZero"/>
        <c:crossBetween val="between"/>
      </c:valAx>
      <c:spPr>
        <a:solidFill>
          <a:srgbClr val="FFFFFF"/>
        </a:solidFill>
        <a:ln w="12700">
          <a:solidFill>
            <a:srgbClr val="808080"/>
          </a:solidFill>
          <a:prstDash val="solid"/>
        </a:ln>
      </c:spPr>
    </c:plotArea>
    <c:legend>
      <c:legendPos val="r"/>
      <c:layout>
        <c:manualLayout>
          <c:xMode val="edge"/>
          <c:yMode val="edge"/>
          <c:x val="0.62801821607331443"/>
          <c:y val="0.27246927940825588"/>
          <c:w val="0.25140998444939699"/>
          <c:h val="0.30085144649397927"/>
        </c:manualLayout>
      </c:layout>
      <c:overlay val="0"/>
      <c:spPr>
        <a:noFill/>
        <a:ln w="3175">
          <a:noFill/>
          <a:prstDash val="solid"/>
        </a:ln>
      </c:spPr>
      <c:txPr>
        <a:bodyPr/>
        <a:lstStyle/>
        <a:p>
          <a:pPr>
            <a:defRPr sz="1100" b="0" i="0" u="none" strike="noStrike" baseline="0">
              <a:solidFill>
                <a:srgbClr val="000000"/>
              </a:solidFill>
              <a:latin typeface="Times New Roman"/>
              <a:ea typeface="Times New Roman"/>
              <a:cs typeface="Times New Roman"/>
            </a:defRPr>
          </a:pPr>
          <a:endParaRPr lang="es-ES"/>
        </a:p>
      </c:txPr>
    </c:legend>
    <c:plotVisOnly val="1"/>
    <c:dispBlanksAs val="gap"/>
    <c:showDLblsOverMax val="0"/>
  </c:chart>
  <c:spPr>
    <a:noFill/>
    <a:ln w="3175">
      <a:noFill/>
      <a:prstDash val="solid"/>
    </a:ln>
  </c:spPr>
  <c:txPr>
    <a:bodyPr/>
    <a:lstStyle/>
    <a:p>
      <a:pPr>
        <a:defRPr sz="1200" b="0" i="0" u="none" strike="noStrike" baseline="0">
          <a:solidFill>
            <a:srgbClr val="000000"/>
          </a:solidFill>
          <a:latin typeface="Arial"/>
          <a:ea typeface="Arial"/>
          <a:cs typeface="Arial"/>
        </a:defRPr>
      </a:pPr>
      <a:endParaRPr lang="es-ES"/>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0.14286</cdr:x>
      <cdr:y>0.91856</cdr:y>
    </cdr:from>
    <cdr:to>
      <cdr:x>0.6475</cdr:x>
      <cdr:y>0.98169</cdr:y>
    </cdr:to>
    <cdr:sp macro="" textlink="">
      <cdr:nvSpPr>
        <cdr:cNvPr id="2" name="1 Rectángulo"/>
        <cdr:cNvSpPr/>
      </cdr:nvSpPr>
      <cdr:spPr bwMode="auto">
        <a:xfrm xmlns:a="http://schemas.openxmlformats.org/drawingml/2006/main">
          <a:off x="814915" y="3079749"/>
          <a:ext cx="2878667" cy="211668"/>
        </a:xfrm>
        <a:prstGeom xmlns:a="http://schemas.openxmlformats.org/drawingml/2006/main" prst="rect">
          <a:avLst/>
        </a:prstGeom>
        <a:solidFill xmlns:a="http://schemas.openxmlformats.org/drawingml/2006/main">
          <a:srgbClr val="FFFFFF"/>
        </a:solidFill>
        <a:ln xmlns:a="http://schemas.openxmlformats.org/drawingml/2006/main" w="9525" cap="flat" cmpd="sng" algn="ctr">
          <a:noFill/>
          <a:prstDash val="solid"/>
          <a:round/>
          <a:headEnd type="none" w="med" len="med"/>
          <a:tailEnd type="none" w="med" len="med"/>
        </a:ln>
        <a:effectLst xmlns:a="http://schemas.openxmlformats.org/drawingml/2006/main"/>
      </cdr:spPr>
      <cdr:txBody>
        <a:bodyPr xmlns:a="http://schemas.openxmlformats.org/drawingml/2006/main" vertOverflow="clip" wrap="square" lIns="18288" tIns="0" rIns="0" bIns="0" upright="1"/>
        <a:lstStyle xmlns:a="http://schemas.openxmlformats.org/drawingml/2006/main"/>
        <a:p xmlns:a="http://schemas.openxmlformats.org/drawingml/2006/main">
          <a:r>
            <a:rPr lang="es-ES" sz="1000">
              <a:latin typeface="Times New Roman" pitchFamily="18" charset="0"/>
              <a:cs typeface="Times New Roman" pitchFamily="18" charset="0"/>
            </a:rPr>
            <a:t>            Bajo AE                                 Alto AE</a:t>
          </a:r>
        </a:p>
      </cdr:txBody>
    </cdr:sp>
  </cdr:relSizeAnchor>
</c:userShapes>
</file>

<file path=word/drawings/drawing2.xml><?xml version="1.0" encoding="utf-8"?>
<c:userShapes xmlns:c="http://schemas.openxmlformats.org/drawingml/2006/chart">
  <cdr:relSizeAnchor xmlns:cdr="http://schemas.openxmlformats.org/drawingml/2006/chartDrawing">
    <cdr:from>
      <cdr:x>0.14154</cdr:x>
      <cdr:y>0.92109</cdr:y>
    </cdr:from>
    <cdr:to>
      <cdr:x>0.61581</cdr:x>
      <cdr:y>1</cdr:y>
    </cdr:to>
    <cdr:sp macro="" textlink="">
      <cdr:nvSpPr>
        <cdr:cNvPr id="2" name="1 Rectángulo"/>
        <cdr:cNvSpPr/>
      </cdr:nvSpPr>
      <cdr:spPr bwMode="auto">
        <a:xfrm xmlns:a="http://schemas.openxmlformats.org/drawingml/2006/main">
          <a:off x="814917" y="3111501"/>
          <a:ext cx="2730500" cy="264583"/>
        </a:xfrm>
        <a:prstGeom xmlns:a="http://schemas.openxmlformats.org/drawingml/2006/main" prst="rect">
          <a:avLst/>
        </a:prstGeom>
        <a:solidFill xmlns:a="http://schemas.openxmlformats.org/drawingml/2006/main">
          <a:srgbClr val="FFFFFF"/>
        </a:solidFill>
        <a:ln xmlns:a="http://schemas.openxmlformats.org/drawingml/2006/main" w="9525" cap="flat" cmpd="sng" algn="ctr">
          <a:noFill/>
          <a:prstDash val="solid"/>
          <a:round/>
          <a:headEnd type="none" w="med" len="med"/>
          <a:tailEnd type="none" w="med" len="med"/>
        </a:ln>
        <a:effectLst xmlns:a="http://schemas.openxmlformats.org/drawingml/2006/main"/>
      </cdr:spPr>
      <cdr:txBody>
        <a:bodyPr xmlns:a="http://schemas.openxmlformats.org/drawingml/2006/main" vertOverflow="clip" wrap="square" lIns="18288" tIns="0" rIns="0" bIns="0" upright="1"/>
        <a:lstStyle xmlns:a="http://schemas.openxmlformats.org/drawingml/2006/main"/>
        <a:p xmlns:a="http://schemas.openxmlformats.org/drawingml/2006/main">
          <a:r>
            <a:rPr lang="es-ES" sz="1000">
              <a:latin typeface="Times New Roman" pitchFamily="18" charset="0"/>
              <a:cs typeface="Times New Roman" pitchFamily="18" charset="0"/>
            </a:rPr>
            <a:t>               Bajo IL                             Alto IL</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20</Pages>
  <Words>7804</Words>
  <Characters>42925</Characters>
  <Application>Microsoft Office Word</Application>
  <DocSecurity>0</DocSecurity>
  <Lines>357</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CC</dc:creator>
  <cp:lastModifiedBy>UJA</cp:lastModifiedBy>
  <cp:revision>2</cp:revision>
  <dcterms:created xsi:type="dcterms:W3CDTF">2024-02-04T17:42:00Z</dcterms:created>
  <dcterms:modified xsi:type="dcterms:W3CDTF">2024-02-04T17:42:00Z</dcterms:modified>
</cp:coreProperties>
</file>