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9AA6C5" w14:textId="77777777" w:rsidR="00D7293F" w:rsidRPr="00EB0CE2" w:rsidRDefault="00D7293F" w:rsidP="00D7293F">
      <w:pPr>
        <w:jc w:val="center"/>
        <w:rPr>
          <w:rFonts w:ascii="Times New Roman" w:hAnsi="Times New Roman" w:cs="Times New Roman"/>
          <w:b/>
          <w:color w:val="333333"/>
          <w:sz w:val="24"/>
          <w:szCs w:val="24"/>
          <w:lang w:val="en-US"/>
        </w:rPr>
      </w:pPr>
      <w:r w:rsidRPr="00EB0CE2">
        <w:rPr>
          <w:rFonts w:ascii="Times New Roman" w:hAnsi="Times New Roman" w:cs="Times New Roman"/>
          <w:b/>
          <w:color w:val="333333"/>
          <w:sz w:val="24"/>
          <w:szCs w:val="24"/>
          <w:lang w:val="en-US"/>
        </w:rPr>
        <w:t xml:space="preserve">Analysing the CEFR/CV in University Language Centres in Spain: </w:t>
      </w:r>
    </w:p>
    <w:p w14:paraId="23FC9295" w14:textId="77777777" w:rsidR="00D7293F" w:rsidRPr="00EB0CE2" w:rsidRDefault="00D7293F" w:rsidP="00D7293F">
      <w:pPr>
        <w:jc w:val="center"/>
        <w:rPr>
          <w:rFonts w:ascii="Times New Roman" w:hAnsi="Times New Roman" w:cs="Times New Roman"/>
          <w:b/>
          <w:color w:val="333333"/>
          <w:sz w:val="24"/>
          <w:szCs w:val="24"/>
        </w:rPr>
      </w:pPr>
      <w:r w:rsidRPr="00EB0CE2">
        <w:rPr>
          <w:rFonts w:ascii="Times New Roman" w:hAnsi="Times New Roman" w:cs="Times New Roman"/>
          <w:b/>
          <w:color w:val="333333"/>
          <w:sz w:val="24"/>
          <w:szCs w:val="24"/>
        </w:rPr>
        <w:t xml:space="preserve">The Raters’ Perspective </w:t>
      </w:r>
    </w:p>
    <w:p w14:paraId="2B902EC1" w14:textId="77777777" w:rsidR="00D7293F" w:rsidRPr="00EB0CE2" w:rsidRDefault="00D7293F" w:rsidP="00D7293F">
      <w:pPr>
        <w:ind w:firstLine="720"/>
        <w:rPr>
          <w:rFonts w:ascii="Times New Roman" w:hAnsi="Times New Roman" w:cs="Times New Roman"/>
          <w:i/>
          <w:color w:val="333333"/>
          <w:sz w:val="24"/>
          <w:szCs w:val="24"/>
        </w:rPr>
      </w:pPr>
      <w:r w:rsidRPr="00EB0CE2">
        <w:rPr>
          <w:rFonts w:ascii="Times New Roman" w:hAnsi="Times New Roman" w:cs="Times New Roman"/>
          <w:i/>
          <w:color w:val="333333"/>
          <w:sz w:val="24"/>
          <w:szCs w:val="24"/>
        </w:rPr>
        <w:t>Díez-Bedmar, María Belén 1</w:t>
      </w:r>
    </w:p>
    <w:p w14:paraId="555E66AC" w14:textId="77777777" w:rsidR="00D7293F" w:rsidRPr="00EB0CE2" w:rsidRDefault="00D7293F" w:rsidP="00D7293F">
      <w:pPr>
        <w:ind w:firstLine="720"/>
        <w:rPr>
          <w:rFonts w:ascii="Times New Roman" w:hAnsi="Times New Roman" w:cs="Times New Roman"/>
          <w:i/>
          <w:color w:val="333333"/>
          <w:sz w:val="24"/>
          <w:szCs w:val="24"/>
        </w:rPr>
      </w:pPr>
      <w:r w:rsidRPr="00EB0CE2">
        <w:rPr>
          <w:rFonts w:ascii="Times New Roman" w:hAnsi="Times New Roman" w:cs="Times New Roman"/>
          <w:i/>
          <w:color w:val="333333"/>
          <w:sz w:val="24"/>
          <w:szCs w:val="24"/>
        </w:rPr>
        <w:t>Luque-Agulló, Gloria 1</w:t>
      </w:r>
    </w:p>
    <w:p w14:paraId="2195B60B" w14:textId="77777777" w:rsidR="00D7293F" w:rsidRPr="00EB0CE2" w:rsidRDefault="00D7293F" w:rsidP="00D7293F">
      <w:pPr>
        <w:numPr>
          <w:ilvl w:val="0"/>
          <w:numId w:val="1"/>
        </w:numPr>
        <w:rPr>
          <w:rFonts w:ascii="Times New Roman" w:hAnsi="Times New Roman" w:cs="Times New Roman"/>
          <w:color w:val="333333"/>
          <w:sz w:val="24"/>
          <w:szCs w:val="24"/>
        </w:rPr>
      </w:pPr>
      <w:r w:rsidRPr="00EB0CE2">
        <w:rPr>
          <w:rFonts w:ascii="Times New Roman" w:hAnsi="Times New Roman" w:cs="Times New Roman"/>
          <w:color w:val="333333"/>
          <w:sz w:val="24"/>
          <w:szCs w:val="24"/>
        </w:rPr>
        <w:t>Universidad de Jaén</w:t>
      </w:r>
    </w:p>
    <w:p w14:paraId="07758A82" w14:textId="459A6A79" w:rsidR="00D7293F" w:rsidRPr="00EB0CE2" w:rsidRDefault="00A63198" w:rsidP="006D72F4">
      <w:pPr>
        <w:spacing w:after="0" w:line="240" w:lineRule="auto"/>
        <w:jc w:val="center"/>
        <w:rPr>
          <w:rFonts w:ascii="Times New Roman" w:hAnsi="Times New Roman" w:cs="Times New Roman"/>
          <w:b/>
          <w:color w:val="333333"/>
          <w:sz w:val="24"/>
          <w:szCs w:val="24"/>
        </w:rPr>
      </w:pPr>
      <w:r w:rsidRPr="00EB0CE2">
        <w:rPr>
          <w:rFonts w:ascii="Times New Roman" w:hAnsi="Times New Roman" w:cs="Times New Roman"/>
          <w:b/>
          <w:color w:val="333333"/>
          <w:sz w:val="24"/>
          <w:szCs w:val="24"/>
        </w:rPr>
        <w:t xml:space="preserve">Abstract </w:t>
      </w:r>
    </w:p>
    <w:p w14:paraId="13BD0EB7" w14:textId="77777777" w:rsidR="00E96ADF" w:rsidRDefault="00E96ADF" w:rsidP="00E96ADF">
      <w:pPr>
        <w:spacing w:after="0" w:line="240" w:lineRule="auto"/>
        <w:jc w:val="both"/>
        <w:rPr>
          <w:rFonts w:ascii="Times New Roman" w:eastAsia="Times New Roman" w:hAnsi="Times New Roman" w:cs="Times New Roman"/>
          <w:color w:val="000000"/>
          <w:sz w:val="24"/>
          <w:szCs w:val="24"/>
          <w:lang w:eastAsia="es-ES_tradnl"/>
        </w:rPr>
      </w:pPr>
    </w:p>
    <w:p w14:paraId="3B08CC6E" w14:textId="6844EBC6" w:rsidR="0043436A" w:rsidRPr="00D961BE" w:rsidRDefault="00E96ADF" w:rsidP="0043436A">
      <w:pPr>
        <w:spacing w:after="0" w:line="240" w:lineRule="auto"/>
        <w:jc w:val="both"/>
        <w:rPr>
          <w:rFonts w:ascii="Times New Roman" w:eastAsia="Times New Roman" w:hAnsi="Times New Roman" w:cs="Times New Roman"/>
          <w:i/>
          <w:lang w:val="en-US" w:eastAsia="es-ES_tradnl"/>
        </w:rPr>
      </w:pPr>
      <w:r w:rsidRPr="00D961BE">
        <w:rPr>
          <w:rFonts w:ascii="Times New Roman" w:eastAsia="Times New Roman" w:hAnsi="Times New Roman" w:cs="Times New Roman"/>
          <w:i/>
          <w:color w:val="333333"/>
          <w:shd w:val="clear" w:color="auto" w:fill="FFFFFF"/>
          <w:lang w:val="en-US" w:eastAsia="es-ES_tradnl"/>
        </w:rPr>
        <w:t xml:space="preserve">Although </w:t>
      </w:r>
      <w:r w:rsidR="00B714C2" w:rsidRPr="00D961BE">
        <w:rPr>
          <w:rFonts w:ascii="Times New Roman" w:eastAsia="Times New Roman" w:hAnsi="Times New Roman" w:cs="Times New Roman"/>
          <w:i/>
          <w:color w:val="333333"/>
          <w:shd w:val="clear" w:color="auto" w:fill="FFFFFF"/>
          <w:lang w:val="en-US" w:eastAsia="es-ES_tradnl"/>
        </w:rPr>
        <w:t>the question of assessment in the CEFR and CV has been considered in depth in the last decades, there is very little information on how the actual raters perceive the documents, their level of knowledge and training, and their opinions on the documents’ effectiveness, clarity and impact</w:t>
      </w:r>
      <w:r w:rsidRPr="00D961BE">
        <w:rPr>
          <w:rFonts w:ascii="Times New Roman" w:eastAsia="Times New Roman" w:hAnsi="Times New Roman" w:cs="Times New Roman"/>
          <w:i/>
          <w:color w:val="333333"/>
          <w:shd w:val="clear" w:color="auto" w:fill="FFFFFF"/>
          <w:lang w:val="en-US" w:eastAsia="es-ES_tradnl"/>
        </w:rPr>
        <w:t xml:space="preserve">. Thus, the </w:t>
      </w:r>
      <w:r w:rsidRPr="00D961BE">
        <w:rPr>
          <w:rFonts w:ascii="Times New Roman" w:eastAsia="Times New Roman" w:hAnsi="Times New Roman" w:cs="Times New Roman"/>
          <w:i/>
          <w:lang w:val="en-US" w:eastAsia="es-ES_tradnl"/>
        </w:rPr>
        <w:t>objective</w:t>
      </w:r>
      <w:r w:rsidRPr="00D961BE">
        <w:rPr>
          <w:rFonts w:ascii="Times New Roman" w:eastAsia="Times New Roman" w:hAnsi="Times New Roman" w:cs="Times New Roman"/>
          <w:i/>
          <w:color w:val="333333"/>
          <w:shd w:val="clear" w:color="auto" w:fill="FFFFFF"/>
          <w:lang w:val="en-US" w:eastAsia="es-ES_tradnl"/>
        </w:rPr>
        <w:t xml:space="preserve"> of this chapter</w:t>
      </w:r>
      <w:r w:rsidR="00B714C2" w:rsidRPr="00D961BE">
        <w:rPr>
          <w:rFonts w:ascii="Times New Roman" w:eastAsia="Times New Roman" w:hAnsi="Times New Roman" w:cs="Times New Roman"/>
          <w:i/>
          <w:color w:val="333333"/>
          <w:shd w:val="clear" w:color="auto" w:fill="FFFFFF"/>
          <w:lang w:val="en-US" w:eastAsia="es-ES_tradnl"/>
        </w:rPr>
        <w:t xml:space="preserve"> is to know the insiders’ perspective as regards language evaluation in University Language Centres in Spain, as part of</w:t>
      </w:r>
      <w:r w:rsidR="00B714C2" w:rsidRPr="00D961BE">
        <w:rPr>
          <w:rFonts w:ascii="Times New Roman" w:eastAsia="Times New Roman" w:hAnsi="Times New Roman" w:cs="Times New Roman"/>
          <w:i/>
          <w:color w:val="333333"/>
          <w:lang w:val="en-US" w:eastAsia="es-ES_tradnl"/>
        </w:rPr>
        <w:t xml:space="preserve"> an ongoing </w:t>
      </w:r>
      <w:r w:rsidR="00B714C2" w:rsidRPr="00D961BE">
        <w:rPr>
          <w:rFonts w:ascii="Times New Roman" w:eastAsia="Times New Roman" w:hAnsi="Times New Roman" w:cs="Times New Roman"/>
          <w:i/>
          <w:color w:val="333333"/>
          <w:shd w:val="clear" w:color="auto" w:fill="FFFFFF"/>
          <w:lang w:val="en-US" w:eastAsia="es-ES_tradnl"/>
        </w:rPr>
        <w:t>national project.</w:t>
      </w:r>
      <w:r w:rsidR="00D961BE" w:rsidRPr="00D961BE">
        <w:rPr>
          <w:rFonts w:ascii="Times New Roman" w:eastAsia="Times New Roman" w:hAnsi="Times New Roman" w:cs="Times New Roman"/>
          <w:i/>
          <w:color w:val="333333"/>
          <w:shd w:val="clear" w:color="auto" w:fill="FFFFFF"/>
          <w:vertAlign w:val="superscript"/>
          <w:lang w:val="en-US" w:eastAsia="es-ES_tradnl"/>
        </w:rPr>
        <w:t>1</w:t>
      </w:r>
      <w:r w:rsidR="00B714C2" w:rsidRPr="00D961BE">
        <w:rPr>
          <w:rFonts w:ascii="Times New Roman" w:eastAsia="Times New Roman" w:hAnsi="Times New Roman" w:cs="Times New Roman"/>
          <w:i/>
          <w:color w:val="333333"/>
          <w:shd w:val="clear" w:color="auto" w:fill="FFFFFF"/>
          <w:lang w:val="en-US" w:eastAsia="es-ES_tradnl"/>
        </w:rPr>
        <w:t xml:space="preserve"> </w:t>
      </w:r>
      <w:r w:rsidRPr="00D961BE">
        <w:rPr>
          <w:rFonts w:ascii="Times New Roman" w:eastAsia="Times New Roman" w:hAnsi="Times New Roman" w:cs="Times New Roman"/>
          <w:i/>
          <w:color w:val="333333"/>
          <w:lang w:val="en-US" w:eastAsia="es-ES_tradnl"/>
        </w:rPr>
        <w:t xml:space="preserve">In order to do so, data was elicited by means of a 38-item questionnaire, designed </w:t>
      </w:r>
      <w:r w:rsidR="0043436A" w:rsidRPr="00D961BE">
        <w:rPr>
          <w:rFonts w:ascii="Times New Roman" w:eastAsia="Times New Roman" w:hAnsi="Times New Roman" w:cs="Times New Roman"/>
          <w:i/>
          <w:color w:val="333333"/>
          <w:lang w:val="en-US" w:eastAsia="es-ES_tradnl"/>
        </w:rPr>
        <w:t xml:space="preserve">by both authors. </w:t>
      </w:r>
      <w:r w:rsidR="00B714C2" w:rsidRPr="00D961BE">
        <w:rPr>
          <w:rFonts w:ascii="Times New Roman" w:eastAsia="Times New Roman" w:hAnsi="Times New Roman" w:cs="Times New Roman"/>
          <w:i/>
          <w:color w:val="333333"/>
          <w:lang w:val="en-US" w:eastAsia="es-ES_tradnl"/>
        </w:rPr>
        <w:t>Once validated, it was distributed to the different University Language Centres in Spain</w:t>
      </w:r>
      <w:r w:rsidR="0043436A" w:rsidRPr="00D961BE">
        <w:rPr>
          <w:rFonts w:ascii="Times New Roman" w:eastAsia="Times New Roman" w:hAnsi="Times New Roman" w:cs="Times New Roman"/>
          <w:i/>
          <w:color w:val="333333"/>
          <w:lang w:val="en-US" w:eastAsia="es-ES_tradnl"/>
        </w:rPr>
        <w:t>.</w:t>
      </w:r>
      <w:r w:rsidR="00B714C2" w:rsidRPr="00D961BE">
        <w:rPr>
          <w:rFonts w:ascii="Times New Roman" w:eastAsia="Times New Roman" w:hAnsi="Times New Roman" w:cs="Times New Roman"/>
          <w:i/>
          <w:color w:val="333333"/>
          <w:lang w:val="en-US" w:eastAsia="es-ES_tradnl"/>
        </w:rPr>
        <w:t xml:space="preserve"> </w:t>
      </w:r>
      <w:r w:rsidR="00B714C2" w:rsidRPr="00D961BE">
        <w:rPr>
          <w:rFonts w:ascii="Times New Roman" w:eastAsia="Times New Roman" w:hAnsi="Times New Roman" w:cs="Times New Roman"/>
          <w:i/>
          <w:color w:val="222222"/>
          <w:shd w:val="clear" w:color="auto" w:fill="FFFFFF"/>
          <w:lang w:val="en-US" w:eastAsia="es-ES_tradnl"/>
        </w:rPr>
        <w:t>After analysing the raters</w:t>
      </w:r>
      <w:r w:rsidR="00D961BE" w:rsidRPr="00D961BE">
        <w:rPr>
          <w:rFonts w:ascii="Times New Roman" w:eastAsia="Times New Roman" w:hAnsi="Times New Roman" w:cs="Times New Roman"/>
          <w:i/>
          <w:color w:val="222222"/>
          <w:shd w:val="clear" w:color="auto" w:fill="FFFFFF"/>
          <w:lang w:val="en-US" w:eastAsia="es-ES_tradnl"/>
        </w:rPr>
        <w:t>’</w:t>
      </w:r>
      <w:r w:rsidR="00B714C2" w:rsidRPr="00D961BE">
        <w:rPr>
          <w:rFonts w:ascii="Times New Roman" w:eastAsia="Times New Roman" w:hAnsi="Times New Roman" w:cs="Times New Roman"/>
          <w:i/>
          <w:color w:val="222222"/>
          <w:shd w:val="clear" w:color="auto" w:fill="FFFFFF"/>
          <w:lang w:val="en-US" w:eastAsia="es-ES_tradnl"/>
        </w:rPr>
        <w:t xml:space="preserve"> responses</w:t>
      </w:r>
      <w:r w:rsidR="0043436A" w:rsidRPr="00D961BE">
        <w:rPr>
          <w:rFonts w:ascii="Times New Roman" w:eastAsia="Times New Roman" w:hAnsi="Times New Roman" w:cs="Times New Roman"/>
          <w:i/>
          <w:color w:val="222222"/>
          <w:shd w:val="clear" w:color="auto" w:fill="FFFFFF"/>
          <w:lang w:val="en-US" w:eastAsia="es-ES_tradnl"/>
        </w:rPr>
        <w:t>,</w:t>
      </w:r>
      <w:r w:rsidR="00B714C2" w:rsidRPr="00D961BE">
        <w:rPr>
          <w:rFonts w:ascii="Times New Roman" w:eastAsia="Times New Roman" w:hAnsi="Times New Roman" w:cs="Times New Roman"/>
          <w:i/>
          <w:color w:val="222222"/>
          <w:shd w:val="clear" w:color="auto" w:fill="FFFFFF"/>
          <w:lang w:val="en-US" w:eastAsia="es-ES_tradnl"/>
        </w:rPr>
        <w:t xml:space="preserve"> it is possible to conclude that </w:t>
      </w:r>
      <w:r w:rsidR="0043436A" w:rsidRPr="00D961BE">
        <w:rPr>
          <w:rFonts w:ascii="Times New Roman" w:eastAsia="Times New Roman" w:hAnsi="Times New Roman" w:cs="Times New Roman"/>
          <w:i/>
          <w:color w:val="000000"/>
          <w:lang w:val="en-US" w:eastAsia="es-ES_tradnl"/>
        </w:rPr>
        <w:t>raters who evaluate the CertAcles exam in University Language Centres and participated in this study are familiar with the CEFR and, to a lesser extent, the CV. However, further training is required. As shown in the results gathered, this training should focus on the communicative language competences they feel less confident with, the awareness of use of descriptors in rubrics, mediation and the action-oriented approach</w:t>
      </w:r>
      <w:r w:rsidR="00D961BE">
        <w:rPr>
          <w:rFonts w:ascii="Times New Roman" w:eastAsia="Times New Roman" w:hAnsi="Times New Roman" w:cs="Times New Roman"/>
          <w:i/>
          <w:color w:val="000000"/>
          <w:lang w:val="en-US" w:eastAsia="es-ES_tradnl"/>
        </w:rPr>
        <w:t>.</w:t>
      </w:r>
    </w:p>
    <w:p w14:paraId="0A05FA72" w14:textId="77777777" w:rsidR="00B714C2" w:rsidRPr="006D72F4" w:rsidRDefault="00B714C2" w:rsidP="006D72F4">
      <w:pPr>
        <w:spacing w:after="0" w:line="240" w:lineRule="auto"/>
        <w:rPr>
          <w:rFonts w:ascii="Times New Roman" w:eastAsia="Times New Roman" w:hAnsi="Times New Roman" w:cs="Times New Roman"/>
          <w:sz w:val="24"/>
          <w:szCs w:val="24"/>
          <w:lang w:val="en-US" w:eastAsia="es-ES_tradnl"/>
        </w:rPr>
      </w:pPr>
    </w:p>
    <w:p w14:paraId="78EA04F2" w14:textId="043E544E" w:rsidR="00B714C2" w:rsidRPr="006D72F4" w:rsidRDefault="00D961BE" w:rsidP="00EB0CE2">
      <w:pPr>
        <w:spacing w:after="0" w:line="240" w:lineRule="auto"/>
        <w:rPr>
          <w:rFonts w:ascii="Times New Roman" w:eastAsia="Times New Roman" w:hAnsi="Times New Roman" w:cs="Times New Roman"/>
          <w:sz w:val="24"/>
          <w:szCs w:val="24"/>
          <w:lang w:val="en-US" w:eastAsia="es-ES_tradnl"/>
        </w:rPr>
      </w:pPr>
      <w:r>
        <w:rPr>
          <w:rFonts w:ascii="Times New Roman" w:eastAsia="Times New Roman" w:hAnsi="Times New Roman" w:cs="Times New Roman"/>
          <w:sz w:val="24"/>
          <w:szCs w:val="24"/>
          <w:lang w:val="en-US" w:eastAsia="es-ES_tradnl"/>
        </w:rPr>
        <w:t>1.</w:t>
      </w:r>
      <w:r w:rsidRPr="00D961BE">
        <w:rPr>
          <w:rFonts w:ascii="Times New Roman" w:eastAsia="Times New Roman" w:hAnsi="Times New Roman" w:cs="Times New Roman"/>
          <w:color w:val="333333"/>
          <w:sz w:val="20"/>
          <w:szCs w:val="20"/>
          <w:lang w:val="en-US"/>
        </w:rPr>
        <w:t xml:space="preserve"> </w:t>
      </w:r>
      <w:r w:rsidRPr="00CD7490">
        <w:rPr>
          <w:rFonts w:ascii="Times New Roman" w:eastAsia="Times New Roman" w:hAnsi="Times New Roman" w:cs="Times New Roman"/>
          <w:color w:val="333333"/>
          <w:sz w:val="20"/>
          <w:szCs w:val="20"/>
          <w:lang w:val="en-US"/>
        </w:rPr>
        <w:t>‘Making the CEFR/CV more user-friendly: fine-tuning descriptors with Learner Corpus Research (LCR)’ (MCIN/AEI/10.13039/501100011033)’</w:t>
      </w:r>
    </w:p>
    <w:p w14:paraId="08E2AE6F" w14:textId="77777777" w:rsidR="00A63198" w:rsidRPr="006D72F4" w:rsidRDefault="00A63198" w:rsidP="006D72F4">
      <w:pPr>
        <w:spacing w:after="0" w:line="240" w:lineRule="auto"/>
        <w:rPr>
          <w:rFonts w:ascii="Times New Roman" w:hAnsi="Times New Roman" w:cs="Times New Roman"/>
          <w:b/>
          <w:color w:val="333333"/>
          <w:sz w:val="24"/>
          <w:szCs w:val="24"/>
          <w:lang w:val="en-US"/>
        </w:rPr>
      </w:pPr>
    </w:p>
    <w:p w14:paraId="434F4DC8" w14:textId="4E630319" w:rsidR="00D7293F" w:rsidRDefault="00D7293F" w:rsidP="006D72F4">
      <w:pPr>
        <w:spacing w:after="0" w:line="240" w:lineRule="auto"/>
        <w:jc w:val="center"/>
        <w:rPr>
          <w:rFonts w:ascii="Times New Roman" w:hAnsi="Times New Roman" w:cs="Times New Roman"/>
          <w:b/>
          <w:color w:val="333333"/>
          <w:sz w:val="24"/>
          <w:szCs w:val="24"/>
          <w:lang w:val="en-US"/>
        </w:rPr>
      </w:pPr>
      <w:r w:rsidRPr="006D72F4">
        <w:rPr>
          <w:rFonts w:ascii="Times New Roman" w:hAnsi="Times New Roman" w:cs="Times New Roman"/>
          <w:b/>
          <w:color w:val="333333"/>
          <w:sz w:val="24"/>
          <w:szCs w:val="24"/>
          <w:lang w:val="en-US"/>
        </w:rPr>
        <w:t>Introduction</w:t>
      </w:r>
    </w:p>
    <w:p w14:paraId="477AAEB9" w14:textId="77777777" w:rsidR="006D72F4" w:rsidRPr="006D72F4" w:rsidRDefault="006D72F4" w:rsidP="006D72F4">
      <w:pPr>
        <w:spacing w:after="0" w:line="240" w:lineRule="auto"/>
        <w:jc w:val="center"/>
        <w:rPr>
          <w:rFonts w:ascii="Times New Roman" w:hAnsi="Times New Roman" w:cs="Times New Roman"/>
          <w:b/>
          <w:color w:val="333333"/>
          <w:sz w:val="24"/>
          <w:szCs w:val="24"/>
          <w:lang w:val="en-US"/>
        </w:rPr>
      </w:pPr>
    </w:p>
    <w:p w14:paraId="5467C01B" w14:textId="77777777" w:rsidR="00D7293F" w:rsidRPr="006D72F4" w:rsidRDefault="00D7293F" w:rsidP="006D72F4">
      <w:pPr>
        <w:spacing w:after="0" w:line="240" w:lineRule="auto"/>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The Common European Framework of Reference for Languages (CEFR) (Council of Europe, 2001), and later, the Companion Volume (CV) (Council of Europe, 2020) are documents which have turned into guidelines for L2 teaching, learning and assessment. These documents have afforded a high degree of standardisation throughout Europe and beyond, enabling a common discourse among all the stakeholders (North, 2007), in the areas of curriculum design, development and, notably, evaluation of the communicative language competence.</w:t>
      </w:r>
    </w:p>
    <w:p w14:paraId="2B41AC78" w14:textId="107D83D6" w:rsidR="00D7293F" w:rsidRPr="006D72F4" w:rsidRDefault="00D7293F" w:rsidP="006D72F4">
      <w:pPr>
        <w:widowControl w:val="0"/>
        <w:spacing w:after="0" w:line="240" w:lineRule="auto"/>
        <w:ind w:left="17" w:right="-40" w:firstLine="549"/>
        <w:jc w:val="both"/>
        <w:rPr>
          <w:rFonts w:ascii="Times New Roman" w:eastAsia="Times New Roman" w:hAnsi="Times New Roman" w:cs="Times New Roman"/>
          <w:color w:val="231F20"/>
          <w:sz w:val="24"/>
          <w:szCs w:val="24"/>
          <w:lang w:val="en-US"/>
        </w:rPr>
      </w:pPr>
      <w:r w:rsidRPr="006D72F4">
        <w:rPr>
          <w:rFonts w:ascii="Times New Roman" w:eastAsia="Times New Roman" w:hAnsi="Times New Roman" w:cs="Times New Roman"/>
          <w:color w:val="231F20"/>
          <w:sz w:val="24"/>
          <w:szCs w:val="24"/>
          <w:lang w:val="en-US"/>
        </w:rPr>
        <w:t xml:space="preserve">In 2001, a final version of the CEFR was published to provide “a common basis for the elaboration of language syllabuses, curriculum guidelines, examinations, textbooks, etc. across Europe” (Council of Europe, 2001, p.1). </w:t>
      </w:r>
      <w:r w:rsidRPr="00FA3D7E">
        <w:rPr>
          <w:rFonts w:ascii="Times New Roman" w:eastAsia="Times New Roman" w:hAnsi="Times New Roman" w:cs="Times New Roman"/>
          <w:color w:val="231F20"/>
          <w:sz w:val="24"/>
          <w:szCs w:val="24"/>
          <w:lang w:val="en-US"/>
        </w:rPr>
        <w:t xml:space="preserve">This document provides a description of </w:t>
      </w:r>
      <w:r w:rsidR="001774E2" w:rsidRPr="00FA3D7E">
        <w:rPr>
          <w:rFonts w:ascii="Times New Roman" w:eastAsia="Times New Roman" w:hAnsi="Times New Roman" w:cs="Times New Roman"/>
          <w:color w:val="231F20"/>
          <w:sz w:val="24"/>
          <w:szCs w:val="24"/>
          <w:lang w:val="en-US"/>
        </w:rPr>
        <w:t>what</w:t>
      </w:r>
      <w:r w:rsidRPr="00FA3D7E">
        <w:rPr>
          <w:rFonts w:ascii="Times New Roman" w:eastAsia="Times New Roman" w:hAnsi="Times New Roman" w:cs="Times New Roman"/>
          <w:color w:val="231F20"/>
          <w:sz w:val="24"/>
          <w:szCs w:val="24"/>
          <w:lang w:val="en-US"/>
        </w:rPr>
        <w:t xml:space="preserve"> learners, now considered social agents, </w:t>
      </w:r>
      <w:r w:rsidR="00894C24" w:rsidRPr="00FA3D7E">
        <w:rPr>
          <w:rFonts w:ascii="Times New Roman" w:eastAsia="Times New Roman" w:hAnsi="Times New Roman" w:cs="Times New Roman"/>
          <w:color w:val="231F20"/>
          <w:sz w:val="24"/>
          <w:szCs w:val="24"/>
          <w:lang w:val="en-US"/>
        </w:rPr>
        <w:t>are able to do with the language at the different levels</w:t>
      </w:r>
      <w:r w:rsidRPr="00FA3D7E">
        <w:rPr>
          <w:rFonts w:ascii="Times New Roman" w:eastAsia="Times New Roman" w:hAnsi="Times New Roman" w:cs="Times New Roman"/>
          <w:color w:val="231F20"/>
          <w:sz w:val="24"/>
          <w:szCs w:val="24"/>
          <w:lang w:val="en-US"/>
        </w:rPr>
        <w:t xml:space="preserve"> to communicate successfully.</w:t>
      </w:r>
      <w:r w:rsidRPr="006D72F4">
        <w:rPr>
          <w:rFonts w:ascii="Times New Roman" w:eastAsia="Times New Roman" w:hAnsi="Times New Roman" w:cs="Times New Roman"/>
          <w:color w:val="231F20"/>
          <w:sz w:val="24"/>
          <w:szCs w:val="24"/>
          <w:lang w:val="en-US"/>
        </w:rPr>
        <w:t xml:space="preserve"> In order to do so, the CEFR provides Performance Level Descriptors which describe what learners </w:t>
      </w:r>
      <w:r w:rsidRPr="006D72F4">
        <w:rPr>
          <w:rFonts w:ascii="Times New Roman" w:eastAsia="Times New Roman" w:hAnsi="Times New Roman" w:cs="Times New Roman"/>
          <w:i/>
          <w:color w:val="231F20"/>
          <w:sz w:val="24"/>
          <w:szCs w:val="24"/>
          <w:lang w:val="en-US"/>
        </w:rPr>
        <w:t>can do</w:t>
      </w:r>
      <w:r w:rsidRPr="006D72F4">
        <w:rPr>
          <w:rFonts w:ascii="Times New Roman" w:eastAsia="Times New Roman" w:hAnsi="Times New Roman" w:cs="Times New Roman"/>
          <w:color w:val="231F20"/>
          <w:sz w:val="24"/>
          <w:szCs w:val="24"/>
          <w:lang w:val="en-US"/>
        </w:rPr>
        <w:t xml:space="preserve"> from A1 to C2</w:t>
      </w:r>
      <w:r w:rsidR="00894C24" w:rsidRPr="006D72F4">
        <w:rPr>
          <w:rFonts w:ascii="Times New Roman" w:eastAsia="Times New Roman" w:hAnsi="Times New Roman" w:cs="Times New Roman"/>
          <w:color w:val="231F20"/>
          <w:sz w:val="24"/>
          <w:szCs w:val="24"/>
          <w:lang w:val="en-US"/>
        </w:rPr>
        <w:t xml:space="preserve"> levels</w:t>
      </w:r>
      <w:r w:rsidRPr="006D72F4">
        <w:rPr>
          <w:rFonts w:ascii="Times New Roman" w:eastAsia="Times New Roman" w:hAnsi="Times New Roman" w:cs="Times New Roman"/>
          <w:color w:val="231F20"/>
          <w:sz w:val="24"/>
          <w:szCs w:val="24"/>
          <w:lang w:val="en-US"/>
        </w:rPr>
        <w:t xml:space="preserve">. In this sense, the CEFR has been considered a descriptive framework which aims to give a set of objective criteria to describe language proficiency. A complementary document was developed two decades later,  the Companion Volume with New Descriptors (Council of Europe, 2020), which detailed and added descriptor scales for communicative language activities in the CEFR and some new ones, developed the notion of mediation and provided a more comprehensive view of the action-oriented approach, among other aspects. </w:t>
      </w:r>
    </w:p>
    <w:p w14:paraId="11823736" w14:textId="6B440028" w:rsidR="00D7293F" w:rsidRPr="006D72F4" w:rsidRDefault="00D7293F" w:rsidP="006D72F4">
      <w:pPr>
        <w:widowControl w:val="0"/>
        <w:spacing w:after="0" w:line="240" w:lineRule="auto"/>
        <w:ind w:left="17" w:right="-40" w:firstLine="549"/>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color w:val="231F20"/>
          <w:sz w:val="24"/>
          <w:szCs w:val="24"/>
          <w:lang w:val="en-US"/>
        </w:rPr>
        <w:t xml:space="preserve">These two documents have become very important descriptive frameworks for the teaching of languages throughout Europe and beyond. However, </w:t>
      </w:r>
      <w:r w:rsidR="001774E2" w:rsidRPr="006D72F4">
        <w:rPr>
          <w:rFonts w:ascii="Times New Roman" w:eastAsia="Times New Roman" w:hAnsi="Times New Roman" w:cs="Times New Roman"/>
          <w:color w:val="231F20"/>
          <w:sz w:val="24"/>
          <w:szCs w:val="24"/>
          <w:lang w:val="en-US"/>
        </w:rPr>
        <w:t>their</w:t>
      </w:r>
      <w:r w:rsidRPr="006D72F4">
        <w:rPr>
          <w:rFonts w:ascii="Times New Roman" w:eastAsia="Times New Roman" w:hAnsi="Times New Roman" w:cs="Times New Roman"/>
          <w:color w:val="231F20"/>
          <w:sz w:val="24"/>
          <w:szCs w:val="24"/>
          <w:lang w:val="en-US"/>
        </w:rPr>
        <w:t xml:space="preserve"> impact on language </w:t>
      </w:r>
      <w:r w:rsidRPr="006D72F4">
        <w:rPr>
          <w:rFonts w:ascii="Times New Roman" w:eastAsia="Times New Roman" w:hAnsi="Times New Roman" w:cs="Times New Roman"/>
          <w:color w:val="231F20"/>
          <w:sz w:val="24"/>
          <w:szCs w:val="24"/>
          <w:lang w:val="en-US"/>
        </w:rPr>
        <w:lastRenderedPageBreak/>
        <w:t>testing surpasses by far its repercussions on the teaching and learning of languages (Little, 2007),</w:t>
      </w:r>
      <w:r w:rsidRPr="006D72F4">
        <w:rPr>
          <w:rFonts w:ascii="Times New Roman" w:eastAsia="Times New Roman" w:hAnsi="Times New Roman" w:cs="Times New Roman"/>
          <w:sz w:val="24"/>
          <w:szCs w:val="24"/>
          <w:lang w:val="en-US"/>
        </w:rPr>
        <w:t xml:space="preserve"> particularly in standardising assessment levels (Figueras, 2012)</w:t>
      </w:r>
      <w:r w:rsidRPr="006D72F4">
        <w:rPr>
          <w:rFonts w:ascii="Times New Roman" w:eastAsia="Times New Roman" w:hAnsi="Times New Roman" w:cs="Times New Roman"/>
          <w:color w:val="333333"/>
          <w:sz w:val="24"/>
          <w:szCs w:val="24"/>
          <w:lang w:val="en-US"/>
        </w:rPr>
        <w:t>.</w:t>
      </w:r>
      <w:r w:rsidRPr="006D72F4">
        <w:rPr>
          <w:rFonts w:ascii="Times New Roman" w:eastAsia="Times New Roman" w:hAnsi="Times New Roman" w:cs="Times New Roman"/>
          <w:sz w:val="24"/>
          <w:szCs w:val="24"/>
          <w:lang w:val="en-US"/>
        </w:rPr>
        <w:t xml:space="preserve"> </w:t>
      </w:r>
      <w:r w:rsidRPr="006D72F4">
        <w:rPr>
          <w:rFonts w:ascii="Times New Roman" w:eastAsia="Times New Roman" w:hAnsi="Times New Roman" w:cs="Times New Roman"/>
          <w:sz w:val="24"/>
          <w:szCs w:val="24"/>
          <w:highlight w:val="cyan"/>
          <w:lang w:val="en-US"/>
        </w:rPr>
        <w:t xml:space="preserve">The horizontal and vertical axes in the CEFR and the CV have allowed the specification of levels of communicative language competence, thus </w:t>
      </w:r>
      <w:r w:rsidRPr="006D72F4">
        <w:rPr>
          <w:rFonts w:ascii="Times New Roman" w:eastAsia="Times New Roman" w:hAnsi="Times New Roman" w:cs="Times New Roman"/>
          <w:strike/>
          <w:sz w:val="24"/>
          <w:szCs w:val="24"/>
          <w:highlight w:val="cyan"/>
          <w:lang w:val="en-US"/>
        </w:rPr>
        <w:t>describing what the language user can do at different levels and</w:t>
      </w:r>
      <w:r w:rsidRPr="006D72F4">
        <w:rPr>
          <w:rFonts w:ascii="Times New Roman" w:eastAsia="Times New Roman" w:hAnsi="Times New Roman" w:cs="Times New Roman"/>
          <w:sz w:val="24"/>
          <w:szCs w:val="24"/>
          <w:highlight w:val="cyan"/>
          <w:lang w:val="en-US"/>
        </w:rPr>
        <w:t xml:space="preserve"> setting criteria to determine if the language user is at a specific level (Cephe &amp; Toprak, 2014).</w:t>
      </w:r>
      <w:r w:rsidRPr="006D72F4">
        <w:rPr>
          <w:rFonts w:ascii="Times New Roman" w:eastAsia="Times New Roman" w:hAnsi="Times New Roman" w:cs="Times New Roman"/>
          <w:sz w:val="24"/>
          <w:szCs w:val="24"/>
          <w:lang w:val="en-US"/>
        </w:rPr>
        <w:t xml:space="preserve"> As a result, (high stakes) examinations are nowadays aligned to the CEFR/CV so that a common understanding of what the language user can do with the language to communicate is similarly evaluated regardless of the test taken. </w:t>
      </w:r>
    </w:p>
    <w:p w14:paraId="2AC6E1D0" w14:textId="301329AD" w:rsidR="00FB57BA" w:rsidRPr="006D72F4" w:rsidRDefault="00FB57BA" w:rsidP="006D72F4">
      <w:pPr>
        <w:widowControl w:val="0"/>
        <w:spacing w:after="0" w:line="240" w:lineRule="auto"/>
        <w:ind w:left="17" w:right="-40" w:firstLine="549"/>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However, the use of both documents has not been without criticism. In fact, several issues have been raised regarding two main areas, namely, teaching and evaluation processes. Concerning language teaching, the descriptive rather than prescriptive nature of the CEFR and the CV, which do not prescribe techniques or behaviours, has highlighted the need for a more explicit and detailed description of some of the aspects in the document (Figueras, 2012; Little, 2011). This demand has been partially met in the Companion Volume and in other supplementary documents, projects and conference proceedings (i.e. North et al, 2022, Little </w:t>
      </w:r>
      <w:r w:rsidR="00206031" w:rsidRPr="006D72F4">
        <w:rPr>
          <w:rFonts w:ascii="Times New Roman" w:eastAsia="Times New Roman" w:hAnsi="Times New Roman" w:cs="Times New Roman"/>
          <w:sz w:val="24"/>
          <w:szCs w:val="24"/>
          <w:lang w:val="en-US"/>
        </w:rPr>
        <w:t>&amp;</w:t>
      </w:r>
      <w:r w:rsidRPr="006D72F4">
        <w:rPr>
          <w:rFonts w:ascii="Times New Roman" w:eastAsia="Times New Roman" w:hAnsi="Times New Roman" w:cs="Times New Roman"/>
          <w:sz w:val="24"/>
          <w:szCs w:val="24"/>
          <w:lang w:val="en-US"/>
        </w:rPr>
        <w:t xml:space="preserve"> Figueras, 2022; Nagai</w:t>
      </w:r>
      <w:r w:rsidR="00206031" w:rsidRPr="006D72F4">
        <w:rPr>
          <w:rFonts w:ascii="Times New Roman" w:eastAsia="Times New Roman" w:hAnsi="Times New Roman" w:cs="Times New Roman"/>
          <w:sz w:val="24"/>
          <w:szCs w:val="24"/>
          <w:lang w:val="en-US"/>
        </w:rPr>
        <w:t xml:space="preserve"> et al.,</w:t>
      </w:r>
      <w:r w:rsidRPr="006D72F4">
        <w:rPr>
          <w:rFonts w:ascii="Times New Roman" w:eastAsia="Times New Roman" w:hAnsi="Times New Roman" w:cs="Times New Roman"/>
          <w:sz w:val="24"/>
          <w:szCs w:val="24"/>
          <w:lang w:val="en-US"/>
        </w:rPr>
        <w:t xml:space="preserve"> 2020), and the Handbook published by the British Council</w:t>
      </w:r>
      <w:r w:rsidR="00206031" w:rsidRPr="006D72F4">
        <w:rPr>
          <w:rFonts w:ascii="Times New Roman" w:eastAsia="Times New Roman" w:hAnsi="Times New Roman" w:cs="Times New Roman"/>
          <w:sz w:val="24"/>
          <w:szCs w:val="24"/>
          <w:lang w:val="en-US"/>
        </w:rPr>
        <w:t xml:space="preserve"> et al.</w:t>
      </w:r>
      <w:r w:rsidRPr="006D72F4">
        <w:rPr>
          <w:rFonts w:ascii="Times New Roman" w:eastAsia="Times New Roman" w:hAnsi="Times New Roman" w:cs="Times New Roman"/>
          <w:sz w:val="24"/>
          <w:szCs w:val="24"/>
          <w:lang w:val="en-US"/>
        </w:rPr>
        <w:t>, in 2022. However, some areas still remain imprecise (Little &amp; Figueras, 2022), which may result in practitioners interpreting and implementing the documents in different ways.</w:t>
      </w:r>
    </w:p>
    <w:p w14:paraId="4D7EE3CD" w14:textId="1F16593B" w:rsidR="00D7293F" w:rsidRPr="006D72F4" w:rsidRDefault="00D7293F" w:rsidP="006D72F4">
      <w:pPr>
        <w:widowControl w:val="0"/>
        <w:spacing w:after="0" w:line="240" w:lineRule="auto"/>
        <w:ind w:left="17" w:right="-40" w:firstLine="550"/>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Concerning language assessment, two main issues have been challenged. First, their theoretical basis has been questioned, specifically regarding aspects of validity, test content, context and rating processes (</w:t>
      </w:r>
      <w:r w:rsidR="00346AC4" w:rsidRPr="006D72F4">
        <w:rPr>
          <w:rFonts w:ascii="Times New Roman" w:eastAsia="Times New Roman" w:hAnsi="Times New Roman" w:cs="Times New Roman"/>
          <w:sz w:val="24"/>
          <w:szCs w:val="24"/>
          <w:lang w:val="en-US"/>
        </w:rPr>
        <w:t xml:space="preserve">Hulstijn, 2007; </w:t>
      </w:r>
      <w:r w:rsidR="00FA6595" w:rsidRPr="006D72F4">
        <w:rPr>
          <w:rFonts w:ascii="Times New Roman" w:eastAsia="Times New Roman" w:hAnsi="Times New Roman" w:cs="Times New Roman"/>
          <w:sz w:val="24"/>
          <w:szCs w:val="24"/>
          <w:lang w:val="en-US"/>
        </w:rPr>
        <w:t xml:space="preserve">Little, 2007; </w:t>
      </w:r>
      <w:r w:rsidRPr="006D72F4">
        <w:rPr>
          <w:rFonts w:ascii="Times New Roman" w:eastAsia="Times New Roman" w:hAnsi="Times New Roman" w:cs="Times New Roman"/>
          <w:sz w:val="24"/>
          <w:szCs w:val="24"/>
          <w:lang w:val="en-US"/>
        </w:rPr>
        <w:t>Cephe, &amp; Toprak, 2014</w:t>
      </w:r>
      <w:r w:rsidR="00FA6595" w:rsidRPr="006D72F4">
        <w:rPr>
          <w:rFonts w:ascii="Times New Roman" w:eastAsia="Times New Roman" w:hAnsi="Times New Roman" w:cs="Times New Roman"/>
          <w:sz w:val="24"/>
          <w:szCs w:val="24"/>
          <w:lang w:val="en-US"/>
        </w:rPr>
        <w:t>; North, 2014, 2020</w:t>
      </w:r>
      <w:r w:rsidRPr="006D72F4">
        <w:rPr>
          <w:rFonts w:ascii="Times New Roman" w:eastAsia="Times New Roman" w:hAnsi="Times New Roman" w:cs="Times New Roman"/>
          <w:sz w:val="24"/>
          <w:szCs w:val="24"/>
          <w:lang w:val="en-US"/>
        </w:rPr>
        <w:t>). The second area refers to practical considerations related to the</w:t>
      </w:r>
      <w:r w:rsidR="00847956" w:rsidRPr="006D72F4">
        <w:rPr>
          <w:rFonts w:ascii="Times New Roman" w:eastAsia="Times New Roman" w:hAnsi="Times New Roman" w:cs="Times New Roman"/>
          <w:sz w:val="24"/>
          <w:szCs w:val="24"/>
          <w:lang w:val="en-US"/>
        </w:rPr>
        <w:t xml:space="preserve"> difficulty </w:t>
      </w:r>
      <w:r w:rsidR="00FB57BA" w:rsidRPr="006D72F4">
        <w:rPr>
          <w:rFonts w:ascii="Times New Roman" w:eastAsia="Times New Roman" w:hAnsi="Times New Roman" w:cs="Times New Roman"/>
          <w:sz w:val="24"/>
          <w:szCs w:val="24"/>
          <w:lang w:val="en-US"/>
        </w:rPr>
        <w:t>in</w:t>
      </w:r>
      <w:r w:rsidRPr="006D72F4">
        <w:rPr>
          <w:rFonts w:ascii="Times New Roman" w:eastAsia="Times New Roman" w:hAnsi="Times New Roman" w:cs="Times New Roman"/>
          <w:sz w:val="24"/>
          <w:szCs w:val="24"/>
          <w:lang w:val="en-US"/>
        </w:rPr>
        <w:t xml:space="preserve"> us</w:t>
      </w:r>
      <w:r w:rsidR="002837F0" w:rsidRPr="006D72F4">
        <w:rPr>
          <w:rFonts w:ascii="Times New Roman" w:eastAsia="Times New Roman" w:hAnsi="Times New Roman" w:cs="Times New Roman"/>
          <w:sz w:val="24"/>
          <w:szCs w:val="24"/>
          <w:lang w:val="en-US"/>
        </w:rPr>
        <w:t>ing</w:t>
      </w:r>
      <w:r w:rsidRPr="006D72F4">
        <w:rPr>
          <w:rFonts w:ascii="Times New Roman" w:eastAsia="Times New Roman" w:hAnsi="Times New Roman" w:cs="Times New Roman"/>
          <w:sz w:val="24"/>
          <w:szCs w:val="24"/>
          <w:lang w:val="en-US"/>
        </w:rPr>
        <w:t xml:space="preserve"> </w:t>
      </w:r>
      <w:r w:rsidR="00C01C14" w:rsidRPr="006D72F4">
        <w:rPr>
          <w:rFonts w:ascii="Times New Roman" w:eastAsia="Times New Roman" w:hAnsi="Times New Roman" w:cs="Times New Roman"/>
          <w:sz w:val="24"/>
          <w:szCs w:val="24"/>
          <w:lang w:val="en-US"/>
        </w:rPr>
        <w:t>the documents for test develop</w:t>
      </w:r>
      <w:r w:rsidRPr="006D72F4">
        <w:rPr>
          <w:rFonts w:ascii="Times New Roman" w:eastAsia="Times New Roman" w:hAnsi="Times New Roman" w:cs="Times New Roman"/>
          <w:sz w:val="24"/>
          <w:szCs w:val="24"/>
          <w:lang w:val="en-US"/>
        </w:rPr>
        <w:t>ment and alignment issues (see, for instance, Simons &amp; Coplaert, 2015)</w:t>
      </w:r>
      <w:r w:rsidR="00C01C14" w:rsidRPr="006D72F4">
        <w:rPr>
          <w:rFonts w:ascii="Times New Roman" w:eastAsia="Times New Roman" w:hAnsi="Times New Roman" w:cs="Times New Roman"/>
          <w:sz w:val="24"/>
          <w:szCs w:val="24"/>
          <w:lang w:val="en-US"/>
        </w:rPr>
        <w:t xml:space="preserve">, </w:t>
      </w:r>
      <w:r w:rsidR="00847956" w:rsidRPr="006D72F4">
        <w:rPr>
          <w:rFonts w:ascii="Times New Roman" w:eastAsia="Times New Roman" w:hAnsi="Times New Roman" w:cs="Times New Roman"/>
          <w:sz w:val="24"/>
          <w:szCs w:val="24"/>
          <w:lang w:val="en-US"/>
        </w:rPr>
        <w:t>due to the scarcity of specifications for test format, method, time limit, genre, discourse</w:t>
      </w:r>
      <w:r w:rsidR="00FB57BA" w:rsidRPr="006D72F4">
        <w:rPr>
          <w:rFonts w:ascii="Times New Roman" w:eastAsia="Times New Roman" w:hAnsi="Times New Roman" w:cs="Times New Roman"/>
          <w:sz w:val="24"/>
          <w:szCs w:val="24"/>
          <w:lang w:val="en-US"/>
        </w:rPr>
        <w:t>.</w:t>
      </w:r>
    </w:p>
    <w:p w14:paraId="17F60053" w14:textId="32EA6569" w:rsidR="00D7293F" w:rsidRPr="006D72F4" w:rsidRDefault="00847956" w:rsidP="006D72F4">
      <w:pPr>
        <w:spacing w:after="0" w:line="240" w:lineRule="auto"/>
        <w:ind w:firstLine="708"/>
        <w:jc w:val="both"/>
        <w:rPr>
          <w:rFonts w:ascii="Times New Roman" w:eastAsia="Times New Roman" w:hAnsi="Times New Roman" w:cs="Times New Roman"/>
          <w:sz w:val="24"/>
          <w:szCs w:val="24"/>
          <w:highlight w:val="yellow"/>
          <w:lang w:val="en-US"/>
        </w:rPr>
      </w:pPr>
      <w:r w:rsidRPr="006D72F4">
        <w:rPr>
          <w:rFonts w:ascii="Times New Roman" w:eastAsia="Times New Roman" w:hAnsi="Times New Roman" w:cs="Times New Roman"/>
          <w:sz w:val="24"/>
          <w:szCs w:val="24"/>
          <w:lang w:val="en-US"/>
        </w:rPr>
        <w:t>E</w:t>
      </w:r>
      <w:r w:rsidR="00D7293F" w:rsidRPr="006D72F4">
        <w:rPr>
          <w:rFonts w:ascii="Times New Roman" w:eastAsia="Times New Roman" w:hAnsi="Times New Roman" w:cs="Times New Roman"/>
          <w:sz w:val="24"/>
          <w:szCs w:val="24"/>
          <w:lang w:val="en-US"/>
        </w:rPr>
        <w:t>fforts are currently being made to overcome these problems, both with the specifications developed in the CV (Council of Europe, 2020</w:t>
      </w:r>
      <w:r w:rsidR="003126F3" w:rsidRPr="006D72F4">
        <w:rPr>
          <w:rFonts w:ascii="Times New Roman" w:eastAsia="Times New Roman" w:hAnsi="Times New Roman" w:cs="Times New Roman"/>
          <w:sz w:val="24"/>
          <w:szCs w:val="24"/>
          <w:lang w:val="en-US"/>
        </w:rPr>
        <w:t>)</w:t>
      </w:r>
      <w:r w:rsidR="00D7293F" w:rsidRPr="006D72F4">
        <w:rPr>
          <w:rFonts w:ascii="Times New Roman" w:eastAsia="Times New Roman" w:hAnsi="Times New Roman" w:cs="Times New Roman"/>
          <w:sz w:val="24"/>
          <w:szCs w:val="24"/>
          <w:lang w:val="en-US"/>
        </w:rPr>
        <w:t xml:space="preserve">, and with </w:t>
      </w:r>
      <w:r w:rsidR="002837F0" w:rsidRPr="006D72F4">
        <w:rPr>
          <w:rFonts w:ascii="Times New Roman" w:eastAsia="Times New Roman" w:hAnsi="Times New Roman" w:cs="Times New Roman"/>
          <w:sz w:val="24"/>
          <w:szCs w:val="24"/>
          <w:lang w:val="en-US"/>
        </w:rPr>
        <w:t xml:space="preserve">other </w:t>
      </w:r>
      <w:r w:rsidRPr="006D72F4">
        <w:rPr>
          <w:rFonts w:ascii="Times New Roman" w:eastAsia="Times New Roman" w:hAnsi="Times New Roman" w:cs="Times New Roman"/>
          <w:sz w:val="24"/>
          <w:szCs w:val="24"/>
          <w:lang w:val="en-US"/>
        </w:rPr>
        <w:t>publications</w:t>
      </w:r>
      <w:r w:rsidR="00631428" w:rsidRPr="006D72F4">
        <w:rPr>
          <w:rFonts w:ascii="Times New Roman" w:eastAsia="Times New Roman" w:hAnsi="Times New Roman" w:cs="Times New Roman"/>
          <w:sz w:val="24"/>
          <w:szCs w:val="24"/>
          <w:lang w:val="en-US"/>
        </w:rPr>
        <w:t>, which reflect ongoing research on diverse aspects of the teaching and evaluation process within the CEFR/CV framework</w:t>
      </w:r>
      <w:r w:rsidRPr="006D72F4">
        <w:rPr>
          <w:rFonts w:ascii="Times New Roman" w:eastAsia="Times New Roman" w:hAnsi="Times New Roman" w:cs="Times New Roman"/>
          <w:sz w:val="24"/>
          <w:szCs w:val="24"/>
          <w:lang w:val="en-US"/>
        </w:rPr>
        <w:t xml:space="preserve"> (</w:t>
      </w:r>
      <w:r w:rsidR="00F614F7" w:rsidRPr="006D72F4">
        <w:rPr>
          <w:rFonts w:ascii="Times New Roman" w:eastAsia="Times New Roman" w:hAnsi="Times New Roman" w:cs="Times New Roman"/>
          <w:sz w:val="24"/>
          <w:szCs w:val="24"/>
          <w:lang w:val="en-US"/>
        </w:rPr>
        <w:t xml:space="preserve">Council of Europe, 2011; Little 2018; </w:t>
      </w:r>
      <w:r w:rsidRPr="006D72F4">
        <w:rPr>
          <w:rFonts w:ascii="Times New Roman" w:eastAsia="Times New Roman" w:hAnsi="Times New Roman" w:cs="Times New Roman"/>
          <w:sz w:val="24"/>
          <w:szCs w:val="24"/>
          <w:lang w:val="en-US"/>
        </w:rPr>
        <w:t>North</w:t>
      </w:r>
      <w:r w:rsidR="00206031" w:rsidRPr="006D72F4">
        <w:rPr>
          <w:rFonts w:ascii="Times New Roman" w:eastAsia="Times New Roman" w:hAnsi="Times New Roman" w:cs="Times New Roman"/>
          <w:sz w:val="24"/>
          <w:szCs w:val="24"/>
          <w:lang w:val="en-US"/>
        </w:rPr>
        <w:t xml:space="preserve"> et al.,</w:t>
      </w:r>
      <w:r w:rsidRPr="006D72F4">
        <w:rPr>
          <w:rFonts w:ascii="Times New Roman" w:eastAsia="Times New Roman" w:hAnsi="Times New Roman" w:cs="Times New Roman"/>
          <w:sz w:val="24"/>
          <w:szCs w:val="24"/>
          <w:lang w:val="en-US"/>
        </w:rPr>
        <w:t xml:space="preserve"> 2009; </w:t>
      </w:r>
      <w:r w:rsidR="003126F3" w:rsidRPr="006D72F4">
        <w:rPr>
          <w:rFonts w:ascii="Times New Roman" w:eastAsia="Times New Roman" w:hAnsi="Times New Roman" w:cs="Times New Roman"/>
          <w:sz w:val="24"/>
          <w:szCs w:val="24"/>
          <w:lang w:val="en-US"/>
        </w:rPr>
        <w:t>North et al., 2022</w:t>
      </w:r>
      <w:r w:rsidR="00F614F7" w:rsidRPr="006D72F4">
        <w:rPr>
          <w:rFonts w:ascii="Times New Roman" w:eastAsia="Times New Roman" w:hAnsi="Times New Roman" w:cs="Times New Roman"/>
          <w:sz w:val="24"/>
          <w:szCs w:val="24"/>
          <w:lang w:val="en-US"/>
        </w:rPr>
        <w:t>, also s</w:t>
      </w:r>
      <w:r w:rsidR="003126F3" w:rsidRPr="006D72F4">
        <w:rPr>
          <w:rFonts w:ascii="Times New Roman" w:eastAsia="Times New Roman" w:hAnsi="Times New Roman" w:cs="Times New Roman"/>
          <w:sz w:val="24"/>
          <w:szCs w:val="24"/>
          <w:lang w:val="en-US"/>
        </w:rPr>
        <w:t>ee ALTE International Conferences)</w:t>
      </w:r>
    </w:p>
    <w:p w14:paraId="53772341" w14:textId="77777777" w:rsidR="00D7293F" w:rsidRPr="006D72F4" w:rsidRDefault="00D7293F" w:rsidP="006D72F4">
      <w:pPr>
        <w:spacing w:after="0" w:line="240" w:lineRule="auto"/>
        <w:ind w:firstLine="708"/>
        <w:jc w:val="both"/>
        <w:rPr>
          <w:rFonts w:ascii="Times New Roman" w:eastAsia="Times New Roman" w:hAnsi="Times New Roman" w:cs="Times New Roman"/>
          <w:sz w:val="24"/>
          <w:szCs w:val="24"/>
          <w:highlight w:val="yellow"/>
          <w:lang w:val="en-US"/>
        </w:rPr>
      </w:pPr>
    </w:p>
    <w:p w14:paraId="648C24BB" w14:textId="5F2A3C23" w:rsidR="00D7293F" w:rsidRDefault="00D7293F" w:rsidP="006D72F4">
      <w:pPr>
        <w:spacing w:after="0" w:line="240" w:lineRule="auto"/>
        <w:jc w:val="center"/>
        <w:rPr>
          <w:rFonts w:ascii="Times New Roman" w:eastAsia="Calibri" w:hAnsi="Times New Roman" w:cs="Times New Roman"/>
          <w:b/>
          <w:sz w:val="24"/>
          <w:szCs w:val="24"/>
          <w:lang w:val="en-US"/>
        </w:rPr>
      </w:pPr>
      <w:r w:rsidRPr="006D72F4">
        <w:rPr>
          <w:rFonts w:ascii="Times New Roman" w:eastAsia="Calibri" w:hAnsi="Times New Roman" w:cs="Times New Roman"/>
          <w:b/>
          <w:sz w:val="24"/>
          <w:szCs w:val="24"/>
          <w:lang w:val="en-US"/>
        </w:rPr>
        <w:t>Implementation of the CEFR and CV</w:t>
      </w:r>
    </w:p>
    <w:p w14:paraId="7251FCFA" w14:textId="77777777" w:rsidR="006D72F4" w:rsidRPr="006D72F4" w:rsidRDefault="006D72F4" w:rsidP="006D72F4">
      <w:pPr>
        <w:spacing w:after="0" w:line="240" w:lineRule="auto"/>
        <w:jc w:val="center"/>
        <w:rPr>
          <w:rFonts w:ascii="Times New Roman" w:eastAsia="Calibri" w:hAnsi="Times New Roman" w:cs="Times New Roman"/>
          <w:b/>
          <w:sz w:val="24"/>
          <w:szCs w:val="24"/>
          <w:lang w:val="en-US"/>
        </w:rPr>
      </w:pPr>
    </w:p>
    <w:p w14:paraId="4F40DE86" w14:textId="2B33A2B1" w:rsidR="00D7293F" w:rsidRPr="006D72F4" w:rsidRDefault="00D7293F" w:rsidP="006D72F4">
      <w:pPr>
        <w:spacing w:after="0" w:line="240" w:lineRule="auto"/>
        <w:jc w:val="both"/>
        <w:rPr>
          <w:rFonts w:ascii="Times New Roman" w:eastAsia="Times New Roman" w:hAnsi="Times New Roman" w:cs="Times New Roman"/>
          <w:sz w:val="24"/>
          <w:szCs w:val="24"/>
          <w:highlight w:val="yellow"/>
          <w:lang w:val="en-US"/>
        </w:rPr>
      </w:pPr>
      <w:r w:rsidRPr="006D72F4">
        <w:rPr>
          <w:rFonts w:ascii="Times New Roman" w:eastAsia="Times New Roman" w:hAnsi="Times New Roman" w:cs="Times New Roman"/>
          <w:sz w:val="24"/>
          <w:szCs w:val="24"/>
          <w:lang w:val="en-US"/>
        </w:rPr>
        <w:t xml:space="preserve">After the publication of the CEFR two decades ago, and the CV in 2020 (Council of Europe, 2002; 2020), research has dealt with a wide range of </w:t>
      </w:r>
      <w:r w:rsidR="009A070D" w:rsidRPr="006D72F4">
        <w:rPr>
          <w:rFonts w:ascii="Times New Roman" w:eastAsia="Times New Roman" w:hAnsi="Times New Roman" w:cs="Times New Roman"/>
          <w:sz w:val="24"/>
          <w:szCs w:val="24"/>
          <w:lang w:val="en-US"/>
        </w:rPr>
        <w:t>aspects</w:t>
      </w:r>
      <w:r w:rsidR="006F488A" w:rsidRPr="006D72F4">
        <w:rPr>
          <w:rFonts w:ascii="Times New Roman" w:eastAsia="Times New Roman" w:hAnsi="Times New Roman" w:cs="Times New Roman"/>
          <w:sz w:val="24"/>
          <w:szCs w:val="24"/>
          <w:lang w:val="en-US"/>
        </w:rPr>
        <w:t xml:space="preserve"> regarding language teaching, learning and evaluation</w:t>
      </w:r>
      <w:r w:rsidRPr="006D72F4">
        <w:rPr>
          <w:rFonts w:ascii="Times New Roman" w:eastAsia="Times New Roman" w:hAnsi="Times New Roman" w:cs="Times New Roman"/>
          <w:sz w:val="24"/>
          <w:szCs w:val="24"/>
          <w:lang w:val="en-US"/>
        </w:rPr>
        <w:t>. Studies refer to three main areas: first, how the framework has influenced national educational policies; second, specific teachers’ practices in the classroom</w:t>
      </w:r>
      <w:r w:rsidR="00456B95" w:rsidRPr="006D72F4">
        <w:rPr>
          <w:rFonts w:ascii="Times New Roman" w:eastAsia="Times New Roman" w:hAnsi="Times New Roman" w:cs="Times New Roman"/>
          <w:sz w:val="24"/>
          <w:szCs w:val="24"/>
          <w:lang w:val="en-US"/>
        </w:rPr>
        <w:t>;</w:t>
      </w:r>
      <w:r w:rsidRPr="006D72F4">
        <w:rPr>
          <w:rFonts w:ascii="Times New Roman" w:eastAsia="Times New Roman" w:hAnsi="Times New Roman" w:cs="Times New Roman"/>
          <w:sz w:val="24"/>
          <w:szCs w:val="24"/>
          <w:lang w:val="en-US"/>
        </w:rPr>
        <w:t xml:space="preserve"> and</w:t>
      </w:r>
      <w:r w:rsidR="003564FA" w:rsidRPr="006D72F4">
        <w:rPr>
          <w:rFonts w:ascii="Times New Roman" w:eastAsia="Times New Roman" w:hAnsi="Times New Roman" w:cs="Times New Roman"/>
          <w:sz w:val="24"/>
          <w:szCs w:val="24"/>
          <w:lang w:val="en-US"/>
        </w:rPr>
        <w:t>,</w:t>
      </w:r>
      <w:r w:rsidRPr="006D72F4">
        <w:rPr>
          <w:rFonts w:ascii="Times New Roman" w:eastAsia="Times New Roman" w:hAnsi="Times New Roman" w:cs="Times New Roman"/>
          <w:sz w:val="24"/>
          <w:szCs w:val="24"/>
          <w:lang w:val="en-US"/>
        </w:rPr>
        <w:t xml:space="preserve"> third, assessment aspects concerning teachers as evaluators in the classroom context and raters as test designers</w:t>
      </w:r>
      <w:r w:rsidR="009A070D" w:rsidRPr="006D72F4">
        <w:rPr>
          <w:rFonts w:ascii="Times New Roman" w:eastAsia="Times New Roman" w:hAnsi="Times New Roman" w:cs="Times New Roman"/>
          <w:sz w:val="24"/>
          <w:szCs w:val="24"/>
          <w:lang w:val="en-US"/>
        </w:rPr>
        <w:t xml:space="preserve"> and/or evaluators of high-stakes exams</w:t>
      </w:r>
      <w:r w:rsidRPr="006D72F4">
        <w:rPr>
          <w:rFonts w:ascii="Times New Roman" w:eastAsia="Times New Roman" w:hAnsi="Times New Roman" w:cs="Times New Roman"/>
          <w:sz w:val="24"/>
          <w:szCs w:val="24"/>
          <w:lang w:val="en-US"/>
        </w:rPr>
        <w:t xml:space="preserve">. </w:t>
      </w:r>
    </w:p>
    <w:p w14:paraId="06A59246" w14:textId="6DD97D75" w:rsidR="00D7293F" w:rsidRPr="006D72F4" w:rsidRDefault="00D7293F" w:rsidP="006D72F4">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Regarding </w:t>
      </w:r>
      <w:r w:rsidR="009A070D" w:rsidRPr="006D72F4">
        <w:rPr>
          <w:rFonts w:ascii="Times New Roman" w:eastAsia="Times New Roman" w:hAnsi="Times New Roman" w:cs="Times New Roman"/>
          <w:sz w:val="24"/>
          <w:szCs w:val="24"/>
          <w:lang w:val="en-US"/>
        </w:rPr>
        <w:t>official methodological regulations</w:t>
      </w:r>
      <w:r w:rsidRPr="006D72F4">
        <w:rPr>
          <w:rFonts w:ascii="Times New Roman" w:eastAsia="Times New Roman" w:hAnsi="Times New Roman" w:cs="Times New Roman"/>
          <w:sz w:val="24"/>
          <w:szCs w:val="24"/>
          <w:lang w:val="en-US"/>
        </w:rPr>
        <w:t xml:space="preserve">, </w:t>
      </w:r>
      <w:r w:rsidRPr="006D72F4">
        <w:rPr>
          <w:rFonts w:ascii="Times New Roman" w:eastAsia="Times New Roman" w:hAnsi="Times New Roman" w:cs="Times New Roman"/>
          <w:color w:val="333333"/>
          <w:sz w:val="24"/>
          <w:szCs w:val="24"/>
          <w:lang w:val="en-US"/>
        </w:rPr>
        <w:t xml:space="preserve">there </w:t>
      </w:r>
      <w:r w:rsidR="009A070D" w:rsidRPr="006D72F4">
        <w:rPr>
          <w:rFonts w:ascii="Times New Roman" w:eastAsia="Times New Roman" w:hAnsi="Times New Roman" w:cs="Times New Roman"/>
          <w:color w:val="333333"/>
          <w:sz w:val="24"/>
          <w:szCs w:val="24"/>
          <w:lang w:val="en-US"/>
        </w:rPr>
        <w:t>has been</w:t>
      </w:r>
      <w:r w:rsidRPr="006D72F4">
        <w:rPr>
          <w:rFonts w:ascii="Times New Roman" w:eastAsia="Times New Roman" w:hAnsi="Times New Roman" w:cs="Times New Roman"/>
          <w:color w:val="333333"/>
          <w:sz w:val="24"/>
          <w:szCs w:val="24"/>
          <w:lang w:val="en-US"/>
        </w:rPr>
        <w:t xml:space="preserve"> a widespread effort in establishing how the CEFR/CV are affecting educational policies and legal frameworks </w:t>
      </w:r>
      <w:r w:rsidR="006F488A" w:rsidRPr="006D72F4">
        <w:rPr>
          <w:rFonts w:ascii="Times New Roman" w:eastAsia="Times New Roman" w:hAnsi="Times New Roman" w:cs="Times New Roman"/>
          <w:color w:val="333333"/>
          <w:sz w:val="24"/>
          <w:szCs w:val="24"/>
          <w:lang w:val="en-US"/>
        </w:rPr>
        <w:t>in different</w:t>
      </w:r>
      <w:r w:rsidRPr="006D72F4">
        <w:rPr>
          <w:rFonts w:ascii="Times New Roman" w:eastAsia="Times New Roman" w:hAnsi="Times New Roman" w:cs="Times New Roman"/>
          <w:color w:val="333333"/>
          <w:sz w:val="24"/>
          <w:szCs w:val="24"/>
          <w:lang w:val="en-US"/>
        </w:rPr>
        <w:t xml:space="preserve"> countries and at diverse levels. </w:t>
      </w:r>
      <w:r w:rsidRPr="006D72F4">
        <w:rPr>
          <w:rFonts w:ascii="Times New Roman" w:eastAsia="Times New Roman" w:hAnsi="Times New Roman" w:cs="Times New Roman"/>
          <w:sz w:val="24"/>
          <w:szCs w:val="24"/>
          <w:lang w:val="en-US"/>
        </w:rPr>
        <w:t xml:space="preserve">One of the first studies outside Europe showcased the CEFR influence on national educational plans in Colombia (Mejía, 2011). Fenelly (2016) also studied the influence of CEFR on English Language Education in Japan, which has recently been updated using a wider frame of reference by Negishi (2022). Also outside Europe, </w:t>
      </w:r>
      <w:r w:rsidRPr="006D72F4">
        <w:rPr>
          <w:rFonts w:ascii="Times New Roman" w:hAnsi="Times New Roman" w:cs="Times New Roman"/>
          <w:color w:val="222222"/>
          <w:sz w:val="24"/>
          <w:szCs w:val="24"/>
          <w:lang w:val="en-US"/>
        </w:rPr>
        <w:t>Piccardo (2014) appraised its impact in connection with Canada’s linguistic plurality and presence of heritage languages</w:t>
      </w:r>
      <w:r w:rsidR="00737722" w:rsidRPr="006D72F4">
        <w:rPr>
          <w:rFonts w:ascii="Times New Roman" w:hAnsi="Times New Roman" w:cs="Times New Roman"/>
          <w:color w:val="222222"/>
          <w:sz w:val="24"/>
          <w:szCs w:val="24"/>
          <w:lang w:val="en-US"/>
        </w:rPr>
        <w:t>.</w:t>
      </w:r>
      <w:r w:rsidRPr="006D72F4">
        <w:rPr>
          <w:rFonts w:ascii="Times New Roman" w:hAnsi="Times New Roman" w:cs="Times New Roman"/>
          <w:color w:val="222222"/>
          <w:sz w:val="24"/>
          <w:szCs w:val="24"/>
          <w:lang w:val="en-US"/>
        </w:rPr>
        <w:t xml:space="preserve"> Piccardo et al. (2017) have established a comparison between Switzerland and Canada focusing on the </w:t>
      </w:r>
      <w:r w:rsidRPr="006D72F4">
        <w:rPr>
          <w:rFonts w:ascii="Times New Roman" w:hAnsi="Times New Roman" w:cs="Times New Roman"/>
          <w:color w:val="222222"/>
          <w:sz w:val="24"/>
          <w:szCs w:val="24"/>
          <w:lang w:val="en-US"/>
        </w:rPr>
        <w:lastRenderedPageBreak/>
        <w:t xml:space="preserve">transparency and coherence of CEFR-related </w:t>
      </w:r>
      <w:r w:rsidRPr="006D72F4">
        <w:rPr>
          <w:rFonts w:ascii="Times New Roman" w:eastAsia="Times New Roman" w:hAnsi="Times New Roman" w:cs="Times New Roman"/>
          <w:color w:val="222222"/>
          <w:sz w:val="24"/>
          <w:szCs w:val="24"/>
          <w:lang w:val="en-US"/>
        </w:rPr>
        <w:t xml:space="preserve">language curriculum reforms and teacher training. </w:t>
      </w:r>
      <w:r w:rsidRPr="006D72F4">
        <w:rPr>
          <w:rFonts w:ascii="Times New Roman" w:eastAsia="Times New Roman" w:hAnsi="Times New Roman" w:cs="Times New Roman"/>
          <w:sz w:val="24"/>
          <w:szCs w:val="24"/>
          <w:lang w:val="en-US"/>
        </w:rPr>
        <w:t xml:space="preserve">More recently, </w:t>
      </w:r>
      <w:r w:rsidRPr="006D72F4">
        <w:rPr>
          <w:rFonts w:ascii="Times New Roman" w:eastAsia="Times New Roman" w:hAnsi="Times New Roman" w:cs="Times New Roman"/>
          <w:color w:val="333333"/>
          <w:sz w:val="24"/>
          <w:szCs w:val="24"/>
          <w:lang w:val="en-US"/>
        </w:rPr>
        <w:t>Nguyen &amp; Hamid (2020) h</w:t>
      </w:r>
      <w:r w:rsidRPr="006D72F4">
        <w:rPr>
          <w:rFonts w:ascii="Times New Roman" w:eastAsia="Times New Roman" w:hAnsi="Times New Roman" w:cs="Times New Roman"/>
          <w:color w:val="333333"/>
          <w:sz w:val="24"/>
          <w:szCs w:val="24"/>
          <w:highlight w:val="white"/>
          <w:lang w:val="en-US"/>
        </w:rPr>
        <w:t>ave also examined how the use of this framework has affected not only educational, but also socio-economical and political concerns in Vietnam.</w:t>
      </w:r>
      <w:r w:rsidRPr="006D72F4">
        <w:rPr>
          <w:rFonts w:ascii="Times New Roman" w:eastAsia="Roboto" w:hAnsi="Times New Roman" w:cs="Times New Roman"/>
          <w:b/>
          <w:color w:val="333333"/>
          <w:sz w:val="24"/>
          <w:szCs w:val="24"/>
          <w:highlight w:val="white"/>
          <w:lang w:val="en-US"/>
        </w:rPr>
        <w:t xml:space="preserve"> </w:t>
      </w:r>
    </w:p>
    <w:p w14:paraId="18E947DF" w14:textId="3C809047" w:rsidR="00D7293F" w:rsidRPr="006D72F4" w:rsidRDefault="00D7293F" w:rsidP="006D72F4">
      <w:pPr>
        <w:spacing w:after="0" w:line="240" w:lineRule="auto"/>
        <w:ind w:firstLine="708"/>
        <w:jc w:val="both"/>
        <w:rPr>
          <w:rFonts w:ascii="Times New Roman" w:eastAsia="Palatino" w:hAnsi="Times New Roman" w:cs="Times New Roman"/>
          <w:color w:val="231F20"/>
          <w:sz w:val="24"/>
          <w:szCs w:val="24"/>
          <w:lang w:val="en-US"/>
        </w:rPr>
      </w:pPr>
      <w:r w:rsidRPr="006D72F4">
        <w:rPr>
          <w:rFonts w:ascii="Times New Roman" w:eastAsia="Times New Roman" w:hAnsi="Times New Roman" w:cs="Times New Roman"/>
          <w:sz w:val="24"/>
          <w:szCs w:val="24"/>
          <w:lang w:val="en-US"/>
        </w:rPr>
        <w:t>With respect to teachers’ practices, and following the premise of becoming aware of how the CEFR is being implemented where it matters most, the classroom (Little, 2011), research has dealt with how far CEFR guidelines are being implemented</w:t>
      </w:r>
      <w:r w:rsidR="008D32A0" w:rsidRPr="006D72F4">
        <w:rPr>
          <w:rFonts w:ascii="Times New Roman" w:eastAsia="Times New Roman" w:hAnsi="Times New Roman" w:cs="Times New Roman"/>
          <w:sz w:val="24"/>
          <w:szCs w:val="24"/>
          <w:lang w:val="en-US"/>
        </w:rPr>
        <w:t>. Additionally, studies have also considered</w:t>
      </w:r>
      <w:r w:rsidRPr="006D72F4">
        <w:rPr>
          <w:rFonts w:ascii="Times New Roman" w:eastAsia="Times New Roman" w:hAnsi="Times New Roman" w:cs="Times New Roman"/>
          <w:sz w:val="24"/>
          <w:szCs w:val="24"/>
          <w:lang w:val="en-US"/>
        </w:rPr>
        <w:t xml:space="preserve"> which specific areas of the pedagogical framework have been more influenced by the CEFR/CV. </w:t>
      </w:r>
      <w:r w:rsidR="00A23B9B" w:rsidRPr="006D72F4">
        <w:rPr>
          <w:rFonts w:ascii="Times New Roman" w:eastAsia="Times New Roman" w:hAnsi="Times New Roman" w:cs="Times New Roman"/>
          <w:sz w:val="24"/>
          <w:szCs w:val="24"/>
          <w:lang w:val="en-US"/>
        </w:rPr>
        <w:t xml:space="preserve">Publications </w:t>
      </w:r>
      <w:r w:rsidRPr="006D72F4">
        <w:rPr>
          <w:rFonts w:ascii="Times New Roman" w:eastAsia="Times New Roman" w:hAnsi="Times New Roman" w:cs="Times New Roman"/>
          <w:sz w:val="24"/>
          <w:szCs w:val="24"/>
          <w:lang w:val="en-US"/>
        </w:rPr>
        <w:t>have been conducted in Japan for university teaching (</w:t>
      </w:r>
      <w:r w:rsidRPr="006D72F4">
        <w:rPr>
          <w:rFonts w:ascii="Times New Roman" w:eastAsia="Times New Roman" w:hAnsi="Times New Roman" w:cs="Times New Roman"/>
          <w:color w:val="231F20"/>
          <w:sz w:val="24"/>
          <w:szCs w:val="24"/>
          <w:lang w:val="en-US"/>
        </w:rPr>
        <w:t>Nagai &amp; O’Dwyer, 2011), or in connection with the action-oriented approach</w:t>
      </w:r>
      <w:r w:rsidRPr="006D72F4">
        <w:rPr>
          <w:rFonts w:ascii="Times New Roman" w:eastAsia="Times New Roman" w:hAnsi="Times New Roman" w:cs="Times New Roman"/>
          <w:sz w:val="24"/>
          <w:szCs w:val="24"/>
          <w:lang w:val="en-US"/>
        </w:rPr>
        <w:t xml:space="preserve"> (</w:t>
      </w:r>
      <w:r w:rsidR="008D32A0" w:rsidRPr="006D72F4">
        <w:rPr>
          <w:rFonts w:ascii="Times New Roman" w:eastAsia="Times New Roman" w:hAnsi="Times New Roman" w:cs="Times New Roman"/>
          <w:sz w:val="24"/>
          <w:szCs w:val="24"/>
          <w:lang w:val="en-US"/>
        </w:rPr>
        <w:t xml:space="preserve">Levi &amp; Figueras, 2022; Piccardo &amp; North, 2019; </w:t>
      </w:r>
      <w:r w:rsidRPr="006D72F4">
        <w:rPr>
          <w:rFonts w:ascii="Times New Roman" w:eastAsia="Times New Roman" w:hAnsi="Times New Roman" w:cs="Times New Roman"/>
          <w:sz w:val="24"/>
          <w:szCs w:val="24"/>
          <w:lang w:val="en-US"/>
        </w:rPr>
        <w:t>Schmidt et al, 2017).</w:t>
      </w:r>
      <w:r w:rsidRPr="006D72F4">
        <w:rPr>
          <w:rFonts w:ascii="Times New Roman" w:eastAsia="Times New Roman" w:hAnsi="Times New Roman" w:cs="Times New Roman"/>
          <w:color w:val="231F20"/>
          <w:sz w:val="24"/>
          <w:szCs w:val="24"/>
          <w:lang w:val="en-US"/>
        </w:rPr>
        <w:t xml:space="preserve"> In Malaysia, Abidin (2021) has focused on the notions of plurilingualism and pluriculturalism, whereas </w:t>
      </w:r>
      <w:r w:rsidRPr="006D72F4">
        <w:rPr>
          <w:rFonts w:ascii="Times New Roman" w:eastAsia="Times New Roman" w:hAnsi="Times New Roman" w:cs="Times New Roman"/>
          <w:sz w:val="24"/>
          <w:szCs w:val="24"/>
          <w:lang w:val="en-US"/>
        </w:rPr>
        <w:t>teachers’ understanding and awareness of the notion of mediation as developed in the CV is nowadays under study throughout Europe and beyond (Fernandez</w:t>
      </w:r>
      <w:r w:rsidR="00206031" w:rsidRPr="006D72F4">
        <w:rPr>
          <w:rFonts w:ascii="Times New Roman" w:eastAsia="Times New Roman" w:hAnsi="Times New Roman" w:cs="Times New Roman"/>
          <w:sz w:val="24"/>
          <w:szCs w:val="24"/>
          <w:lang w:val="en-US"/>
        </w:rPr>
        <w:t>-</w:t>
      </w:r>
      <w:r w:rsidRPr="006D72F4">
        <w:rPr>
          <w:rFonts w:ascii="Times New Roman" w:eastAsia="Times New Roman" w:hAnsi="Times New Roman" w:cs="Times New Roman"/>
          <w:sz w:val="24"/>
          <w:szCs w:val="24"/>
          <w:lang w:val="en-US"/>
        </w:rPr>
        <w:t>Alvarez &amp; García</w:t>
      </w:r>
      <w:r w:rsidR="00206031" w:rsidRPr="006D72F4">
        <w:rPr>
          <w:rFonts w:ascii="Times New Roman" w:eastAsia="Times New Roman" w:hAnsi="Times New Roman" w:cs="Times New Roman"/>
          <w:sz w:val="24"/>
          <w:szCs w:val="24"/>
          <w:lang w:val="en-US"/>
        </w:rPr>
        <w:t>-</w:t>
      </w:r>
      <w:r w:rsidRPr="006D72F4">
        <w:rPr>
          <w:rFonts w:ascii="Times New Roman" w:eastAsia="Times New Roman" w:hAnsi="Times New Roman" w:cs="Times New Roman"/>
          <w:sz w:val="24"/>
          <w:szCs w:val="24"/>
          <w:lang w:val="en-US"/>
        </w:rPr>
        <w:t>Hernández, 2021;</w:t>
      </w:r>
      <w:r w:rsidR="005A32BC" w:rsidRPr="006D72F4">
        <w:rPr>
          <w:rFonts w:ascii="Times New Roman" w:eastAsia="Times New Roman" w:hAnsi="Times New Roman" w:cs="Times New Roman"/>
          <w:sz w:val="24"/>
          <w:szCs w:val="24"/>
          <w:lang w:val="en-US"/>
        </w:rPr>
        <w:t xml:space="preserve"> Fonseca-Mora &amp; Davies, 2022</w:t>
      </w:r>
      <w:r w:rsidRPr="006D72F4">
        <w:rPr>
          <w:rFonts w:ascii="Times New Roman" w:eastAsia="Times New Roman" w:hAnsi="Times New Roman" w:cs="Times New Roman"/>
          <w:sz w:val="24"/>
          <w:szCs w:val="24"/>
          <w:lang w:val="en-US"/>
        </w:rPr>
        <w:t>; Levi &amp; Figueras, 2022</w:t>
      </w:r>
      <w:r w:rsidR="005A32BC" w:rsidRPr="006D72F4">
        <w:rPr>
          <w:rFonts w:ascii="Times New Roman" w:eastAsia="Times New Roman" w:hAnsi="Times New Roman" w:cs="Times New Roman"/>
          <w:sz w:val="24"/>
          <w:szCs w:val="24"/>
          <w:lang w:val="en-US"/>
        </w:rPr>
        <w:t>; Melo-Pfeifer &amp; Helmchen, 2022; Sánchez</w:t>
      </w:r>
      <w:r w:rsidR="00206031" w:rsidRPr="006D72F4">
        <w:rPr>
          <w:rFonts w:ascii="Times New Roman" w:eastAsia="Times New Roman" w:hAnsi="Times New Roman" w:cs="Times New Roman"/>
          <w:sz w:val="24"/>
          <w:szCs w:val="24"/>
          <w:lang w:val="en-US"/>
        </w:rPr>
        <w:t>-</w:t>
      </w:r>
      <w:r w:rsidR="005A32BC" w:rsidRPr="006D72F4">
        <w:rPr>
          <w:rFonts w:ascii="Times New Roman" w:eastAsia="Times New Roman" w:hAnsi="Times New Roman" w:cs="Times New Roman"/>
          <w:sz w:val="24"/>
          <w:szCs w:val="24"/>
          <w:lang w:val="en-US"/>
        </w:rPr>
        <w:t>Cuadrado</w:t>
      </w:r>
      <w:r w:rsidR="00206031" w:rsidRPr="006D72F4">
        <w:rPr>
          <w:rFonts w:ascii="Times New Roman" w:eastAsia="Times New Roman" w:hAnsi="Times New Roman" w:cs="Times New Roman"/>
          <w:sz w:val="24"/>
          <w:szCs w:val="24"/>
          <w:lang w:val="en-US"/>
        </w:rPr>
        <w:t xml:space="preserve"> et al.</w:t>
      </w:r>
      <w:r w:rsidR="005A32BC" w:rsidRPr="006D72F4">
        <w:rPr>
          <w:rFonts w:ascii="Times New Roman" w:eastAsia="Times New Roman" w:hAnsi="Times New Roman" w:cs="Times New Roman"/>
          <w:sz w:val="24"/>
          <w:szCs w:val="24"/>
          <w:lang w:val="en-US"/>
        </w:rPr>
        <w:t>, 2022; Pedregosa &amp; Sánchez</w:t>
      </w:r>
      <w:r w:rsidR="00206031" w:rsidRPr="006D72F4">
        <w:rPr>
          <w:rFonts w:ascii="Times New Roman" w:eastAsia="Times New Roman" w:hAnsi="Times New Roman" w:cs="Times New Roman"/>
          <w:sz w:val="24"/>
          <w:szCs w:val="24"/>
          <w:lang w:val="en-US"/>
        </w:rPr>
        <w:t>-</w:t>
      </w:r>
      <w:r w:rsidR="005A32BC" w:rsidRPr="006D72F4">
        <w:rPr>
          <w:rFonts w:ascii="Times New Roman" w:eastAsia="Times New Roman" w:hAnsi="Times New Roman" w:cs="Times New Roman"/>
          <w:sz w:val="24"/>
          <w:szCs w:val="24"/>
          <w:lang w:val="en-US"/>
        </w:rPr>
        <w:t>Cuadrado, 2022</w:t>
      </w:r>
      <w:r w:rsidRPr="006D72F4">
        <w:rPr>
          <w:rFonts w:ascii="Times New Roman" w:eastAsia="Times New Roman" w:hAnsi="Times New Roman" w:cs="Times New Roman"/>
          <w:sz w:val="24"/>
          <w:szCs w:val="24"/>
          <w:lang w:val="en-US"/>
        </w:rPr>
        <w:t xml:space="preserve">). </w:t>
      </w:r>
    </w:p>
    <w:p w14:paraId="308AD536" w14:textId="2C4722D0" w:rsidR="00D7293F" w:rsidRPr="006D72F4" w:rsidRDefault="003564FA" w:rsidP="006D72F4">
      <w:pPr>
        <w:spacing w:after="0" w:line="240" w:lineRule="auto"/>
        <w:ind w:firstLine="720"/>
        <w:jc w:val="both"/>
        <w:rPr>
          <w:rFonts w:ascii="Times New Roman" w:eastAsia="Times New Roman" w:hAnsi="Times New Roman" w:cs="Times New Roman"/>
          <w:color w:val="333333"/>
          <w:sz w:val="24"/>
          <w:szCs w:val="24"/>
          <w:highlight w:val="white"/>
          <w:lang w:val="en-US"/>
        </w:rPr>
      </w:pPr>
      <w:r w:rsidRPr="006D72F4">
        <w:rPr>
          <w:rFonts w:ascii="Times New Roman" w:eastAsia="Calibri" w:hAnsi="Times New Roman" w:cs="Times New Roman"/>
          <w:sz w:val="24"/>
          <w:szCs w:val="24"/>
          <w:lang w:val="en-US"/>
        </w:rPr>
        <w:t xml:space="preserve">As regards the </w:t>
      </w:r>
      <w:r w:rsidR="008D32A0" w:rsidRPr="006D72F4">
        <w:rPr>
          <w:rFonts w:ascii="Times New Roman" w:eastAsia="Calibri" w:hAnsi="Times New Roman" w:cs="Times New Roman"/>
          <w:sz w:val="24"/>
          <w:szCs w:val="24"/>
          <w:lang w:val="en-US"/>
        </w:rPr>
        <w:t>third</w:t>
      </w:r>
      <w:r w:rsidRPr="006D72F4">
        <w:rPr>
          <w:rFonts w:ascii="Times New Roman" w:eastAsia="Calibri" w:hAnsi="Times New Roman" w:cs="Times New Roman"/>
          <w:sz w:val="24"/>
          <w:szCs w:val="24"/>
          <w:lang w:val="en-US"/>
        </w:rPr>
        <w:t xml:space="preserve"> area of research</w:t>
      </w:r>
      <w:r w:rsidR="0019245B" w:rsidRPr="006D72F4">
        <w:rPr>
          <w:rFonts w:ascii="Times New Roman" w:eastAsia="Calibri" w:hAnsi="Times New Roman" w:cs="Times New Roman"/>
          <w:sz w:val="24"/>
          <w:szCs w:val="24"/>
          <w:lang w:val="en-US"/>
        </w:rPr>
        <w:t xml:space="preserve"> </w:t>
      </w:r>
      <w:r w:rsidRPr="006D72F4">
        <w:rPr>
          <w:rFonts w:ascii="Times New Roman" w:eastAsia="Calibri" w:hAnsi="Times New Roman" w:cs="Times New Roman"/>
          <w:sz w:val="24"/>
          <w:szCs w:val="24"/>
          <w:lang w:val="en-US"/>
        </w:rPr>
        <w:t xml:space="preserve">mentioned at the start of the </w:t>
      </w:r>
      <w:r w:rsidR="008D32A0" w:rsidRPr="006D72F4">
        <w:rPr>
          <w:rFonts w:ascii="Times New Roman" w:eastAsia="Calibri" w:hAnsi="Times New Roman" w:cs="Times New Roman"/>
          <w:sz w:val="24"/>
          <w:szCs w:val="24"/>
          <w:lang w:val="en-US"/>
        </w:rPr>
        <w:t>section, the</w:t>
      </w:r>
      <w:r w:rsidR="00D7293F" w:rsidRPr="006D72F4">
        <w:rPr>
          <w:rFonts w:ascii="Times New Roman" w:eastAsia="Times New Roman" w:hAnsi="Times New Roman" w:cs="Times New Roman"/>
          <w:sz w:val="24"/>
          <w:szCs w:val="24"/>
          <w:lang w:val="en-US"/>
        </w:rPr>
        <w:t xml:space="preserve"> CEFR/CV framework has been </w:t>
      </w:r>
      <w:r w:rsidR="008D32A0" w:rsidRPr="006D72F4">
        <w:rPr>
          <w:rFonts w:ascii="Times New Roman" w:eastAsia="Times New Roman" w:hAnsi="Times New Roman" w:cs="Times New Roman"/>
          <w:sz w:val="24"/>
          <w:szCs w:val="24"/>
          <w:lang w:val="en-US"/>
        </w:rPr>
        <w:t>especially</w:t>
      </w:r>
      <w:r w:rsidR="00D7293F" w:rsidRPr="006D72F4">
        <w:rPr>
          <w:rFonts w:ascii="Times New Roman" w:eastAsia="Times New Roman" w:hAnsi="Times New Roman" w:cs="Times New Roman"/>
          <w:sz w:val="24"/>
          <w:szCs w:val="24"/>
          <w:lang w:val="en-US"/>
        </w:rPr>
        <w:t xml:space="preserve"> influential for language evaluation. </w:t>
      </w:r>
      <w:r w:rsidR="00456B95" w:rsidRPr="006D72F4">
        <w:rPr>
          <w:rFonts w:ascii="Times New Roman" w:eastAsia="Times New Roman" w:hAnsi="Times New Roman" w:cs="Times New Roman"/>
          <w:sz w:val="24"/>
          <w:szCs w:val="24"/>
          <w:lang w:val="en-US"/>
        </w:rPr>
        <w:t>S</w:t>
      </w:r>
      <w:r w:rsidR="00D7293F" w:rsidRPr="006D72F4">
        <w:rPr>
          <w:rFonts w:ascii="Times New Roman" w:eastAsia="Times New Roman" w:hAnsi="Times New Roman" w:cs="Times New Roman"/>
          <w:sz w:val="24"/>
          <w:szCs w:val="24"/>
          <w:lang w:val="en-US"/>
        </w:rPr>
        <w:t>tudies have focused on improving the assessment process concerning different abilities and skills. For instance, teachers’ assessment of writing skills within the CEFR framework at the tertiary level has been explored in China (Zheng</w:t>
      </w:r>
      <w:r w:rsidR="00206031" w:rsidRPr="006D72F4">
        <w:rPr>
          <w:rFonts w:ascii="Times New Roman" w:eastAsia="Times New Roman" w:hAnsi="Times New Roman" w:cs="Times New Roman"/>
          <w:sz w:val="24"/>
          <w:szCs w:val="24"/>
          <w:lang w:val="en-US"/>
        </w:rPr>
        <w:t xml:space="preserve"> et al.</w:t>
      </w:r>
      <w:r w:rsidR="00D7293F" w:rsidRPr="006D72F4">
        <w:rPr>
          <w:rFonts w:ascii="Times New Roman" w:eastAsia="Times New Roman" w:hAnsi="Times New Roman" w:cs="Times New Roman"/>
          <w:sz w:val="24"/>
          <w:szCs w:val="24"/>
          <w:lang w:val="en-US"/>
        </w:rPr>
        <w:t xml:space="preserve">, 2016). </w:t>
      </w:r>
      <w:r w:rsidR="00456B95" w:rsidRPr="006D72F4">
        <w:rPr>
          <w:rFonts w:ascii="Times New Roman" w:eastAsia="Times New Roman" w:hAnsi="Times New Roman" w:cs="Times New Roman"/>
          <w:sz w:val="24"/>
          <w:szCs w:val="24"/>
          <w:lang w:val="en-US"/>
        </w:rPr>
        <w:t>Other publications have dealt with the</w:t>
      </w:r>
      <w:r w:rsidR="008D32A0" w:rsidRPr="006D72F4">
        <w:rPr>
          <w:rFonts w:ascii="Times New Roman" w:eastAsia="Times New Roman" w:hAnsi="Times New Roman" w:cs="Times New Roman"/>
          <w:sz w:val="24"/>
          <w:szCs w:val="24"/>
          <w:lang w:val="en-US"/>
        </w:rPr>
        <w:t xml:space="preserve"> </w:t>
      </w:r>
      <w:r w:rsidR="00D7293F" w:rsidRPr="006D72F4">
        <w:rPr>
          <w:rFonts w:ascii="Times New Roman" w:eastAsia="Times New Roman" w:hAnsi="Times New Roman" w:cs="Times New Roman"/>
          <w:sz w:val="24"/>
          <w:szCs w:val="24"/>
          <w:lang w:val="en-US"/>
        </w:rPr>
        <w:t xml:space="preserve">CEFR’s suitability for setting university entrance standards (Harsch, 2018) in accordance with the dictates of educational institutions, stakeholders, and teachers. </w:t>
      </w:r>
      <w:r w:rsidR="00C2575B" w:rsidRPr="006D72F4">
        <w:rPr>
          <w:rFonts w:ascii="Times New Roman" w:eastAsia="Times New Roman" w:hAnsi="Times New Roman" w:cs="Times New Roman"/>
          <w:sz w:val="24"/>
          <w:szCs w:val="24"/>
          <w:lang w:val="en-US"/>
        </w:rPr>
        <w:t>Research</w:t>
      </w:r>
      <w:r w:rsidR="00D7293F" w:rsidRPr="006D72F4">
        <w:rPr>
          <w:rFonts w:ascii="Times New Roman" w:eastAsia="Times New Roman" w:hAnsi="Times New Roman" w:cs="Times New Roman"/>
          <w:sz w:val="24"/>
          <w:szCs w:val="24"/>
          <w:lang w:val="en-US"/>
        </w:rPr>
        <w:t xml:space="preserve"> </w:t>
      </w:r>
      <w:r w:rsidR="00C2575B" w:rsidRPr="006D72F4">
        <w:rPr>
          <w:rFonts w:ascii="Times New Roman" w:eastAsia="Times New Roman" w:hAnsi="Times New Roman" w:cs="Times New Roman"/>
          <w:sz w:val="24"/>
          <w:szCs w:val="24"/>
          <w:lang w:val="en-US"/>
        </w:rPr>
        <w:t xml:space="preserve">on </w:t>
      </w:r>
      <w:r w:rsidR="00D7293F" w:rsidRPr="006D72F4">
        <w:rPr>
          <w:rFonts w:ascii="Times New Roman" w:eastAsia="Times New Roman" w:hAnsi="Times New Roman" w:cs="Times New Roman"/>
          <w:sz w:val="24"/>
          <w:szCs w:val="24"/>
          <w:lang w:val="en-US"/>
        </w:rPr>
        <w:t>test alignment</w:t>
      </w:r>
      <w:r w:rsidR="00C6559C" w:rsidRPr="006D72F4">
        <w:rPr>
          <w:rFonts w:ascii="Times New Roman" w:eastAsia="Times New Roman" w:hAnsi="Times New Roman" w:cs="Times New Roman"/>
          <w:sz w:val="24"/>
          <w:szCs w:val="24"/>
          <w:lang w:val="en-US"/>
        </w:rPr>
        <w:t xml:space="preserve"> </w:t>
      </w:r>
      <w:r w:rsidR="00D7293F" w:rsidRPr="006D72F4">
        <w:rPr>
          <w:rFonts w:ascii="Times New Roman" w:eastAsia="Times New Roman" w:hAnsi="Times New Roman" w:cs="Times New Roman"/>
          <w:sz w:val="24"/>
          <w:szCs w:val="24"/>
          <w:lang w:val="en-US"/>
        </w:rPr>
        <w:t>to the CEFR levels has been conducted given the framework potential for increasing the transparency of test results (Foley, 2019; Green, 2017; Papageorgiou, 2022; Shackleton, 2018)</w:t>
      </w:r>
      <w:r w:rsidR="003A5937" w:rsidRPr="006D72F4">
        <w:rPr>
          <w:rFonts w:ascii="Times New Roman" w:eastAsia="Times New Roman" w:hAnsi="Times New Roman" w:cs="Times New Roman"/>
          <w:sz w:val="24"/>
          <w:szCs w:val="24"/>
          <w:lang w:val="en-US"/>
        </w:rPr>
        <w:t xml:space="preserve">, specially considering </w:t>
      </w:r>
      <w:r w:rsidR="00D7293F" w:rsidRPr="006D72F4">
        <w:rPr>
          <w:rFonts w:ascii="Times New Roman" w:eastAsia="Times New Roman" w:hAnsi="Times New Roman" w:cs="Times New Roman"/>
          <w:sz w:val="24"/>
          <w:szCs w:val="24"/>
          <w:lang w:val="en-US"/>
        </w:rPr>
        <w:t>whether there is validity and agreement of judgments when aligning tests to the CEFR levels</w:t>
      </w:r>
      <w:r w:rsidR="00557C28" w:rsidRPr="006D72F4">
        <w:rPr>
          <w:rFonts w:ascii="Times New Roman" w:eastAsia="Times New Roman" w:hAnsi="Times New Roman" w:cs="Times New Roman"/>
          <w:sz w:val="24"/>
          <w:szCs w:val="24"/>
          <w:lang w:val="en-US"/>
        </w:rPr>
        <w:t xml:space="preserve">, </w:t>
      </w:r>
      <w:r w:rsidR="00D7293F" w:rsidRPr="006D72F4">
        <w:rPr>
          <w:rFonts w:ascii="Times New Roman" w:eastAsia="Times New Roman" w:hAnsi="Times New Roman" w:cs="Times New Roman"/>
          <w:sz w:val="24"/>
          <w:szCs w:val="24"/>
          <w:lang w:val="en-US"/>
        </w:rPr>
        <w:t xml:space="preserve">either from the perspective of teachers as evaluators within the classroom (Huang et al., 2018; </w:t>
      </w:r>
      <w:r w:rsidR="00D7293F" w:rsidRPr="006D72F4">
        <w:rPr>
          <w:rFonts w:ascii="Times New Roman" w:eastAsia="Times New Roman" w:hAnsi="Times New Roman" w:cs="Times New Roman"/>
          <w:color w:val="333333"/>
          <w:sz w:val="24"/>
          <w:szCs w:val="24"/>
          <w:highlight w:val="white"/>
          <w:lang w:val="en-US"/>
        </w:rPr>
        <w:t xml:space="preserve">Fleckenstein et al., 2018; </w:t>
      </w:r>
      <w:r w:rsidR="00D7293F" w:rsidRPr="006D72F4">
        <w:rPr>
          <w:rFonts w:ascii="Times New Roman" w:eastAsia="Times New Roman" w:hAnsi="Times New Roman" w:cs="Times New Roman"/>
          <w:color w:val="333333"/>
          <w:sz w:val="24"/>
          <w:szCs w:val="24"/>
          <w:lang w:val="en-US"/>
        </w:rPr>
        <w:t xml:space="preserve">Noijons et al., 2011; </w:t>
      </w:r>
      <w:r w:rsidR="00D7293F" w:rsidRPr="006D72F4">
        <w:rPr>
          <w:rFonts w:ascii="Times New Roman" w:eastAsia="Times New Roman" w:hAnsi="Times New Roman" w:cs="Times New Roman"/>
          <w:sz w:val="24"/>
          <w:szCs w:val="24"/>
          <w:lang w:val="en-US"/>
        </w:rPr>
        <w:t xml:space="preserve">Simons &amp; Colpaert, 2015) or from the test designers’ viewpoint (Harsch </w:t>
      </w:r>
      <w:r w:rsidR="00206031" w:rsidRPr="006D72F4">
        <w:rPr>
          <w:rFonts w:ascii="Times New Roman" w:eastAsia="Times New Roman" w:hAnsi="Times New Roman" w:cs="Times New Roman"/>
          <w:sz w:val="24"/>
          <w:szCs w:val="24"/>
          <w:lang w:val="en-US"/>
        </w:rPr>
        <w:t>&amp;</w:t>
      </w:r>
      <w:r w:rsidR="00D7293F" w:rsidRPr="006D72F4">
        <w:rPr>
          <w:rFonts w:ascii="Times New Roman" w:eastAsia="Times New Roman" w:hAnsi="Times New Roman" w:cs="Times New Roman"/>
          <w:sz w:val="24"/>
          <w:szCs w:val="24"/>
          <w:lang w:val="en-US"/>
        </w:rPr>
        <w:t xml:space="preserve"> Hartig, 2015; </w:t>
      </w:r>
      <w:r w:rsidR="00D7293F" w:rsidRPr="006D72F4">
        <w:rPr>
          <w:rFonts w:ascii="Times New Roman" w:eastAsia="Times New Roman" w:hAnsi="Times New Roman" w:cs="Times New Roman"/>
          <w:color w:val="333333"/>
          <w:sz w:val="24"/>
          <w:szCs w:val="24"/>
          <w:highlight w:val="white"/>
          <w:lang w:val="en-US"/>
        </w:rPr>
        <w:t xml:space="preserve">Harsch &amp; Kanistra, 2020). </w:t>
      </w:r>
    </w:p>
    <w:p w14:paraId="1355149A" w14:textId="6E906D28" w:rsidR="00D7293F" w:rsidRPr="006D72F4" w:rsidRDefault="00D7293F" w:rsidP="006D72F4">
      <w:pPr>
        <w:spacing w:after="0" w:line="240" w:lineRule="auto"/>
        <w:ind w:firstLine="720"/>
        <w:jc w:val="both"/>
        <w:rPr>
          <w:rFonts w:ascii="Times New Roman" w:eastAsia="Times New Roman" w:hAnsi="Times New Roman" w:cs="Times New Roman"/>
          <w:color w:val="333333"/>
          <w:sz w:val="24"/>
          <w:szCs w:val="24"/>
          <w:lang w:val="en-US"/>
        </w:rPr>
      </w:pPr>
      <w:r w:rsidRPr="006D72F4">
        <w:rPr>
          <w:rFonts w:ascii="Times New Roman" w:eastAsia="Times New Roman" w:hAnsi="Times New Roman" w:cs="Times New Roman"/>
          <w:color w:val="333333"/>
          <w:sz w:val="24"/>
          <w:szCs w:val="24"/>
          <w:lang w:val="en-US"/>
        </w:rPr>
        <w:t xml:space="preserve">In short, research is being conducted on the current effects of the CEFR/CV on the fields of language teaching, learning and assessment. It is undeniable that </w:t>
      </w:r>
      <w:r w:rsidR="008D32A0" w:rsidRPr="006D72F4">
        <w:rPr>
          <w:rFonts w:ascii="Times New Roman" w:eastAsia="Times New Roman" w:hAnsi="Times New Roman" w:cs="Times New Roman"/>
          <w:color w:val="333333"/>
          <w:sz w:val="24"/>
          <w:szCs w:val="24"/>
          <w:lang w:val="en-US"/>
        </w:rPr>
        <w:t>studies</w:t>
      </w:r>
      <w:r w:rsidRPr="006D72F4">
        <w:rPr>
          <w:rFonts w:ascii="Times New Roman" w:eastAsia="Times New Roman" w:hAnsi="Times New Roman" w:cs="Times New Roman"/>
          <w:color w:val="333333"/>
          <w:sz w:val="24"/>
          <w:szCs w:val="24"/>
          <w:lang w:val="en-US"/>
        </w:rPr>
        <w:t xml:space="preserve"> in the last two decades ha</w:t>
      </w:r>
      <w:r w:rsidR="008D32A0" w:rsidRPr="006D72F4">
        <w:rPr>
          <w:rFonts w:ascii="Times New Roman" w:eastAsia="Times New Roman" w:hAnsi="Times New Roman" w:cs="Times New Roman"/>
          <w:color w:val="333333"/>
          <w:sz w:val="24"/>
          <w:szCs w:val="24"/>
          <w:lang w:val="en-US"/>
        </w:rPr>
        <w:t>ve</w:t>
      </w:r>
      <w:r w:rsidRPr="006D72F4">
        <w:rPr>
          <w:rFonts w:ascii="Times New Roman" w:eastAsia="Times New Roman" w:hAnsi="Times New Roman" w:cs="Times New Roman"/>
          <w:color w:val="333333"/>
          <w:sz w:val="24"/>
          <w:szCs w:val="24"/>
          <w:lang w:val="en-US"/>
        </w:rPr>
        <w:t xml:space="preserve"> shed some light on the impact of these documents and how they are being implemented</w:t>
      </w:r>
      <w:r w:rsidR="005B62ED" w:rsidRPr="006D72F4">
        <w:rPr>
          <w:rFonts w:ascii="Times New Roman" w:eastAsia="Times New Roman" w:hAnsi="Times New Roman" w:cs="Times New Roman"/>
          <w:color w:val="333333"/>
          <w:sz w:val="24"/>
          <w:szCs w:val="24"/>
          <w:lang w:val="en-US"/>
        </w:rPr>
        <w:t xml:space="preserve"> in the different areas mentioned above</w:t>
      </w:r>
      <w:r w:rsidRPr="006D72F4">
        <w:rPr>
          <w:rFonts w:ascii="Times New Roman" w:eastAsia="Times New Roman" w:hAnsi="Times New Roman" w:cs="Times New Roman"/>
          <w:color w:val="333333"/>
          <w:sz w:val="24"/>
          <w:szCs w:val="24"/>
          <w:lang w:val="en-US"/>
        </w:rPr>
        <w:t>. However, much work is still needed</w:t>
      </w:r>
      <w:r w:rsidR="008E79D1" w:rsidRPr="006D72F4">
        <w:rPr>
          <w:rFonts w:ascii="Times New Roman" w:eastAsia="Times New Roman" w:hAnsi="Times New Roman" w:cs="Times New Roman"/>
          <w:color w:val="333333"/>
          <w:sz w:val="24"/>
          <w:szCs w:val="24"/>
          <w:lang w:val="en-US"/>
        </w:rPr>
        <w:t>,</w:t>
      </w:r>
      <w:r w:rsidRPr="006D72F4">
        <w:rPr>
          <w:rFonts w:ascii="Times New Roman" w:eastAsia="Times New Roman" w:hAnsi="Times New Roman" w:cs="Times New Roman"/>
          <w:color w:val="333333"/>
          <w:sz w:val="24"/>
          <w:szCs w:val="24"/>
          <w:lang w:val="en-US"/>
        </w:rPr>
        <w:t xml:space="preserve"> as recent research indicates that the assessment of some of the aspects described in the Companion Volume, such as the action oriented approach, plurilingualism and mediation remain underdeveloped (de Jong, </w:t>
      </w:r>
      <w:sdt>
        <w:sdtPr>
          <w:rPr>
            <w:rFonts w:ascii="Times New Roman" w:hAnsi="Times New Roman" w:cs="Times New Roman"/>
            <w:sz w:val="24"/>
            <w:szCs w:val="24"/>
          </w:rPr>
          <w:tag w:val="goog_rdk_4"/>
          <w:id w:val="-668398894"/>
        </w:sdtPr>
        <w:sdtEndPr/>
        <w:sdtContent/>
      </w:sdt>
      <w:r w:rsidRPr="006D72F4">
        <w:rPr>
          <w:rFonts w:ascii="Times New Roman" w:eastAsia="Times New Roman" w:hAnsi="Times New Roman" w:cs="Times New Roman"/>
          <w:color w:val="333333"/>
          <w:sz w:val="24"/>
          <w:szCs w:val="24"/>
          <w:lang w:val="en-US"/>
        </w:rPr>
        <w:t>2022).</w:t>
      </w:r>
    </w:p>
    <w:p w14:paraId="420423A0" w14:textId="77777777" w:rsidR="00D7293F" w:rsidRPr="006D72F4" w:rsidRDefault="00D7293F" w:rsidP="006D72F4">
      <w:pPr>
        <w:spacing w:after="0" w:line="240" w:lineRule="auto"/>
        <w:ind w:left="1080"/>
        <w:rPr>
          <w:rFonts w:ascii="Times New Roman" w:eastAsia="Calibri" w:hAnsi="Times New Roman" w:cs="Times New Roman"/>
          <w:b/>
          <w:sz w:val="24"/>
          <w:szCs w:val="24"/>
          <w:lang w:val="en-US"/>
        </w:rPr>
      </w:pPr>
    </w:p>
    <w:p w14:paraId="33D77623" w14:textId="1BEC65D3" w:rsidR="00D7293F" w:rsidRDefault="00D7293F" w:rsidP="006D72F4">
      <w:pPr>
        <w:spacing w:after="0" w:line="240" w:lineRule="auto"/>
        <w:jc w:val="center"/>
        <w:rPr>
          <w:rFonts w:ascii="Times New Roman" w:eastAsia="Calibri" w:hAnsi="Times New Roman" w:cs="Times New Roman"/>
          <w:b/>
          <w:sz w:val="24"/>
          <w:szCs w:val="24"/>
          <w:lang w:val="en-US"/>
        </w:rPr>
      </w:pPr>
      <w:r w:rsidRPr="006D72F4">
        <w:rPr>
          <w:rFonts w:ascii="Times New Roman" w:eastAsia="Calibri" w:hAnsi="Times New Roman" w:cs="Times New Roman"/>
          <w:b/>
          <w:sz w:val="24"/>
          <w:szCs w:val="24"/>
          <w:lang w:val="en-US"/>
        </w:rPr>
        <w:t xml:space="preserve">Stakeholders’ </w:t>
      </w:r>
      <w:r w:rsidR="00314A64" w:rsidRPr="006D72F4">
        <w:rPr>
          <w:rFonts w:ascii="Times New Roman" w:eastAsia="Calibri" w:hAnsi="Times New Roman" w:cs="Times New Roman"/>
          <w:b/>
          <w:sz w:val="24"/>
          <w:szCs w:val="24"/>
          <w:lang w:val="en-US"/>
        </w:rPr>
        <w:t>P</w:t>
      </w:r>
      <w:r w:rsidRPr="006D72F4">
        <w:rPr>
          <w:rFonts w:ascii="Times New Roman" w:eastAsia="Calibri" w:hAnsi="Times New Roman" w:cs="Times New Roman"/>
          <w:b/>
          <w:sz w:val="24"/>
          <w:szCs w:val="24"/>
          <w:lang w:val="en-US"/>
        </w:rPr>
        <w:t xml:space="preserve">erceptions and </w:t>
      </w:r>
      <w:r w:rsidR="00314A64" w:rsidRPr="006D72F4">
        <w:rPr>
          <w:rFonts w:ascii="Times New Roman" w:eastAsia="Calibri" w:hAnsi="Times New Roman" w:cs="Times New Roman"/>
          <w:b/>
          <w:sz w:val="24"/>
          <w:szCs w:val="24"/>
          <w:lang w:val="en-US"/>
        </w:rPr>
        <w:t>B</w:t>
      </w:r>
      <w:r w:rsidRPr="006D72F4">
        <w:rPr>
          <w:rFonts w:ascii="Times New Roman" w:eastAsia="Calibri" w:hAnsi="Times New Roman" w:cs="Times New Roman"/>
          <w:b/>
          <w:sz w:val="24"/>
          <w:szCs w:val="24"/>
          <w:lang w:val="en-US"/>
        </w:rPr>
        <w:t>eliefs</w:t>
      </w:r>
    </w:p>
    <w:p w14:paraId="570B14CF" w14:textId="77777777" w:rsidR="006D72F4" w:rsidRPr="006D72F4" w:rsidRDefault="006D72F4" w:rsidP="006D72F4">
      <w:pPr>
        <w:spacing w:after="0" w:line="240" w:lineRule="auto"/>
        <w:jc w:val="center"/>
        <w:rPr>
          <w:rFonts w:ascii="Times New Roman" w:eastAsia="Calibri" w:hAnsi="Times New Roman" w:cs="Times New Roman"/>
          <w:b/>
          <w:sz w:val="24"/>
          <w:szCs w:val="24"/>
          <w:lang w:val="en-US"/>
        </w:rPr>
      </w:pPr>
    </w:p>
    <w:p w14:paraId="6BDBDB5A" w14:textId="11FDE2D1" w:rsidR="00D7293F" w:rsidRPr="006D72F4" w:rsidRDefault="00D7293F" w:rsidP="006D72F4">
      <w:pPr>
        <w:spacing w:after="0" w:line="240" w:lineRule="auto"/>
        <w:jc w:val="both"/>
        <w:rPr>
          <w:rFonts w:ascii="Times New Roman" w:eastAsia="Calibri" w:hAnsi="Times New Roman" w:cs="Times New Roman"/>
          <w:b/>
          <w:sz w:val="24"/>
          <w:szCs w:val="24"/>
          <w:lang w:val="en-US"/>
        </w:rPr>
      </w:pPr>
      <w:r w:rsidRPr="006D72F4">
        <w:rPr>
          <w:rFonts w:ascii="Times New Roman" w:eastAsia="Times New Roman" w:hAnsi="Times New Roman" w:cs="Times New Roman"/>
          <w:color w:val="333333"/>
          <w:sz w:val="24"/>
          <w:szCs w:val="24"/>
          <w:lang w:val="en-US"/>
        </w:rPr>
        <w:t>Parallel to the studies on the way how the CEFR/CV are being applied for teaching and/or assessing languages, research has also enquired about the stakeholders’ beliefs and knowledge and the impact they perceive these documents have on their teaching</w:t>
      </w:r>
      <w:r w:rsidR="00EB565E" w:rsidRPr="006D72F4">
        <w:rPr>
          <w:rFonts w:ascii="Times New Roman" w:eastAsia="Times New Roman" w:hAnsi="Times New Roman" w:cs="Times New Roman"/>
          <w:color w:val="333333"/>
          <w:sz w:val="24"/>
          <w:szCs w:val="24"/>
          <w:lang w:val="en-US"/>
        </w:rPr>
        <w:t>,</w:t>
      </w:r>
      <w:r w:rsidRPr="006D72F4">
        <w:rPr>
          <w:rFonts w:ascii="Times New Roman" w:eastAsia="Times New Roman" w:hAnsi="Times New Roman" w:cs="Times New Roman"/>
          <w:color w:val="333333"/>
          <w:sz w:val="24"/>
          <w:szCs w:val="24"/>
          <w:lang w:val="en-US"/>
        </w:rPr>
        <w:t xml:space="preserve"> learning</w:t>
      </w:r>
      <w:r w:rsidR="00EB565E" w:rsidRPr="006D72F4">
        <w:rPr>
          <w:rFonts w:ascii="Times New Roman" w:eastAsia="Times New Roman" w:hAnsi="Times New Roman" w:cs="Times New Roman"/>
          <w:color w:val="333333"/>
          <w:sz w:val="24"/>
          <w:szCs w:val="24"/>
          <w:lang w:val="en-US"/>
        </w:rPr>
        <w:t xml:space="preserve"> and evaluation</w:t>
      </w:r>
      <w:r w:rsidRPr="006D72F4">
        <w:rPr>
          <w:rFonts w:ascii="Times New Roman" w:eastAsia="Times New Roman" w:hAnsi="Times New Roman" w:cs="Times New Roman"/>
          <w:color w:val="333333"/>
          <w:sz w:val="24"/>
          <w:szCs w:val="24"/>
          <w:lang w:val="en-US"/>
        </w:rPr>
        <w:t xml:space="preserve"> practice. </w:t>
      </w:r>
    </w:p>
    <w:p w14:paraId="6C7B0633" w14:textId="64DC5514" w:rsidR="00D7293F" w:rsidRPr="006D72F4" w:rsidRDefault="00D7293F" w:rsidP="006D72F4">
      <w:pPr>
        <w:spacing w:after="0" w:line="240" w:lineRule="auto"/>
        <w:ind w:firstLine="708"/>
        <w:jc w:val="both"/>
        <w:rPr>
          <w:rFonts w:ascii="Times New Roman" w:eastAsia="Roboto" w:hAnsi="Times New Roman" w:cs="Times New Roman"/>
          <w:color w:val="3C4043"/>
          <w:sz w:val="24"/>
          <w:szCs w:val="24"/>
          <w:lang w:val="en-US"/>
        </w:rPr>
      </w:pPr>
      <w:r w:rsidRPr="006D72F4">
        <w:rPr>
          <w:rFonts w:ascii="Times New Roman" w:eastAsia="Times New Roman" w:hAnsi="Times New Roman" w:cs="Times New Roman"/>
          <w:sz w:val="24"/>
          <w:szCs w:val="24"/>
          <w:lang w:val="en-US"/>
        </w:rPr>
        <w:t>For instance, Valax (2011) considered teachers’ perceptions on curriculum design in primary, secondary and tertiary levels within and outside Europe</w:t>
      </w:r>
      <w:r w:rsidR="0028361C" w:rsidRPr="006D72F4">
        <w:rPr>
          <w:rFonts w:ascii="Times New Roman" w:eastAsia="Times New Roman" w:hAnsi="Times New Roman" w:cs="Times New Roman"/>
          <w:sz w:val="24"/>
          <w:szCs w:val="24"/>
          <w:lang w:val="en-US"/>
        </w:rPr>
        <w:t>. Especifically for French as a second language in Canada,</w:t>
      </w:r>
      <w:r w:rsidR="00C94E05" w:rsidRPr="006D72F4">
        <w:rPr>
          <w:rFonts w:ascii="Times New Roman" w:eastAsia="Times New Roman" w:hAnsi="Times New Roman" w:cs="Times New Roman"/>
          <w:sz w:val="24"/>
          <w:szCs w:val="24"/>
          <w:lang w:val="en-US"/>
        </w:rPr>
        <w:t xml:space="preserve"> </w:t>
      </w:r>
      <w:r w:rsidRPr="006D72F4">
        <w:rPr>
          <w:rFonts w:ascii="Times New Roman" w:eastAsia="Calibri" w:hAnsi="Times New Roman" w:cs="Times New Roman"/>
          <w:sz w:val="24"/>
          <w:szCs w:val="24"/>
          <w:lang w:val="en-US"/>
        </w:rPr>
        <w:t xml:space="preserve">Faez et al. (2011) studied primary and secondary teachers’ perceptions for French as a second language in Canada. Moonen et al., (2013) also considered teachers’ opinions in the Netherlands, focusing on secondary educational levels, and including both teaching and assessment issues. More recently, </w:t>
      </w:r>
      <w:r w:rsidRPr="006D72F4">
        <w:rPr>
          <w:rFonts w:ascii="Times New Roman" w:eastAsia="Roboto" w:hAnsi="Times New Roman" w:cs="Times New Roman"/>
          <w:color w:val="3C4043"/>
          <w:sz w:val="24"/>
          <w:szCs w:val="24"/>
          <w:lang w:val="en-US"/>
        </w:rPr>
        <w:t xml:space="preserve">Franz &amp; Teo (2018) have studied </w:t>
      </w:r>
      <w:r w:rsidRPr="006D72F4">
        <w:rPr>
          <w:rFonts w:ascii="Times New Roman" w:eastAsia="Roboto" w:hAnsi="Times New Roman" w:cs="Times New Roman"/>
          <w:color w:val="3C4043"/>
          <w:sz w:val="24"/>
          <w:szCs w:val="24"/>
          <w:highlight w:val="white"/>
          <w:lang w:val="en-US"/>
        </w:rPr>
        <w:t xml:space="preserve">English Language teachers’ perceptions in secondary state schools in Thailand. From a different perspective, </w:t>
      </w:r>
      <w:r w:rsidRPr="006D72F4">
        <w:rPr>
          <w:rFonts w:ascii="Times New Roman" w:eastAsia="AdvOT46dcae81" w:hAnsi="Times New Roman" w:cs="Times New Roman"/>
          <w:sz w:val="24"/>
          <w:szCs w:val="24"/>
          <w:lang w:val="en-US"/>
        </w:rPr>
        <w:t>Normand-Maconnet &amp; Lo Bianco, (</w:t>
      </w:r>
      <w:r w:rsidRPr="006D72F4">
        <w:rPr>
          <w:rFonts w:ascii="Times New Roman" w:eastAsia="AdvOT46dcae81" w:hAnsi="Times New Roman" w:cs="Times New Roman"/>
          <w:color w:val="000085"/>
          <w:sz w:val="24"/>
          <w:szCs w:val="24"/>
          <w:lang w:val="en-US"/>
        </w:rPr>
        <w:t>2013</w:t>
      </w:r>
      <w:r w:rsidRPr="006D72F4">
        <w:rPr>
          <w:rFonts w:ascii="Times New Roman" w:eastAsia="AdvOT46dcae81" w:hAnsi="Times New Roman" w:cs="Times New Roman"/>
          <w:sz w:val="24"/>
          <w:szCs w:val="24"/>
          <w:lang w:val="en-US"/>
        </w:rPr>
        <w:t>) enquired about</w:t>
      </w:r>
      <w:r w:rsidRPr="006D72F4">
        <w:rPr>
          <w:rFonts w:ascii="Times New Roman" w:eastAsia="Times New Roman" w:hAnsi="Times New Roman" w:cs="Times New Roman"/>
          <w:sz w:val="24"/>
          <w:szCs w:val="24"/>
          <w:lang w:val="en-US"/>
        </w:rPr>
        <w:t xml:space="preserve"> the students and staff familiarity with the CEFR in Australia. Regarding tertiary levels, several studies have </w:t>
      </w:r>
      <w:r w:rsidRPr="006D72F4">
        <w:rPr>
          <w:rFonts w:ascii="Times New Roman" w:eastAsia="Calibri" w:hAnsi="Times New Roman" w:cs="Times New Roman"/>
          <w:sz w:val="24"/>
          <w:szCs w:val="24"/>
          <w:lang w:val="en-US"/>
        </w:rPr>
        <w:t xml:space="preserve">focused on the teachers’ knowledge of CEFR documents (see, in </w:t>
      </w:r>
      <w:r w:rsidR="005B62ED" w:rsidRPr="006D72F4">
        <w:rPr>
          <w:rFonts w:ascii="Times New Roman" w:eastAsia="Calibri" w:hAnsi="Times New Roman" w:cs="Times New Roman"/>
          <w:sz w:val="24"/>
          <w:szCs w:val="24"/>
          <w:lang w:val="en-US"/>
        </w:rPr>
        <w:t xml:space="preserve">Nguyen, 2017; </w:t>
      </w:r>
      <w:r w:rsidRPr="006D72F4">
        <w:rPr>
          <w:rFonts w:ascii="Times New Roman" w:eastAsia="Calibri" w:hAnsi="Times New Roman" w:cs="Times New Roman"/>
          <w:sz w:val="24"/>
          <w:szCs w:val="24"/>
          <w:lang w:val="en-US"/>
        </w:rPr>
        <w:t xml:space="preserve">Sülü &amp; KÕr, 2014; and comparing state and private university teachers’ perceptions, </w:t>
      </w:r>
      <w:r w:rsidRPr="006D72F4">
        <w:rPr>
          <w:rFonts w:ascii="Times New Roman" w:hAnsi="Times New Roman" w:cs="Times New Roman"/>
          <w:color w:val="222222"/>
          <w:sz w:val="24"/>
          <w:szCs w:val="24"/>
          <w:lang w:val="en-US"/>
        </w:rPr>
        <w:t>ÿaĿatay &amp; Gürocak, 2016).</w:t>
      </w:r>
      <w:r w:rsidRPr="006D72F4">
        <w:rPr>
          <w:rFonts w:ascii="Times New Roman" w:eastAsia="Calibri" w:hAnsi="Times New Roman" w:cs="Times New Roman"/>
          <w:sz w:val="24"/>
          <w:szCs w:val="24"/>
          <w:lang w:val="en-US"/>
        </w:rPr>
        <w:t xml:space="preserve"> </w:t>
      </w:r>
    </w:p>
    <w:p w14:paraId="46A9D221" w14:textId="09CCAFB3" w:rsidR="00D7293F" w:rsidRPr="006D72F4" w:rsidRDefault="00D7293F" w:rsidP="006D72F4">
      <w:pPr>
        <w:spacing w:after="0" w:line="240" w:lineRule="auto"/>
        <w:ind w:firstLine="708"/>
        <w:jc w:val="both"/>
        <w:rPr>
          <w:rFonts w:ascii="Times New Roman" w:eastAsia="Times New Roman" w:hAnsi="Times New Roman" w:cs="Times New Roman"/>
          <w:color w:val="222222"/>
          <w:sz w:val="24"/>
          <w:szCs w:val="24"/>
          <w:lang w:val="en-US"/>
        </w:rPr>
      </w:pPr>
      <w:r w:rsidRPr="006D72F4">
        <w:rPr>
          <w:rFonts w:ascii="Times New Roman" w:eastAsia="Calibri" w:hAnsi="Times New Roman" w:cs="Times New Roman"/>
          <w:sz w:val="24"/>
          <w:szCs w:val="24"/>
          <w:lang w:val="en-US"/>
        </w:rPr>
        <w:t xml:space="preserve"> </w:t>
      </w:r>
      <w:r w:rsidRPr="006D72F4">
        <w:rPr>
          <w:rFonts w:ascii="Times New Roman" w:eastAsia="Times New Roman" w:hAnsi="Times New Roman" w:cs="Times New Roman"/>
          <w:sz w:val="24"/>
          <w:szCs w:val="24"/>
          <w:lang w:val="en-US"/>
        </w:rPr>
        <w:t xml:space="preserve">In Spain, Figueras (2013) carried out a small-scale study enquiring about primary, secondary and tertiary teachers’ perceptions and knowledge on the CEFR, </w:t>
      </w:r>
      <w:r w:rsidR="0028361C" w:rsidRPr="006D72F4">
        <w:rPr>
          <w:rFonts w:ascii="Times New Roman" w:eastAsia="Times New Roman" w:hAnsi="Times New Roman" w:cs="Times New Roman"/>
          <w:sz w:val="24"/>
          <w:szCs w:val="24"/>
          <w:lang w:val="en-US"/>
        </w:rPr>
        <w:t xml:space="preserve">and </w:t>
      </w:r>
      <w:r w:rsidRPr="006D72F4">
        <w:rPr>
          <w:rFonts w:ascii="Times New Roman" w:eastAsia="Times New Roman" w:hAnsi="Times New Roman" w:cs="Times New Roman"/>
          <w:sz w:val="24"/>
          <w:szCs w:val="24"/>
          <w:lang w:val="en-US"/>
        </w:rPr>
        <w:t xml:space="preserve">some years later, </w:t>
      </w:r>
      <w:r w:rsidRPr="006D72F4">
        <w:rPr>
          <w:rFonts w:ascii="Times New Roman" w:eastAsia="Times New Roman" w:hAnsi="Times New Roman" w:cs="Times New Roman"/>
          <w:color w:val="333333"/>
          <w:sz w:val="24"/>
          <w:szCs w:val="24"/>
          <w:lang w:val="en-US"/>
        </w:rPr>
        <w:t>Díez-Bedmar &amp; Byram (</w:t>
      </w:r>
      <w:r w:rsidRPr="006D72F4">
        <w:rPr>
          <w:rFonts w:ascii="Times New Roman" w:eastAsia="Times New Roman" w:hAnsi="Times New Roman" w:cs="Times New Roman"/>
          <w:sz w:val="24"/>
          <w:szCs w:val="24"/>
          <w:lang w:val="en-US"/>
        </w:rPr>
        <w:t xml:space="preserve">2019) focused on prospective secondary teachers. Still within tertiary levels, Ramos-Garcia </w:t>
      </w:r>
      <w:r w:rsidR="00206031" w:rsidRPr="006D72F4">
        <w:rPr>
          <w:rFonts w:ascii="Times New Roman" w:eastAsia="Times New Roman" w:hAnsi="Times New Roman" w:cs="Times New Roman"/>
          <w:sz w:val="24"/>
          <w:szCs w:val="24"/>
          <w:lang w:val="en-US"/>
        </w:rPr>
        <w:t>&amp;</w:t>
      </w:r>
      <w:r w:rsidRPr="006D72F4">
        <w:rPr>
          <w:rFonts w:ascii="Times New Roman" w:eastAsia="Times New Roman" w:hAnsi="Times New Roman" w:cs="Times New Roman"/>
          <w:sz w:val="24"/>
          <w:szCs w:val="24"/>
          <w:lang w:val="en-US"/>
        </w:rPr>
        <w:t xml:space="preserve"> Fernandez</w:t>
      </w:r>
      <w:r w:rsidR="00206031" w:rsidRPr="006D72F4">
        <w:rPr>
          <w:rFonts w:ascii="Times New Roman" w:eastAsia="Times New Roman" w:hAnsi="Times New Roman" w:cs="Times New Roman"/>
          <w:sz w:val="24"/>
          <w:szCs w:val="24"/>
          <w:lang w:val="en-US"/>
        </w:rPr>
        <w:t>-</w:t>
      </w:r>
      <w:r w:rsidRPr="006D72F4">
        <w:rPr>
          <w:rFonts w:ascii="Times New Roman" w:eastAsia="Times New Roman" w:hAnsi="Times New Roman" w:cs="Times New Roman"/>
          <w:sz w:val="24"/>
          <w:szCs w:val="24"/>
          <w:lang w:val="en-US"/>
        </w:rPr>
        <w:t>Viciana (2019) have analysed primary education students’ perceptions on their English foreign language level and its adequacy to the professional requirements in the European context. As a teaching -and learning- framework, most of the present-day studies suggest that its implementation is believed to be challenging and that more guidance and training are needed for understanding CEFR-aligned teaching procedures.</w:t>
      </w:r>
    </w:p>
    <w:p w14:paraId="7BEF22B6" w14:textId="77777777" w:rsidR="00D7293F" w:rsidRPr="006D72F4" w:rsidRDefault="00D7293F" w:rsidP="006D72F4">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Also in Spain, this line of research has recently been expanded to include learners and teachers in university language centres (Díez-Bedmar &amp; Luque-Agulló, 2022; </w:t>
      </w:r>
      <w:r w:rsidRPr="006D72F4">
        <w:rPr>
          <w:rFonts w:ascii="Times New Roman" w:eastAsia="Times New Roman" w:hAnsi="Times New Roman" w:cs="Times New Roman"/>
          <w:color w:val="333333"/>
          <w:sz w:val="24"/>
          <w:szCs w:val="24"/>
          <w:lang w:val="en-US"/>
        </w:rPr>
        <w:t>Luque-Agulló &amp; Díez-Bedmar, 2022)</w:t>
      </w:r>
      <w:r w:rsidRPr="006D72F4">
        <w:rPr>
          <w:rFonts w:ascii="Times New Roman" w:eastAsia="Times New Roman" w:hAnsi="Times New Roman" w:cs="Times New Roman"/>
          <w:sz w:val="24"/>
          <w:szCs w:val="24"/>
          <w:lang w:val="en-US"/>
        </w:rPr>
        <w:t>, which “should have the same obligation to engage in research as other academic departments. At present this is rarely the case” (Little, 2020, p. 271).</w:t>
      </w:r>
    </w:p>
    <w:p w14:paraId="2013A172" w14:textId="4AFB06D4" w:rsidR="00D7293F" w:rsidRPr="006D72F4" w:rsidRDefault="00D7293F" w:rsidP="006D72F4">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 Language services were created in Spain when higher education institutions </w:t>
      </w:r>
      <w:r w:rsidR="0019245B" w:rsidRPr="006D72F4">
        <w:rPr>
          <w:rFonts w:ascii="Times New Roman" w:eastAsia="Times New Roman" w:hAnsi="Times New Roman" w:cs="Times New Roman"/>
          <w:sz w:val="24"/>
          <w:szCs w:val="24"/>
          <w:lang w:val="en-US"/>
        </w:rPr>
        <w:t>established the</w:t>
      </w:r>
      <w:r w:rsidRPr="006D72F4">
        <w:rPr>
          <w:rFonts w:ascii="Times New Roman" w:eastAsia="Times New Roman" w:hAnsi="Times New Roman" w:cs="Times New Roman"/>
          <w:sz w:val="24"/>
          <w:szCs w:val="24"/>
          <w:lang w:val="en-US"/>
        </w:rPr>
        <w:t xml:space="preserve"> accreditation requirement of obtaining a B1 or B2 level in a foreign language as mandatory before completing a degree. Compulsory language courses and language accrediation tests were not included in</w:t>
      </w:r>
      <w:r w:rsidR="0028361C" w:rsidRPr="006D72F4">
        <w:rPr>
          <w:rFonts w:ascii="Times New Roman" w:eastAsia="Times New Roman" w:hAnsi="Times New Roman" w:cs="Times New Roman"/>
          <w:sz w:val="24"/>
          <w:szCs w:val="24"/>
          <w:lang w:val="en-US"/>
        </w:rPr>
        <w:t xml:space="preserve"> university </w:t>
      </w:r>
      <w:r w:rsidRPr="006D72F4">
        <w:rPr>
          <w:rFonts w:ascii="Times New Roman" w:eastAsia="Times New Roman" w:hAnsi="Times New Roman" w:cs="Times New Roman"/>
          <w:sz w:val="24"/>
          <w:szCs w:val="24"/>
          <w:lang w:val="en-US"/>
        </w:rPr>
        <w:t xml:space="preserve">degrees, so language centres provided the teaching and accreditation tests  </w:t>
      </w:r>
      <w:sdt>
        <w:sdtPr>
          <w:rPr>
            <w:rFonts w:ascii="Times New Roman" w:hAnsi="Times New Roman" w:cs="Times New Roman"/>
            <w:sz w:val="24"/>
            <w:szCs w:val="24"/>
          </w:rPr>
          <w:tag w:val="goog_rdk_5"/>
          <w:id w:val="-1833818193"/>
        </w:sdtPr>
        <w:sdtEndPr/>
        <w:sdtContent/>
      </w:sdt>
      <w:sdt>
        <w:sdtPr>
          <w:rPr>
            <w:rFonts w:ascii="Times New Roman" w:hAnsi="Times New Roman" w:cs="Times New Roman"/>
            <w:sz w:val="24"/>
            <w:szCs w:val="24"/>
          </w:rPr>
          <w:tag w:val="goog_rdk_6"/>
          <w:id w:val="-1166017872"/>
        </w:sdtPr>
        <w:sdtEndPr/>
        <w:sdtContent/>
      </w:sdt>
      <w:r w:rsidRPr="006D72F4">
        <w:rPr>
          <w:rFonts w:ascii="Times New Roman" w:eastAsia="AdvOT46dcae81" w:hAnsi="Times New Roman" w:cs="Times New Roman"/>
          <w:sz w:val="24"/>
          <w:szCs w:val="24"/>
          <w:lang w:val="en-US"/>
        </w:rPr>
        <w:t xml:space="preserve"> (Ramos-García &amp; Fernandez-Viciana, 2019)</w:t>
      </w:r>
      <w:r w:rsidRPr="006D72F4">
        <w:rPr>
          <w:rFonts w:ascii="Times New Roman" w:eastAsia="Times New Roman" w:hAnsi="Times New Roman" w:cs="Times New Roman"/>
          <w:sz w:val="24"/>
          <w:szCs w:val="24"/>
          <w:lang w:val="en-US"/>
        </w:rPr>
        <w:t xml:space="preserve">. Spanish language services may nowadays be accredited language centers to certify CEFR levels by means of the CertAcles exam suite, </w:t>
      </w:r>
      <w:r w:rsidR="00545D21" w:rsidRPr="006D72F4">
        <w:rPr>
          <w:rFonts w:ascii="Times New Roman" w:eastAsia="Times New Roman" w:hAnsi="Times New Roman" w:cs="Times New Roman"/>
          <w:sz w:val="24"/>
          <w:szCs w:val="24"/>
          <w:lang w:val="en-US"/>
        </w:rPr>
        <w:t xml:space="preserve">available since 2012, </w:t>
      </w:r>
      <w:r w:rsidRPr="006D72F4">
        <w:rPr>
          <w:rFonts w:ascii="Times New Roman" w:eastAsia="Times New Roman" w:hAnsi="Times New Roman" w:cs="Times New Roman"/>
          <w:sz w:val="24"/>
          <w:szCs w:val="24"/>
          <w:lang w:val="en-US"/>
        </w:rPr>
        <w:t xml:space="preserve">which is amply recognised nationally and also has some international recognition  </w:t>
      </w:r>
      <w:r w:rsidRPr="006D72F4">
        <w:rPr>
          <w:rFonts w:ascii="Times New Roman" w:eastAsia="Roboto" w:hAnsi="Times New Roman" w:cs="Times New Roman"/>
          <w:color w:val="3C4043"/>
          <w:sz w:val="24"/>
          <w:szCs w:val="24"/>
          <w:lang w:val="en-US"/>
        </w:rPr>
        <w:t>(Shacketon, 2018).</w:t>
      </w:r>
      <w:r w:rsidRPr="006D72F4">
        <w:rPr>
          <w:rFonts w:ascii="Times New Roman" w:eastAsia="Times New Roman" w:hAnsi="Times New Roman" w:cs="Times New Roman"/>
          <w:sz w:val="24"/>
          <w:szCs w:val="24"/>
          <w:lang w:val="en-US"/>
        </w:rPr>
        <w:t xml:space="preserve"> ACLES evaluates language centres </w:t>
      </w:r>
      <w:sdt>
        <w:sdtPr>
          <w:rPr>
            <w:rFonts w:ascii="Times New Roman" w:hAnsi="Times New Roman" w:cs="Times New Roman"/>
            <w:sz w:val="24"/>
            <w:szCs w:val="24"/>
          </w:rPr>
          <w:tag w:val="goog_rdk_7"/>
          <w:id w:val="956374636"/>
        </w:sdtPr>
        <w:sdtEndPr/>
        <w:sdtContent/>
      </w:sdt>
      <w:r w:rsidRPr="006D72F4">
        <w:rPr>
          <w:rFonts w:ascii="Times New Roman" w:eastAsia="Times New Roman" w:hAnsi="Times New Roman" w:cs="Times New Roman"/>
          <w:sz w:val="24"/>
          <w:szCs w:val="24"/>
          <w:lang w:val="en-US"/>
        </w:rPr>
        <w:t xml:space="preserve">cyclically, making sure they follow CEFR/CV specifications, and grant them the CertAcles accreditation so that the language center can design, administer and evaluate candidates in the CertAcles exam for the language and level accredited. As a result of this evaluation, it would be expected that </w:t>
      </w:r>
      <w:r w:rsidR="00A46D2F" w:rsidRPr="006D72F4">
        <w:rPr>
          <w:rFonts w:ascii="Times New Roman" w:eastAsia="Times New Roman" w:hAnsi="Times New Roman" w:cs="Times New Roman"/>
          <w:sz w:val="24"/>
          <w:szCs w:val="24"/>
          <w:lang w:val="en-US"/>
        </w:rPr>
        <w:t xml:space="preserve">professionals involved in the language accreditation process in university language centers (test designers, raters, etc.) </w:t>
      </w:r>
      <w:r w:rsidRPr="006D72F4">
        <w:rPr>
          <w:rFonts w:ascii="Times New Roman" w:eastAsia="Times New Roman" w:hAnsi="Times New Roman" w:cs="Times New Roman"/>
          <w:sz w:val="24"/>
          <w:szCs w:val="24"/>
          <w:lang w:val="en-US"/>
        </w:rPr>
        <w:t xml:space="preserve">show a comprehensive understanding of CEFR/CV guidelines, which should in turn translate into test design and evaluation. </w:t>
      </w:r>
    </w:p>
    <w:p w14:paraId="2C2559AC" w14:textId="77777777" w:rsidR="00D7293F" w:rsidRPr="006D72F4" w:rsidRDefault="00D7293F" w:rsidP="006D72F4">
      <w:pPr>
        <w:spacing w:after="0" w:line="240" w:lineRule="auto"/>
        <w:ind w:firstLine="708"/>
        <w:jc w:val="both"/>
        <w:rPr>
          <w:rFonts w:ascii="Times New Roman" w:eastAsia="Times New Roman" w:hAnsi="Times New Roman" w:cs="Times New Roman"/>
          <w:sz w:val="24"/>
          <w:szCs w:val="24"/>
          <w:lang w:val="en-US"/>
        </w:rPr>
      </w:pPr>
    </w:p>
    <w:p w14:paraId="03206E96" w14:textId="29D8E44C" w:rsidR="00D7293F" w:rsidRPr="006D72F4" w:rsidRDefault="00D7293F" w:rsidP="006D72F4">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color w:val="333333"/>
          <w:sz w:val="24"/>
          <w:szCs w:val="24"/>
          <w:lang w:val="en-US"/>
        </w:rPr>
        <w:t>As shown, there is extensive research about the stakeholders’ beliefs on teaching, curriculum design and learning. However, this is not the case as regards university language centres</w:t>
      </w:r>
      <w:r w:rsidR="005B62ED" w:rsidRPr="006D72F4">
        <w:rPr>
          <w:rFonts w:ascii="Times New Roman" w:eastAsia="Times New Roman" w:hAnsi="Times New Roman" w:cs="Times New Roman"/>
          <w:color w:val="333333"/>
          <w:sz w:val="24"/>
          <w:szCs w:val="24"/>
          <w:lang w:val="en-US"/>
        </w:rPr>
        <w:t>, as</w:t>
      </w:r>
      <w:r w:rsidRPr="006D72F4">
        <w:rPr>
          <w:rFonts w:ascii="Times New Roman" w:eastAsia="Times New Roman" w:hAnsi="Times New Roman" w:cs="Times New Roman"/>
          <w:sz w:val="24"/>
          <w:szCs w:val="24"/>
          <w:lang w:val="en-US"/>
        </w:rPr>
        <w:t xml:space="preserve"> Little</w:t>
      </w:r>
      <w:r w:rsidR="005B62ED" w:rsidRPr="006D72F4">
        <w:rPr>
          <w:rFonts w:ascii="Times New Roman" w:eastAsia="Times New Roman" w:hAnsi="Times New Roman" w:cs="Times New Roman"/>
          <w:sz w:val="24"/>
          <w:szCs w:val="24"/>
          <w:lang w:val="en-US"/>
        </w:rPr>
        <w:t xml:space="preserve"> comments</w:t>
      </w:r>
      <w:r w:rsidRPr="006D72F4">
        <w:rPr>
          <w:rFonts w:ascii="Times New Roman" w:eastAsia="Times New Roman" w:hAnsi="Times New Roman" w:cs="Times New Roman"/>
          <w:sz w:val="24"/>
          <w:szCs w:val="24"/>
          <w:lang w:val="en-US"/>
        </w:rPr>
        <w:t xml:space="preserve"> (2020, p. 284)</w:t>
      </w:r>
      <w:r w:rsidR="005B62ED" w:rsidRPr="006D72F4">
        <w:rPr>
          <w:rFonts w:ascii="Times New Roman" w:eastAsia="Times New Roman" w:hAnsi="Times New Roman" w:cs="Times New Roman"/>
          <w:sz w:val="24"/>
          <w:szCs w:val="24"/>
          <w:lang w:val="en-US"/>
        </w:rPr>
        <w:t>: “</w:t>
      </w:r>
      <w:r w:rsidRPr="006D72F4">
        <w:rPr>
          <w:rFonts w:ascii="Times New Roman" w:eastAsia="Times New Roman" w:hAnsi="Times New Roman" w:cs="Times New Roman"/>
          <w:sz w:val="24"/>
          <w:szCs w:val="24"/>
          <w:lang w:val="en-US"/>
        </w:rPr>
        <w:t>In many universities, however, language centres</w:t>
      </w:r>
      <w:r w:rsidR="005B62ED" w:rsidRPr="006D72F4">
        <w:rPr>
          <w:rFonts w:ascii="Times New Roman" w:eastAsia="Times New Roman" w:hAnsi="Times New Roman" w:cs="Times New Roman"/>
          <w:sz w:val="24"/>
          <w:szCs w:val="24"/>
          <w:lang w:val="en-US"/>
        </w:rPr>
        <w:t xml:space="preserve"> </w:t>
      </w:r>
      <w:r w:rsidRPr="006D72F4">
        <w:rPr>
          <w:rFonts w:ascii="Times New Roman" w:eastAsia="Times New Roman" w:hAnsi="Times New Roman" w:cs="Times New Roman"/>
          <w:sz w:val="24"/>
          <w:szCs w:val="24"/>
          <w:lang w:val="en-US"/>
        </w:rPr>
        <w:t xml:space="preserve">are classified as “service departments” whose status is inferior to that of academic departments. </w:t>
      </w:r>
      <w:r w:rsidR="005B62ED" w:rsidRPr="006D72F4">
        <w:rPr>
          <w:rFonts w:ascii="Times New Roman" w:hAnsi="Times New Roman" w:cs="Times New Roman"/>
          <w:color w:val="000000"/>
          <w:sz w:val="24"/>
          <w:szCs w:val="24"/>
          <w:lang w:val="en-US"/>
        </w:rPr>
        <w:t>[…]</w:t>
      </w:r>
      <w:r w:rsidR="005B62ED" w:rsidRPr="006D72F4">
        <w:rPr>
          <w:rFonts w:ascii="Times New Roman" w:eastAsia="Times New Roman" w:hAnsi="Times New Roman" w:cs="Times New Roman"/>
          <w:sz w:val="24"/>
          <w:szCs w:val="24"/>
          <w:lang w:val="en-US"/>
        </w:rPr>
        <w:t xml:space="preserve"> </w:t>
      </w:r>
      <w:r w:rsidRPr="006D72F4">
        <w:rPr>
          <w:rFonts w:ascii="Times New Roman" w:eastAsia="Times New Roman" w:hAnsi="Times New Roman" w:cs="Times New Roman"/>
          <w:sz w:val="24"/>
          <w:szCs w:val="24"/>
          <w:lang w:val="en-US"/>
        </w:rPr>
        <w:t xml:space="preserve">Some universities evidently believe that research should not be part of what their language centre </w:t>
      </w:r>
      <w:sdt>
        <w:sdtPr>
          <w:rPr>
            <w:rFonts w:ascii="Times New Roman" w:hAnsi="Times New Roman" w:cs="Times New Roman"/>
            <w:sz w:val="24"/>
            <w:szCs w:val="24"/>
          </w:rPr>
          <w:tag w:val="goog_rdk_8"/>
          <w:id w:val="-1766604891"/>
        </w:sdtPr>
        <w:sdtEndPr/>
        <w:sdtContent/>
      </w:sdt>
      <w:r w:rsidRPr="006D72F4">
        <w:rPr>
          <w:rFonts w:ascii="Times New Roman" w:eastAsia="Times New Roman" w:hAnsi="Times New Roman" w:cs="Times New Roman"/>
          <w:sz w:val="24"/>
          <w:szCs w:val="24"/>
          <w:lang w:val="en-US"/>
        </w:rPr>
        <w:t>does.</w:t>
      </w:r>
      <w:r w:rsidR="005B62ED" w:rsidRPr="006D72F4">
        <w:rPr>
          <w:rFonts w:ascii="Times New Roman" w:eastAsia="Times New Roman" w:hAnsi="Times New Roman" w:cs="Times New Roman"/>
          <w:sz w:val="24"/>
          <w:szCs w:val="24"/>
          <w:lang w:val="en-US"/>
        </w:rPr>
        <w:t>”</w:t>
      </w:r>
    </w:p>
    <w:p w14:paraId="299E1863" w14:textId="5B122E3D" w:rsidR="00D7293F" w:rsidRPr="006D72F4" w:rsidRDefault="00D7293F" w:rsidP="006D72F4">
      <w:pPr>
        <w:spacing w:after="0" w:line="240" w:lineRule="auto"/>
        <w:ind w:firstLine="720"/>
        <w:jc w:val="both"/>
        <w:rPr>
          <w:rFonts w:ascii="Times New Roman" w:eastAsia="Times New Roman" w:hAnsi="Times New Roman" w:cs="Times New Roman"/>
          <w:color w:val="333333"/>
          <w:sz w:val="24"/>
          <w:szCs w:val="24"/>
          <w:lang w:val="en-US"/>
        </w:rPr>
      </w:pPr>
      <w:r w:rsidRPr="006D72F4">
        <w:rPr>
          <w:rFonts w:ascii="Times New Roman" w:eastAsia="Times New Roman" w:hAnsi="Times New Roman" w:cs="Times New Roman"/>
          <w:color w:val="333333"/>
          <w:sz w:val="24"/>
          <w:szCs w:val="24"/>
          <w:highlight w:val="white"/>
          <w:lang w:val="en-US"/>
        </w:rPr>
        <w:t xml:space="preserve">There is very little information on how the actual raters in Spanish language centres perceive the documents, their level of knowledge and training, and their opinions on the documents’ effectiveness, clarity and impact. Exceptionally, </w:t>
      </w:r>
      <w:r w:rsidRPr="006D72F4">
        <w:rPr>
          <w:rFonts w:ascii="Times New Roman" w:eastAsia="Times New Roman" w:hAnsi="Times New Roman" w:cs="Times New Roman"/>
          <w:sz w:val="24"/>
          <w:szCs w:val="24"/>
          <w:lang w:val="en-US"/>
        </w:rPr>
        <w:t>Simons &amp; Colpaert’ study (2015) enquired about the perceptions of stakeholders, including, among others, language testing associations. The study considered the stakeholders’ opinions on the usefulness of the CEFR for concrete language testing situations using an online survey and discussion groups during an international conference. Although positive in general, results show that respondents recommend further detail and practicality by means of “fine-tuning and improving practice and implementation”</w:t>
      </w:r>
      <w:r w:rsidRPr="006D72F4">
        <w:rPr>
          <w:rFonts w:ascii="Times New Roman" w:eastAsia="Times New Roman" w:hAnsi="Times New Roman" w:cs="Times New Roman"/>
          <w:color w:val="333333"/>
          <w:sz w:val="24"/>
          <w:szCs w:val="24"/>
          <w:highlight w:val="white"/>
          <w:lang w:val="en-US"/>
        </w:rPr>
        <w:t xml:space="preserve"> (p. 66). Nonetheless, this study did not focus specifically on raters’ perceptions in language centres, but as additional respondents. Thus, given the </w:t>
      </w:r>
      <w:r w:rsidRPr="006D72F4">
        <w:rPr>
          <w:rFonts w:ascii="Times New Roman" w:eastAsia="Times New Roman" w:hAnsi="Times New Roman" w:cs="Times New Roman"/>
          <w:color w:val="333333"/>
          <w:sz w:val="24"/>
          <w:szCs w:val="24"/>
          <w:lang w:val="en-US"/>
        </w:rPr>
        <w:t xml:space="preserve">impact of the CEFR/CV for language assessment in university services, it is essential to specifically address the evaluators’ point of view as test </w:t>
      </w:r>
      <w:r w:rsidR="006F25A5" w:rsidRPr="006D72F4">
        <w:rPr>
          <w:rFonts w:ascii="Times New Roman" w:eastAsia="Times New Roman" w:hAnsi="Times New Roman" w:cs="Times New Roman"/>
          <w:color w:val="333333"/>
          <w:sz w:val="24"/>
          <w:szCs w:val="24"/>
          <w:lang w:val="en-US"/>
        </w:rPr>
        <w:t>raters</w:t>
      </w:r>
      <w:r w:rsidRPr="006D72F4">
        <w:rPr>
          <w:rFonts w:ascii="Times New Roman" w:eastAsia="Times New Roman" w:hAnsi="Times New Roman" w:cs="Times New Roman"/>
          <w:color w:val="333333"/>
          <w:sz w:val="24"/>
          <w:szCs w:val="24"/>
          <w:lang w:val="en-US"/>
        </w:rPr>
        <w:t xml:space="preserve">. </w:t>
      </w:r>
    </w:p>
    <w:p w14:paraId="311A5B4B" w14:textId="77777777" w:rsidR="00D7293F" w:rsidRPr="006D72F4" w:rsidRDefault="00D7293F" w:rsidP="006D72F4">
      <w:pPr>
        <w:spacing w:after="0" w:line="240" w:lineRule="auto"/>
        <w:ind w:firstLine="720"/>
        <w:jc w:val="both"/>
        <w:rPr>
          <w:rFonts w:ascii="Times New Roman" w:eastAsia="Times New Roman" w:hAnsi="Times New Roman" w:cs="Times New Roman"/>
          <w:color w:val="333333"/>
          <w:sz w:val="24"/>
          <w:szCs w:val="24"/>
          <w:highlight w:val="white"/>
          <w:lang w:val="en-US"/>
        </w:rPr>
      </w:pPr>
    </w:p>
    <w:p w14:paraId="5B2D111B" w14:textId="6EE82A5B" w:rsidR="00D7293F" w:rsidRPr="006D72F4" w:rsidRDefault="00D7293F" w:rsidP="006D72F4">
      <w:pPr>
        <w:spacing w:after="0" w:line="240" w:lineRule="auto"/>
        <w:ind w:firstLine="720"/>
        <w:jc w:val="both"/>
        <w:rPr>
          <w:rFonts w:ascii="Times New Roman" w:eastAsia="Times New Roman" w:hAnsi="Times New Roman" w:cs="Times New Roman"/>
          <w:color w:val="333333"/>
          <w:sz w:val="24"/>
          <w:szCs w:val="24"/>
          <w:lang w:val="en-US"/>
        </w:rPr>
      </w:pPr>
      <w:r w:rsidRPr="006D72F4">
        <w:rPr>
          <w:rFonts w:ascii="Times New Roman" w:eastAsia="Times New Roman" w:hAnsi="Times New Roman" w:cs="Times New Roman"/>
          <w:color w:val="333333"/>
          <w:sz w:val="24"/>
          <w:szCs w:val="24"/>
          <w:highlight w:val="white"/>
          <w:lang w:val="en-US"/>
        </w:rPr>
        <w:t xml:space="preserve">In short, our objective is to know the insiders’ perspective as regards language evaluation </w:t>
      </w:r>
      <w:r w:rsidRPr="00FA3D7E">
        <w:rPr>
          <w:rFonts w:ascii="Times New Roman" w:eastAsia="Times New Roman" w:hAnsi="Times New Roman" w:cs="Times New Roman"/>
          <w:color w:val="333333"/>
          <w:sz w:val="24"/>
          <w:szCs w:val="24"/>
          <w:highlight w:val="white"/>
          <w:lang w:val="en-US"/>
        </w:rPr>
        <w:t xml:space="preserve">in </w:t>
      </w:r>
      <w:r w:rsidRPr="00FA3D7E">
        <w:rPr>
          <w:rFonts w:ascii="Times New Roman" w:eastAsia="Times New Roman" w:hAnsi="Times New Roman" w:cs="Times New Roman"/>
          <w:color w:val="333333"/>
          <w:sz w:val="24"/>
          <w:szCs w:val="24"/>
          <w:lang w:val="en-US"/>
        </w:rPr>
        <w:t>U</w:t>
      </w:r>
      <w:r w:rsidRPr="00FA3D7E">
        <w:rPr>
          <w:rFonts w:ascii="Times New Roman" w:eastAsia="Times New Roman" w:hAnsi="Times New Roman" w:cs="Times New Roman"/>
          <w:color w:val="333333"/>
          <w:sz w:val="24"/>
          <w:szCs w:val="24"/>
          <w:highlight w:val="white"/>
          <w:lang w:val="en-US"/>
        </w:rPr>
        <w:t xml:space="preserve">niversity </w:t>
      </w:r>
      <w:r w:rsidRPr="00FA3D7E">
        <w:rPr>
          <w:rFonts w:ascii="Times New Roman" w:eastAsia="Times New Roman" w:hAnsi="Times New Roman" w:cs="Times New Roman"/>
          <w:color w:val="333333"/>
          <w:sz w:val="24"/>
          <w:szCs w:val="24"/>
          <w:highlight w:val="yellow"/>
          <w:lang w:val="en-US"/>
        </w:rPr>
        <w:t>L</w:t>
      </w:r>
      <w:r w:rsidRPr="00FA3D7E">
        <w:rPr>
          <w:rFonts w:ascii="Times New Roman" w:eastAsia="Times New Roman" w:hAnsi="Times New Roman" w:cs="Times New Roman"/>
          <w:color w:val="333333"/>
          <w:sz w:val="24"/>
          <w:szCs w:val="24"/>
          <w:highlight w:val="white"/>
          <w:lang w:val="en-US"/>
        </w:rPr>
        <w:t xml:space="preserve">anguage </w:t>
      </w:r>
      <w:sdt>
        <w:sdtPr>
          <w:rPr>
            <w:rFonts w:ascii="Times New Roman" w:hAnsi="Times New Roman" w:cs="Times New Roman"/>
            <w:sz w:val="24"/>
            <w:szCs w:val="24"/>
          </w:rPr>
          <w:tag w:val="goog_rdk_9"/>
          <w:id w:val="-879394657"/>
        </w:sdtPr>
        <w:sdtEndPr/>
        <w:sdtContent/>
      </w:sdt>
      <w:r w:rsidRPr="00FA3D7E">
        <w:rPr>
          <w:rFonts w:ascii="Times New Roman" w:eastAsia="Times New Roman" w:hAnsi="Times New Roman" w:cs="Times New Roman"/>
          <w:color w:val="333333"/>
          <w:sz w:val="24"/>
          <w:szCs w:val="24"/>
          <w:highlight w:val="yellow"/>
          <w:lang w:val="en-US"/>
        </w:rPr>
        <w:t>C</w:t>
      </w:r>
      <w:r w:rsidRPr="00FA3D7E">
        <w:rPr>
          <w:rFonts w:ascii="Times New Roman" w:eastAsia="Times New Roman" w:hAnsi="Times New Roman" w:cs="Times New Roman"/>
          <w:color w:val="333333"/>
          <w:sz w:val="24"/>
          <w:szCs w:val="24"/>
          <w:highlight w:val="white"/>
          <w:lang w:val="en-US"/>
        </w:rPr>
        <w:t>entres</w:t>
      </w:r>
      <w:r w:rsidRPr="006D72F4">
        <w:rPr>
          <w:rFonts w:ascii="Times New Roman" w:eastAsia="Times New Roman" w:hAnsi="Times New Roman" w:cs="Times New Roman"/>
          <w:color w:val="333333"/>
          <w:sz w:val="24"/>
          <w:szCs w:val="24"/>
          <w:highlight w:val="white"/>
          <w:lang w:val="en-US"/>
        </w:rPr>
        <w:t xml:space="preserve"> in Spain, as part of</w:t>
      </w:r>
      <w:r w:rsidRPr="006D72F4">
        <w:rPr>
          <w:rFonts w:ascii="Times New Roman" w:eastAsia="Times New Roman" w:hAnsi="Times New Roman" w:cs="Times New Roman"/>
          <w:color w:val="333333"/>
          <w:sz w:val="24"/>
          <w:szCs w:val="24"/>
          <w:lang w:val="en-US"/>
        </w:rPr>
        <w:t xml:space="preserve"> an ongoing </w:t>
      </w:r>
      <w:r w:rsidRPr="006D72F4">
        <w:rPr>
          <w:rFonts w:ascii="Times New Roman" w:eastAsia="Times New Roman" w:hAnsi="Times New Roman" w:cs="Times New Roman"/>
          <w:color w:val="333333"/>
          <w:sz w:val="24"/>
          <w:szCs w:val="24"/>
          <w:highlight w:val="white"/>
          <w:lang w:val="en-US"/>
        </w:rPr>
        <w:t>national project.</w:t>
      </w:r>
      <w:r w:rsidR="00CD7490" w:rsidRPr="006D72F4">
        <w:rPr>
          <w:rFonts w:ascii="Times New Roman" w:eastAsia="Times New Roman" w:hAnsi="Times New Roman" w:cs="Times New Roman"/>
          <w:color w:val="333333"/>
          <w:sz w:val="24"/>
          <w:szCs w:val="24"/>
          <w:highlight w:val="white"/>
          <w:vertAlign w:val="superscript"/>
        </w:rPr>
        <w:endnoteReference w:id="1"/>
      </w:r>
      <w:r w:rsidR="00CD7490" w:rsidRPr="006D72F4">
        <w:rPr>
          <w:rFonts w:ascii="Times New Roman" w:eastAsia="Times New Roman" w:hAnsi="Times New Roman" w:cs="Times New Roman"/>
          <w:color w:val="333333"/>
          <w:sz w:val="24"/>
          <w:szCs w:val="24"/>
          <w:highlight w:val="white"/>
          <w:lang w:val="en-US"/>
        </w:rPr>
        <w:t xml:space="preserve"> </w:t>
      </w:r>
      <w:r w:rsidRPr="006D72F4">
        <w:rPr>
          <w:rFonts w:ascii="Times New Roman" w:eastAsia="Times New Roman" w:hAnsi="Times New Roman" w:cs="Times New Roman"/>
          <w:color w:val="333333"/>
          <w:sz w:val="24"/>
          <w:szCs w:val="24"/>
          <w:lang w:val="en-US"/>
        </w:rPr>
        <w:t>Gaining the insiders’ knowledge, i.e., the raters’, would improve our comprehension of how these documents are being implemented for evaluation processes. This in turn would allow stakeholders to refine assessment in language centers and align curriculum design decisions, taking into consideration CEFR and CV guidelines</w:t>
      </w:r>
    </w:p>
    <w:p w14:paraId="6AF60FDF" w14:textId="77777777" w:rsidR="00D7293F" w:rsidRPr="006D72F4" w:rsidRDefault="00D7293F" w:rsidP="006D72F4">
      <w:pPr>
        <w:spacing w:after="0" w:line="240" w:lineRule="auto"/>
        <w:ind w:firstLine="720"/>
        <w:jc w:val="both"/>
        <w:rPr>
          <w:rFonts w:ascii="Times New Roman" w:eastAsia="Times New Roman" w:hAnsi="Times New Roman" w:cs="Times New Roman"/>
          <w:color w:val="333333"/>
          <w:sz w:val="24"/>
          <w:szCs w:val="24"/>
          <w:lang w:val="en-US"/>
        </w:rPr>
      </w:pPr>
    </w:p>
    <w:p w14:paraId="585A9149" w14:textId="68FB48CB" w:rsidR="00C155D5" w:rsidRDefault="00CA544A" w:rsidP="006D72F4">
      <w:pPr>
        <w:spacing w:after="0" w:line="240" w:lineRule="auto"/>
        <w:jc w:val="center"/>
        <w:rPr>
          <w:rFonts w:ascii="Times New Roman" w:hAnsi="Times New Roman" w:cs="Times New Roman"/>
          <w:b/>
          <w:sz w:val="24"/>
          <w:szCs w:val="24"/>
          <w:lang w:val="en-GB"/>
        </w:rPr>
      </w:pPr>
      <w:r w:rsidRPr="006D72F4">
        <w:rPr>
          <w:rFonts w:ascii="Times New Roman" w:hAnsi="Times New Roman" w:cs="Times New Roman"/>
          <w:b/>
          <w:sz w:val="24"/>
          <w:szCs w:val="24"/>
          <w:lang w:val="en-GB"/>
        </w:rPr>
        <w:t>Methodology</w:t>
      </w:r>
    </w:p>
    <w:p w14:paraId="0B248B7C" w14:textId="77777777" w:rsidR="006D72F4" w:rsidRPr="006D72F4" w:rsidRDefault="006D72F4" w:rsidP="006D72F4">
      <w:pPr>
        <w:spacing w:after="0" w:line="240" w:lineRule="auto"/>
        <w:jc w:val="center"/>
        <w:rPr>
          <w:rFonts w:ascii="Times New Roman" w:hAnsi="Times New Roman" w:cs="Times New Roman"/>
          <w:b/>
          <w:sz w:val="24"/>
          <w:szCs w:val="24"/>
          <w:lang w:val="en-GB"/>
        </w:rPr>
      </w:pPr>
    </w:p>
    <w:p w14:paraId="25847B55" w14:textId="676B070D" w:rsidR="00CA544A" w:rsidRPr="006D72F4" w:rsidRDefault="00CA544A" w:rsidP="006D72F4">
      <w:pPr>
        <w:pStyle w:val="NormalWeb"/>
        <w:spacing w:before="0" w:beforeAutospacing="0" w:after="0" w:afterAutospacing="0"/>
        <w:jc w:val="both"/>
        <w:rPr>
          <w:b/>
          <w:color w:val="333333"/>
        </w:rPr>
      </w:pPr>
      <w:r w:rsidRPr="006D72F4">
        <w:rPr>
          <w:b/>
          <w:color w:val="333333"/>
        </w:rPr>
        <w:t xml:space="preserve">The </w:t>
      </w:r>
      <w:r w:rsidR="00314A64" w:rsidRPr="006D72F4">
        <w:rPr>
          <w:b/>
          <w:color w:val="333333"/>
        </w:rPr>
        <w:t>Q</w:t>
      </w:r>
      <w:r w:rsidRPr="006D72F4">
        <w:rPr>
          <w:b/>
          <w:color w:val="333333"/>
        </w:rPr>
        <w:t>uestionnaire</w:t>
      </w:r>
    </w:p>
    <w:p w14:paraId="52A6EDBD" w14:textId="77777777" w:rsidR="006D72F4" w:rsidRDefault="006D72F4" w:rsidP="006D72F4">
      <w:pPr>
        <w:pStyle w:val="NormalWeb"/>
        <w:spacing w:before="0" w:beforeAutospacing="0" w:after="0" w:afterAutospacing="0"/>
        <w:jc w:val="both"/>
        <w:rPr>
          <w:color w:val="333333"/>
        </w:rPr>
      </w:pPr>
    </w:p>
    <w:p w14:paraId="667C2F3D" w14:textId="4CD997F2" w:rsidR="00132C45" w:rsidRPr="006D72F4" w:rsidRDefault="00132C45" w:rsidP="006D72F4">
      <w:pPr>
        <w:pStyle w:val="NormalWeb"/>
        <w:spacing w:before="0" w:beforeAutospacing="0" w:after="0" w:afterAutospacing="0"/>
        <w:jc w:val="both"/>
      </w:pPr>
      <w:r w:rsidRPr="006D72F4">
        <w:rPr>
          <w:color w:val="333333"/>
        </w:rPr>
        <w:t xml:space="preserve">Considering the previous literature on the knowledge and use of the CEFR and the CV by different </w:t>
      </w:r>
      <w:r w:rsidR="005A0BBB" w:rsidRPr="006D72F4">
        <w:rPr>
          <w:color w:val="333333"/>
        </w:rPr>
        <w:t xml:space="preserve">stakeholders </w:t>
      </w:r>
      <w:r w:rsidRPr="006D72F4">
        <w:rPr>
          <w:color w:val="333333"/>
        </w:rPr>
        <w:t>(</w:t>
      </w:r>
      <w:r w:rsidR="005B62ED" w:rsidRPr="006D72F4">
        <w:rPr>
          <w:color w:val="333333"/>
        </w:rPr>
        <w:t xml:space="preserve">Díez-Bedmar &amp; Byram, 2019; </w:t>
      </w:r>
      <w:r w:rsidRPr="006D72F4">
        <w:rPr>
          <w:color w:val="333333"/>
        </w:rPr>
        <w:t xml:space="preserve">Figueras 2012; </w:t>
      </w:r>
      <w:r w:rsidR="005B62ED" w:rsidRPr="006D72F4">
        <w:rPr>
          <w:color w:val="333333"/>
        </w:rPr>
        <w:t xml:space="preserve">Hismanoglu, 2013; </w:t>
      </w:r>
      <w:r w:rsidRPr="006D72F4">
        <w:rPr>
          <w:color w:val="333333"/>
        </w:rPr>
        <w:t xml:space="preserve">Moonen et al., 2013; </w:t>
      </w:r>
      <w:r w:rsidR="00DD1FFF" w:rsidRPr="006D72F4">
        <w:rPr>
          <w:color w:val="333333"/>
        </w:rPr>
        <w:t xml:space="preserve">Nguyen Ngoc Tiep, 2017; </w:t>
      </w:r>
      <w:r w:rsidRPr="006D72F4">
        <w:rPr>
          <w:color w:val="333333"/>
        </w:rPr>
        <w:t>Normand-Maconnet &amp; Lo Bianco, 2013; Sülü &amp; KÕr, 2014; Zheng et al., 2016) both authors designed a 38-item questionnaire to elicit the data.</w:t>
      </w:r>
      <w:r w:rsidR="00CD7490" w:rsidRPr="006D72F4">
        <w:rPr>
          <w:rStyle w:val="Refdenotaalfinal"/>
          <w:color w:val="333333"/>
        </w:rPr>
        <w:endnoteReference w:id="2"/>
      </w:r>
    </w:p>
    <w:p w14:paraId="452D1C50" w14:textId="1B84AA19" w:rsidR="001C7305" w:rsidRPr="006D72F4" w:rsidRDefault="001C7305" w:rsidP="006D72F4">
      <w:pPr>
        <w:pStyle w:val="NormalWeb"/>
        <w:spacing w:before="0" w:beforeAutospacing="0" w:after="0" w:afterAutospacing="0"/>
        <w:ind w:firstLine="720"/>
        <w:jc w:val="both"/>
      </w:pPr>
      <w:r w:rsidRPr="006D72F4">
        <w:rPr>
          <w:color w:val="333333"/>
        </w:rPr>
        <w:t>Th</w:t>
      </w:r>
      <w:r w:rsidR="00132C45" w:rsidRPr="006D72F4">
        <w:rPr>
          <w:color w:val="333333"/>
        </w:rPr>
        <w:t>e</w:t>
      </w:r>
      <w:r w:rsidRPr="006D72F4">
        <w:rPr>
          <w:color w:val="333333"/>
        </w:rPr>
        <w:t xml:space="preserve"> questionnaire was then revised by five expert users of the CEFR and the CV as well as two stakeholders (i.e., two </w:t>
      </w:r>
      <w:r w:rsidR="00D9568A" w:rsidRPr="006D72F4">
        <w:rPr>
          <w:color w:val="333333"/>
        </w:rPr>
        <w:t xml:space="preserve">raters </w:t>
      </w:r>
      <w:r w:rsidR="00132C45" w:rsidRPr="006D72F4">
        <w:rPr>
          <w:color w:val="333333"/>
        </w:rPr>
        <w:t>of the CertAcles exam</w:t>
      </w:r>
      <w:r w:rsidRPr="006D72F4">
        <w:rPr>
          <w:color w:val="333333"/>
        </w:rPr>
        <w:t>). Once their feedback was received, the survey was improved by making sl</w:t>
      </w:r>
      <w:r w:rsidR="00132C45" w:rsidRPr="006D72F4">
        <w:rPr>
          <w:color w:val="333333"/>
        </w:rPr>
        <w:t>ight changes related to content, question format</w:t>
      </w:r>
      <w:r w:rsidRPr="006D72F4">
        <w:rPr>
          <w:color w:val="333333"/>
        </w:rPr>
        <w:t xml:space="preserve"> and </w:t>
      </w:r>
      <w:r w:rsidR="00132C45" w:rsidRPr="006D72F4">
        <w:rPr>
          <w:color w:val="333333"/>
        </w:rPr>
        <w:t xml:space="preserve">the need to make some of the answers mandatory or </w:t>
      </w:r>
      <w:r w:rsidRPr="006D72F4">
        <w:rPr>
          <w:color w:val="333333"/>
        </w:rPr>
        <w:t xml:space="preserve">optional. </w:t>
      </w:r>
      <w:r w:rsidR="00132C45" w:rsidRPr="006D72F4">
        <w:rPr>
          <w:color w:val="333333"/>
        </w:rPr>
        <w:t>The expert validated questionnaire</w:t>
      </w:r>
      <w:r w:rsidRPr="006D72F4">
        <w:rPr>
          <w:color w:val="333333"/>
        </w:rPr>
        <w:t xml:space="preserve"> was </w:t>
      </w:r>
      <w:r w:rsidR="00132C45" w:rsidRPr="006D72F4">
        <w:rPr>
          <w:color w:val="333333"/>
        </w:rPr>
        <w:t xml:space="preserve">then </w:t>
      </w:r>
      <w:r w:rsidRPr="006D72F4">
        <w:rPr>
          <w:color w:val="333333"/>
        </w:rPr>
        <w:t xml:space="preserve">distributed to the different University Language Centres </w:t>
      </w:r>
      <w:r w:rsidR="00132C45" w:rsidRPr="006D72F4">
        <w:rPr>
          <w:color w:val="333333"/>
        </w:rPr>
        <w:t xml:space="preserve">accredited by CertAcles </w:t>
      </w:r>
      <w:r w:rsidRPr="006D72F4">
        <w:rPr>
          <w:color w:val="333333"/>
        </w:rPr>
        <w:t>in Spain by email, and also distributed via Twitter to reach as many evaluators of the CertAcles exam as possible. The questionnaire was open from December 2021 to July 2022.</w:t>
      </w:r>
    </w:p>
    <w:p w14:paraId="6EA40B24" w14:textId="68710DA6" w:rsidR="001C7305" w:rsidRDefault="001C7305" w:rsidP="006D72F4">
      <w:pPr>
        <w:pStyle w:val="NormalWeb"/>
        <w:spacing w:before="0" w:beforeAutospacing="0" w:after="0" w:afterAutospacing="0"/>
        <w:ind w:firstLine="720"/>
        <w:jc w:val="both"/>
        <w:rPr>
          <w:color w:val="333333"/>
        </w:rPr>
      </w:pPr>
      <w:r w:rsidRPr="006D72F4">
        <w:rPr>
          <w:color w:val="333333"/>
        </w:rPr>
        <w:t xml:space="preserve">Four main blocks can be found in the questionnaire, administered in Spanish to facilitate its access to evaluators </w:t>
      </w:r>
      <w:r w:rsidR="00132C45" w:rsidRPr="006D72F4">
        <w:rPr>
          <w:color w:val="333333"/>
        </w:rPr>
        <w:t xml:space="preserve">of the CertAcles exam </w:t>
      </w:r>
      <w:r w:rsidRPr="006D72F4">
        <w:rPr>
          <w:color w:val="333333"/>
        </w:rPr>
        <w:t>of any language (not only English).</w:t>
      </w:r>
      <w:r w:rsidR="00CD7490" w:rsidRPr="006D72F4">
        <w:rPr>
          <w:rStyle w:val="Refdenotaalfinal"/>
          <w:color w:val="333333"/>
        </w:rPr>
        <w:endnoteReference w:id="3"/>
      </w:r>
      <w:r w:rsidR="00CD7490" w:rsidRPr="006D72F4">
        <w:rPr>
          <w:color w:val="333333"/>
        </w:rPr>
        <w:t xml:space="preserve"> </w:t>
      </w:r>
      <w:r w:rsidRPr="006D72F4">
        <w:rPr>
          <w:color w:val="333333"/>
        </w:rPr>
        <w:t>The first one</w:t>
      </w:r>
      <w:r w:rsidR="0019245B" w:rsidRPr="006D72F4">
        <w:rPr>
          <w:color w:val="333333"/>
        </w:rPr>
        <w:t xml:space="preserve"> states the objectives of the research</w:t>
      </w:r>
      <w:r w:rsidR="000F5C6E" w:rsidRPr="006D72F4">
        <w:rPr>
          <w:color w:val="333333"/>
        </w:rPr>
        <w:t>. The second block</w:t>
      </w:r>
      <w:r w:rsidRPr="006D72F4">
        <w:rPr>
          <w:color w:val="333333"/>
        </w:rPr>
        <w:t xml:space="preserve"> </w:t>
      </w:r>
      <w:r w:rsidR="0019245B" w:rsidRPr="006D72F4">
        <w:rPr>
          <w:color w:val="333333"/>
        </w:rPr>
        <w:t>has been</w:t>
      </w:r>
      <w:r w:rsidRPr="006D72F4">
        <w:rPr>
          <w:color w:val="333333"/>
        </w:rPr>
        <w:t xml:space="preserve"> designed to retrieve the personal, academic and evaluating background of participants (questions 1 to 9</w:t>
      </w:r>
      <w:r w:rsidR="000F5C6E" w:rsidRPr="006D72F4">
        <w:rPr>
          <w:color w:val="333333"/>
        </w:rPr>
        <w:t xml:space="preserve"> –Section II</w:t>
      </w:r>
      <w:r w:rsidR="00A1203B" w:rsidRPr="006D72F4">
        <w:rPr>
          <w:color w:val="333333"/>
        </w:rPr>
        <w:t>, in Appendix</w:t>
      </w:r>
      <w:r w:rsidR="000F5C6E" w:rsidRPr="006D72F4">
        <w:rPr>
          <w:color w:val="333333"/>
        </w:rPr>
        <w:t>-</w:t>
      </w:r>
      <w:r w:rsidRPr="006D72F4">
        <w:rPr>
          <w:color w:val="333333"/>
        </w:rPr>
        <w:t xml:space="preserve">). The </w:t>
      </w:r>
      <w:r w:rsidR="000F5C6E" w:rsidRPr="006D72F4">
        <w:rPr>
          <w:color w:val="333333"/>
        </w:rPr>
        <w:t>third</w:t>
      </w:r>
      <w:r w:rsidRPr="006D72F4">
        <w:rPr>
          <w:color w:val="333333"/>
        </w:rPr>
        <w:t xml:space="preserve"> one focuses on the evaluators’ specific training on the CEFR and/or CV (questions 10 to 14</w:t>
      </w:r>
      <w:r w:rsidR="000F5C6E" w:rsidRPr="006D72F4">
        <w:rPr>
          <w:color w:val="333333"/>
        </w:rPr>
        <w:t xml:space="preserve"> -Section III-</w:t>
      </w:r>
      <w:r w:rsidRPr="006D72F4">
        <w:rPr>
          <w:color w:val="333333"/>
        </w:rPr>
        <w:t xml:space="preserve">), </w:t>
      </w:r>
      <w:r w:rsidR="00132C45" w:rsidRPr="006D72F4">
        <w:rPr>
          <w:color w:val="333333"/>
        </w:rPr>
        <w:t xml:space="preserve">followed by a </w:t>
      </w:r>
      <w:r w:rsidR="000F5C6E" w:rsidRPr="006D72F4">
        <w:rPr>
          <w:color w:val="333333"/>
        </w:rPr>
        <w:t>fourth</w:t>
      </w:r>
      <w:r w:rsidR="00132C45" w:rsidRPr="006D72F4">
        <w:rPr>
          <w:color w:val="333333"/>
        </w:rPr>
        <w:t xml:space="preserve"> block in </w:t>
      </w:r>
      <w:r w:rsidRPr="006D72F4">
        <w:rPr>
          <w:color w:val="333333"/>
        </w:rPr>
        <w:t>which evaluators are asked about their current knowledge of the documents (questions 15 to 32</w:t>
      </w:r>
      <w:r w:rsidR="000F5C6E" w:rsidRPr="006D72F4">
        <w:rPr>
          <w:color w:val="333333"/>
        </w:rPr>
        <w:t xml:space="preserve"> –Section IV-</w:t>
      </w:r>
      <w:r w:rsidRPr="006D72F4">
        <w:rPr>
          <w:color w:val="333333"/>
        </w:rPr>
        <w:t xml:space="preserve">). </w:t>
      </w:r>
      <w:r w:rsidR="00132C45" w:rsidRPr="006D72F4">
        <w:rPr>
          <w:color w:val="333333"/>
        </w:rPr>
        <w:t>The last block sought to o</w:t>
      </w:r>
      <w:r w:rsidRPr="006D72F4">
        <w:rPr>
          <w:color w:val="333333"/>
        </w:rPr>
        <w:t xml:space="preserve">btain information about </w:t>
      </w:r>
      <w:r w:rsidR="00132C45" w:rsidRPr="006D72F4">
        <w:rPr>
          <w:color w:val="333333"/>
        </w:rPr>
        <w:t xml:space="preserve">the evaluators’ opinion of the documents </w:t>
      </w:r>
      <w:r w:rsidRPr="006D72F4">
        <w:rPr>
          <w:color w:val="333333"/>
        </w:rPr>
        <w:t>regarding their ef</w:t>
      </w:r>
      <w:r w:rsidR="00132C45" w:rsidRPr="006D72F4">
        <w:rPr>
          <w:color w:val="333333"/>
        </w:rPr>
        <w:t>fectiveness, clarity and impact</w:t>
      </w:r>
      <w:r w:rsidRPr="006D72F4">
        <w:rPr>
          <w:color w:val="333333"/>
        </w:rPr>
        <w:t xml:space="preserve"> (questions 33 to 38</w:t>
      </w:r>
      <w:r w:rsidR="000F5C6E" w:rsidRPr="006D72F4">
        <w:rPr>
          <w:color w:val="333333"/>
        </w:rPr>
        <w:t xml:space="preserve"> –Section V-</w:t>
      </w:r>
      <w:r w:rsidRPr="006D72F4">
        <w:rPr>
          <w:color w:val="333333"/>
        </w:rPr>
        <w:t xml:space="preserve">). </w:t>
      </w:r>
      <w:r w:rsidR="00503E23" w:rsidRPr="006D72F4">
        <w:rPr>
          <w:color w:val="333333"/>
        </w:rPr>
        <w:t>Q</w:t>
      </w:r>
      <w:r w:rsidRPr="006D72F4">
        <w:rPr>
          <w:color w:val="333333"/>
        </w:rPr>
        <w:t>uestions are open and closed multiple choice questions, Likert</w:t>
      </w:r>
      <w:r w:rsidR="00503E23" w:rsidRPr="006D72F4">
        <w:rPr>
          <w:color w:val="333333"/>
        </w:rPr>
        <w:t xml:space="preserve">-scale questions (1 to 10) and </w:t>
      </w:r>
      <w:r w:rsidRPr="006D72F4">
        <w:rPr>
          <w:color w:val="333333"/>
        </w:rPr>
        <w:t xml:space="preserve">open short questions where evaluators had the opportunity to provide detailed information on some of the aspects in the </w:t>
      </w:r>
      <w:r w:rsidR="00503E23" w:rsidRPr="006D72F4">
        <w:rPr>
          <w:color w:val="333333"/>
        </w:rPr>
        <w:t>questionnaire</w:t>
      </w:r>
      <w:r w:rsidRPr="00EB0CE2">
        <w:rPr>
          <w:color w:val="333333"/>
        </w:rPr>
        <w:t>.</w:t>
      </w:r>
    </w:p>
    <w:p w14:paraId="54257B9C" w14:textId="77777777" w:rsidR="00EB0CE2" w:rsidRPr="00EB0CE2" w:rsidRDefault="00EB0CE2" w:rsidP="006D72F4">
      <w:pPr>
        <w:pStyle w:val="NormalWeb"/>
        <w:spacing w:before="0" w:beforeAutospacing="0" w:after="0" w:afterAutospacing="0"/>
        <w:ind w:firstLine="720"/>
        <w:jc w:val="both"/>
        <w:rPr>
          <w:color w:val="333333"/>
        </w:rPr>
      </w:pPr>
    </w:p>
    <w:p w14:paraId="264C5B5E" w14:textId="2E9F21A8" w:rsidR="00516D9F" w:rsidRPr="00EB0CE2" w:rsidRDefault="00CA544A" w:rsidP="00EB0CE2">
      <w:pPr>
        <w:spacing w:after="0" w:line="240" w:lineRule="auto"/>
        <w:rPr>
          <w:rFonts w:ascii="Times New Roman" w:hAnsi="Times New Roman" w:cs="Times New Roman"/>
          <w:b/>
          <w:i/>
          <w:sz w:val="24"/>
          <w:szCs w:val="24"/>
          <w:lang w:val="en-GB"/>
        </w:rPr>
      </w:pPr>
      <w:r w:rsidRPr="00EB0CE2">
        <w:rPr>
          <w:rFonts w:ascii="Times New Roman" w:hAnsi="Times New Roman" w:cs="Times New Roman"/>
          <w:b/>
          <w:sz w:val="24"/>
          <w:szCs w:val="24"/>
          <w:lang w:val="en-GB"/>
        </w:rPr>
        <w:t>The</w:t>
      </w:r>
      <w:r w:rsidRPr="00EB0CE2">
        <w:rPr>
          <w:rFonts w:ascii="Times New Roman" w:hAnsi="Times New Roman" w:cs="Times New Roman"/>
          <w:b/>
          <w:i/>
          <w:sz w:val="24"/>
          <w:szCs w:val="24"/>
          <w:lang w:val="en-GB"/>
        </w:rPr>
        <w:t xml:space="preserve"> </w:t>
      </w:r>
      <w:r w:rsidR="00314A64" w:rsidRPr="00EB0CE2">
        <w:rPr>
          <w:rFonts w:ascii="Times New Roman" w:hAnsi="Times New Roman" w:cs="Times New Roman"/>
          <w:b/>
          <w:sz w:val="24"/>
          <w:szCs w:val="24"/>
          <w:lang w:val="en-GB"/>
        </w:rPr>
        <w:t>P</w:t>
      </w:r>
      <w:r w:rsidRPr="00EB0CE2">
        <w:rPr>
          <w:rFonts w:ascii="Times New Roman" w:hAnsi="Times New Roman" w:cs="Times New Roman"/>
          <w:b/>
          <w:sz w:val="24"/>
          <w:szCs w:val="24"/>
          <w:lang w:val="en-GB"/>
        </w:rPr>
        <w:t>articipants</w:t>
      </w:r>
    </w:p>
    <w:p w14:paraId="0AFF6007" w14:textId="77777777" w:rsidR="006D72F4" w:rsidRDefault="006D72F4" w:rsidP="006D72F4">
      <w:pPr>
        <w:jc w:val="both"/>
        <w:rPr>
          <w:rFonts w:ascii="Times New Roman" w:hAnsi="Times New Roman" w:cs="Times New Roman"/>
          <w:sz w:val="24"/>
          <w:szCs w:val="24"/>
          <w:lang w:val="en-GB"/>
        </w:rPr>
      </w:pPr>
    </w:p>
    <w:p w14:paraId="14854BEB" w14:textId="1407D191" w:rsidR="0011262A" w:rsidRPr="00EB0CE2" w:rsidRDefault="00204B12" w:rsidP="006D72F4">
      <w:pPr>
        <w:jc w:val="both"/>
        <w:rPr>
          <w:rFonts w:ascii="Times New Roman" w:hAnsi="Times New Roman" w:cs="Times New Roman"/>
          <w:sz w:val="24"/>
          <w:szCs w:val="24"/>
          <w:lang w:val="en-US"/>
        </w:rPr>
      </w:pPr>
      <w:r w:rsidRPr="00EB0CE2">
        <w:rPr>
          <w:rFonts w:ascii="Times New Roman" w:hAnsi="Times New Roman" w:cs="Times New Roman"/>
          <w:sz w:val="24"/>
          <w:szCs w:val="24"/>
          <w:lang w:val="en-GB"/>
        </w:rPr>
        <w:t>The</w:t>
      </w:r>
      <w:r w:rsidR="00C155D5" w:rsidRPr="00EB0CE2">
        <w:rPr>
          <w:rFonts w:ascii="Times New Roman" w:hAnsi="Times New Roman" w:cs="Times New Roman"/>
          <w:sz w:val="24"/>
          <w:szCs w:val="24"/>
          <w:lang w:val="en-GB"/>
        </w:rPr>
        <w:t xml:space="preserve"> </w:t>
      </w:r>
      <w:r w:rsidR="00B26B95" w:rsidRPr="00EB0CE2">
        <w:rPr>
          <w:rFonts w:ascii="Times New Roman" w:hAnsi="Times New Roman" w:cs="Times New Roman"/>
          <w:sz w:val="24"/>
          <w:szCs w:val="24"/>
          <w:lang w:val="en-GB"/>
        </w:rPr>
        <w:t>questionnaire</w:t>
      </w:r>
      <w:r w:rsidR="00C155D5" w:rsidRPr="00EB0CE2">
        <w:rPr>
          <w:rFonts w:ascii="Times New Roman" w:hAnsi="Times New Roman" w:cs="Times New Roman"/>
          <w:sz w:val="24"/>
          <w:szCs w:val="24"/>
          <w:lang w:val="en-GB"/>
        </w:rPr>
        <w:t xml:space="preserve"> was answered by forty-four evaluators from 14 different University Language Centers</w:t>
      </w:r>
      <w:r w:rsidRPr="00EB0CE2">
        <w:rPr>
          <w:rFonts w:ascii="Times New Roman" w:hAnsi="Times New Roman" w:cs="Times New Roman"/>
          <w:sz w:val="24"/>
          <w:szCs w:val="24"/>
          <w:lang w:val="en-GB"/>
        </w:rPr>
        <w:t xml:space="preserve"> </w:t>
      </w:r>
      <w:r w:rsidR="00C54E44" w:rsidRPr="00EB0CE2">
        <w:rPr>
          <w:rFonts w:ascii="Times New Roman" w:hAnsi="Times New Roman" w:cs="Times New Roman"/>
          <w:sz w:val="24"/>
          <w:szCs w:val="24"/>
          <w:lang w:val="en-GB"/>
        </w:rPr>
        <w:t xml:space="preserve">in Spain </w:t>
      </w:r>
      <w:r w:rsidRPr="00EB0CE2">
        <w:rPr>
          <w:rFonts w:ascii="Times New Roman" w:hAnsi="Times New Roman" w:cs="Times New Roman"/>
          <w:sz w:val="24"/>
          <w:szCs w:val="24"/>
          <w:lang w:val="en-GB"/>
        </w:rPr>
        <w:t>accredited by CertAcles. Their</w:t>
      </w:r>
      <w:r w:rsidR="00C155D5" w:rsidRPr="00EB0CE2">
        <w:rPr>
          <w:rFonts w:ascii="Times New Roman" w:hAnsi="Times New Roman" w:cs="Times New Roman"/>
          <w:sz w:val="24"/>
          <w:szCs w:val="24"/>
          <w:lang w:val="en-GB"/>
        </w:rPr>
        <w:t xml:space="preserve"> participation was voluntary and not rewarded in any</w:t>
      </w:r>
      <w:r w:rsidR="00B26B95" w:rsidRPr="00EB0CE2">
        <w:rPr>
          <w:rFonts w:ascii="Times New Roman" w:hAnsi="Times New Roman" w:cs="Times New Roman"/>
          <w:sz w:val="24"/>
          <w:szCs w:val="24"/>
          <w:lang w:val="en-GB"/>
        </w:rPr>
        <w:t xml:space="preserve"> </w:t>
      </w:r>
      <w:r w:rsidR="00C155D5" w:rsidRPr="00EB0CE2">
        <w:rPr>
          <w:rFonts w:ascii="Times New Roman" w:hAnsi="Times New Roman" w:cs="Times New Roman"/>
          <w:sz w:val="24"/>
          <w:szCs w:val="24"/>
          <w:lang w:val="en-GB"/>
        </w:rPr>
        <w:t xml:space="preserve">way. </w:t>
      </w:r>
      <w:r w:rsidR="0011262A" w:rsidRPr="00EB0CE2">
        <w:rPr>
          <w:rFonts w:ascii="Times New Roman" w:hAnsi="Times New Roman" w:cs="Times New Roman"/>
          <w:sz w:val="24"/>
          <w:szCs w:val="24"/>
          <w:lang w:val="en-GB"/>
        </w:rPr>
        <w:t xml:space="preserve">Information on these respondents was retrieved in the </w:t>
      </w:r>
      <w:r w:rsidR="00A1203B" w:rsidRPr="00EB0CE2">
        <w:rPr>
          <w:rFonts w:ascii="Times New Roman" w:hAnsi="Times New Roman" w:cs="Times New Roman"/>
          <w:sz w:val="24"/>
          <w:szCs w:val="24"/>
          <w:lang w:val="en-GB"/>
        </w:rPr>
        <w:t>second</w:t>
      </w:r>
      <w:r w:rsidR="001F67CD" w:rsidRPr="00EB0CE2">
        <w:rPr>
          <w:rFonts w:ascii="Times New Roman" w:hAnsi="Times New Roman" w:cs="Times New Roman"/>
          <w:sz w:val="24"/>
          <w:szCs w:val="24"/>
          <w:lang w:val="en-GB"/>
        </w:rPr>
        <w:t xml:space="preserve"> block </w:t>
      </w:r>
      <w:r w:rsidR="0011262A" w:rsidRPr="00EB0CE2">
        <w:rPr>
          <w:rFonts w:ascii="Times New Roman" w:hAnsi="Times New Roman" w:cs="Times New Roman"/>
          <w:sz w:val="24"/>
          <w:szCs w:val="24"/>
          <w:lang w:val="en-US"/>
        </w:rPr>
        <w:t>of the questionnaire (</w:t>
      </w:r>
      <w:r w:rsidR="004804F8" w:rsidRPr="00EB0CE2">
        <w:rPr>
          <w:rFonts w:ascii="Times New Roman" w:hAnsi="Times New Roman" w:cs="Times New Roman"/>
          <w:sz w:val="24"/>
          <w:szCs w:val="24"/>
          <w:lang w:val="en-US"/>
        </w:rPr>
        <w:t xml:space="preserve">see section </w:t>
      </w:r>
      <w:r w:rsidR="00A1203B" w:rsidRPr="00EB0CE2">
        <w:rPr>
          <w:rFonts w:ascii="Times New Roman" w:hAnsi="Times New Roman" w:cs="Times New Roman"/>
          <w:sz w:val="24"/>
          <w:szCs w:val="24"/>
          <w:lang w:val="en-US"/>
        </w:rPr>
        <w:t>I</w:t>
      </w:r>
      <w:r w:rsidR="004804F8" w:rsidRPr="00EB0CE2">
        <w:rPr>
          <w:rFonts w:ascii="Times New Roman" w:hAnsi="Times New Roman" w:cs="Times New Roman"/>
          <w:sz w:val="24"/>
          <w:szCs w:val="24"/>
          <w:lang w:val="en-US"/>
        </w:rPr>
        <w:t>I, in Apendix</w:t>
      </w:r>
      <w:r w:rsidR="0011262A" w:rsidRPr="00EB0CE2">
        <w:rPr>
          <w:rFonts w:ascii="Times New Roman" w:hAnsi="Times New Roman" w:cs="Times New Roman"/>
          <w:sz w:val="24"/>
          <w:szCs w:val="24"/>
          <w:lang w:val="en-US"/>
        </w:rPr>
        <w:t xml:space="preserve">), in which evaluators were  required to answer questions related to their age, academic background, </w:t>
      </w:r>
      <w:r w:rsidR="00D9568A" w:rsidRPr="00EB0CE2">
        <w:rPr>
          <w:rFonts w:ascii="Times New Roman" w:hAnsi="Times New Roman" w:cs="Times New Roman"/>
          <w:sz w:val="24"/>
          <w:szCs w:val="24"/>
          <w:lang w:val="en-US"/>
        </w:rPr>
        <w:t xml:space="preserve">rating experience, the levels and language(s) they evaluate, the number of </w:t>
      </w:r>
      <w:r w:rsidR="0011262A" w:rsidRPr="00EB0CE2">
        <w:rPr>
          <w:rFonts w:ascii="Times New Roman" w:hAnsi="Times New Roman" w:cs="Times New Roman"/>
          <w:sz w:val="24"/>
          <w:szCs w:val="24"/>
          <w:lang w:val="en-US"/>
        </w:rPr>
        <w:t>years learning the language</w:t>
      </w:r>
      <w:r w:rsidR="00D9568A" w:rsidRPr="00EB0CE2">
        <w:rPr>
          <w:rFonts w:ascii="Times New Roman" w:hAnsi="Times New Roman" w:cs="Times New Roman"/>
          <w:sz w:val="24"/>
          <w:szCs w:val="24"/>
          <w:lang w:val="en-US"/>
        </w:rPr>
        <w:t>(s)</w:t>
      </w:r>
      <w:r w:rsidR="0011262A" w:rsidRPr="00EB0CE2">
        <w:rPr>
          <w:rFonts w:ascii="Times New Roman" w:hAnsi="Times New Roman" w:cs="Times New Roman"/>
          <w:sz w:val="24"/>
          <w:szCs w:val="24"/>
          <w:lang w:val="en-US"/>
        </w:rPr>
        <w:t xml:space="preserve"> </w:t>
      </w:r>
      <w:r w:rsidR="001F67CD" w:rsidRPr="00EB0CE2">
        <w:rPr>
          <w:rFonts w:ascii="Times New Roman" w:hAnsi="Times New Roman" w:cs="Times New Roman"/>
          <w:sz w:val="24"/>
          <w:szCs w:val="24"/>
          <w:lang w:val="en-US"/>
        </w:rPr>
        <w:t xml:space="preserve">evaluated </w:t>
      </w:r>
      <w:r w:rsidR="0011262A" w:rsidRPr="00EB0CE2">
        <w:rPr>
          <w:rFonts w:ascii="Times New Roman" w:hAnsi="Times New Roman" w:cs="Times New Roman"/>
          <w:sz w:val="24"/>
          <w:szCs w:val="24"/>
          <w:lang w:val="en-US"/>
        </w:rPr>
        <w:t>and</w:t>
      </w:r>
      <w:r w:rsidR="00D9568A" w:rsidRPr="00EB0CE2">
        <w:rPr>
          <w:rFonts w:ascii="Times New Roman" w:hAnsi="Times New Roman" w:cs="Times New Roman"/>
          <w:sz w:val="24"/>
          <w:szCs w:val="24"/>
          <w:lang w:val="en-US"/>
        </w:rPr>
        <w:t>, finally,</w:t>
      </w:r>
      <w:r w:rsidR="0011262A" w:rsidRPr="00EB0CE2">
        <w:rPr>
          <w:rFonts w:ascii="Times New Roman" w:hAnsi="Times New Roman" w:cs="Times New Roman"/>
          <w:sz w:val="24"/>
          <w:szCs w:val="24"/>
          <w:lang w:val="en-US"/>
        </w:rPr>
        <w:t xml:space="preserve"> </w:t>
      </w:r>
      <w:r w:rsidR="00D9568A" w:rsidRPr="00EB0CE2">
        <w:rPr>
          <w:rFonts w:ascii="Times New Roman" w:hAnsi="Times New Roman" w:cs="Times New Roman"/>
          <w:sz w:val="24"/>
          <w:szCs w:val="24"/>
          <w:lang w:val="en-US"/>
        </w:rPr>
        <w:t xml:space="preserve">their highest </w:t>
      </w:r>
      <w:r w:rsidR="0011262A" w:rsidRPr="00EB0CE2">
        <w:rPr>
          <w:rFonts w:ascii="Times New Roman" w:hAnsi="Times New Roman" w:cs="Times New Roman"/>
          <w:sz w:val="24"/>
          <w:szCs w:val="24"/>
          <w:lang w:val="en-US"/>
        </w:rPr>
        <w:t xml:space="preserve">accredited level of </w:t>
      </w:r>
      <w:r w:rsidR="00D9568A" w:rsidRPr="00EB0CE2">
        <w:rPr>
          <w:rFonts w:ascii="Times New Roman" w:hAnsi="Times New Roman" w:cs="Times New Roman"/>
          <w:sz w:val="24"/>
          <w:szCs w:val="24"/>
          <w:lang w:val="en-US"/>
        </w:rPr>
        <w:t>the</w:t>
      </w:r>
      <w:r w:rsidR="0011262A" w:rsidRPr="00EB0CE2">
        <w:rPr>
          <w:rFonts w:ascii="Times New Roman" w:hAnsi="Times New Roman" w:cs="Times New Roman"/>
          <w:sz w:val="24"/>
          <w:szCs w:val="24"/>
          <w:lang w:val="en-US"/>
        </w:rPr>
        <w:t xml:space="preserve"> language</w:t>
      </w:r>
      <w:r w:rsidR="00D9568A" w:rsidRPr="00EB0CE2">
        <w:rPr>
          <w:rFonts w:ascii="Times New Roman" w:hAnsi="Times New Roman" w:cs="Times New Roman"/>
          <w:sz w:val="24"/>
          <w:szCs w:val="24"/>
          <w:lang w:val="en-US"/>
        </w:rPr>
        <w:t>(s) they evaluate.</w:t>
      </w:r>
    </w:p>
    <w:p w14:paraId="4713E3A2" w14:textId="77777777" w:rsidR="00AC03B1" w:rsidRDefault="00AC03B1">
      <w:pPr>
        <w:rPr>
          <w:rFonts w:asciiTheme="majorHAnsi" w:hAnsiTheme="majorHAnsi" w:cstheme="majorHAnsi"/>
          <w:lang w:val="en-US"/>
        </w:rPr>
      </w:pPr>
    </w:p>
    <w:p w14:paraId="61108D46" w14:textId="74F96CC5" w:rsidR="00AC03B1" w:rsidRDefault="00AC03B1">
      <w:pPr>
        <w:rPr>
          <w:rFonts w:asciiTheme="majorHAnsi" w:hAnsiTheme="majorHAnsi" w:cstheme="majorHAnsi"/>
          <w:lang w:val="en-US"/>
        </w:rPr>
      </w:pPr>
      <w:r>
        <w:rPr>
          <w:rFonts w:asciiTheme="majorHAnsi" w:hAnsiTheme="majorHAnsi" w:cstheme="majorHAnsi"/>
          <w:lang w:val="en-US"/>
        </w:rPr>
        <w:t xml:space="preserve">Figures X, X and X show the participants’ data </w:t>
      </w:r>
      <w:r w:rsidR="00842B3D">
        <w:rPr>
          <w:rFonts w:asciiTheme="majorHAnsi" w:hAnsiTheme="majorHAnsi" w:cstheme="majorHAnsi"/>
          <w:lang w:val="en-US"/>
        </w:rPr>
        <w:t>concerning</w:t>
      </w:r>
      <w:r>
        <w:rPr>
          <w:rFonts w:asciiTheme="majorHAnsi" w:hAnsiTheme="majorHAnsi" w:cstheme="majorHAnsi"/>
          <w:lang w:val="en-US"/>
        </w:rPr>
        <w:t xml:space="preserve"> their age, </w:t>
      </w:r>
      <w:r w:rsidR="00C6251D">
        <w:rPr>
          <w:rFonts w:asciiTheme="majorHAnsi" w:hAnsiTheme="majorHAnsi" w:cstheme="majorHAnsi"/>
          <w:lang w:val="en-US"/>
        </w:rPr>
        <w:t>gender and academic background.</w:t>
      </w:r>
    </w:p>
    <w:p w14:paraId="5426C78A" w14:textId="6D078CC4" w:rsidR="00B511AA" w:rsidRDefault="00B511AA">
      <w:pPr>
        <w:rPr>
          <w:rFonts w:asciiTheme="majorHAnsi" w:hAnsiTheme="majorHAnsi" w:cstheme="majorHAnsi"/>
          <w:lang w:val="en-US"/>
        </w:rPr>
      </w:pPr>
      <w:r>
        <w:rPr>
          <w:noProof/>
          <w:lang w:eastAsia="es-ES"/>
        </w:rPr>
        <w:drawing>
          <wp:inline distT="0" distB="0" distL="0" distR="0" wp14:anchorId="55B0375C" wp14:editId="36E81335">
            <wp:extent cx="5029200" cy="1712794"/>
            <wp:effectExtent l="0" t="0" r="19050" b="2095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EC1D837" w14:textId="03720DA9" w:rsidR="00B511AA" w:rsidRDefault="00B511AA">
      <w:pPr>
        <w:rPr>
          <w:rFonts w:asciiTheme="majorHAnsi" w:hAnsiTheme="majorHAnsi" w:cstheme="majorHAnsi"/>
          <w:lang w:val="en-US"/>
        </w:rPr>
      </w:pPr>
      <w:r>
        <w:rPr>
          <w:noProof/>
          <w:lang w:eastAsia="es-ES"/>
        </w:rPr>
        <w:drawing>
          <wp:inline distT="0" distB="0" distL="0" distR="0" wp14:anchorId="7F31E404" wp14:editId="0F0FF98C">
            <wp:extent cx="2790967" cy="1487606"/>
            <wp:effectExtent l="0" t="0" r="9525" b="1778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A71028" w:rsidRPr="00A71028">
        <w:rPr>
          <w:noProof/>
          <w:lang w:val="en-GB" w:eastAsia="en-GB"/>
        </w:rPr>
        <w:t xml:space="preserve"> </w:t>
      </w:r>
      <w:r w:rsidR="00A71028">
        <w:rPr>
          <w:noProof/>
          <w:lang w:eastAsia="es-ES"/>
        </w:rPr>
        <w:drawing>
          <wp:inline distT="0" distB="0" distL="0" distR="0" wp14:anchorId="2F88A448" wp14:editId="625F3E25">
            <wp:extent cx="2265528" cy="1521726"/>
            <wp:effectExtent l="0" t="0" r="20955" b="2159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D90A314" w14:textId="6214B7B7" w:rsidR="00B511AA" w:rsidRDefault="00EB0CE2" w:rsidP="00EB0CE2">
      <w:pPr>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Figures X;X;X</w:t>
      </w:r>
    </w:p>
    <w:p w14:paraId="4FD8DCD1" w14:textId="77777777" w:rsidR="00EB0CE2" w:rsidRPr="00EB0CE2" w:rsidRDefault="00EB0CE2" w:rsidP="00EB0CE2">
      <w:pPr>
        <w:spacing w:after="0" w:line="240" w:lineRule="auto"/>
        <w:rPr>
          <w:rFonts w:ascii="Times New Roman" w:hAnsi="Times New Roman" w:cs="Times New Roman"/>
          <w:sz w:val="24"/>
          <w:szCs w:val="24"/>
          <w:lang w:val="en-GB"/>
        </w:rPr>
      </w:pPr>
    </w:p>
    <w:p w14:paraId="42E228E1" w14:textId="7AE53A0E" w:rsidR="001A2925" w:rsidRPr="00EB0CE2" w:rsidRDefault="0015419C"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The evaluators who completed the questionnaire can be claimed to be experienced raters, </w:t>
      </w:r>
      <w:r w:rsidR="00B57478" w:rsidRPr="00EB0CE2">
        <w:rPr>
          <w:rFonts w:ascii="Times New Roman" w:hAnsi="Times New Roman" w:cs="Times New Roman"/>
          <w:sz w:val="24"/>
          <w:szCs w:val="24"/>
          <w:lang w:val="en-GB"/>
        </w:rPr>
        <w:t>as most</w:t>
      </w:r>
      <w:r w:rsidR="00FD6BD4" w:rsidRPr="00EB0CE2">
        <w:rPr>
          <w:rFonts w:ascii="Times New Roman" w:hAnsi="Times New Roman" w:cs="Times New Roman"/>
          <w:sz w:val="24"/>
          <w:szCs w:val="24"/>
          <w:lang w:val="en-GB"/>
        </w:rPr>
        <w:t xml:space="preserve"> of them (65.9%) </w:t>
      </w:r>
      <w:r w:rsidR="000347B5" w:rsidRPr="00EB0CE2">
        <w:rPr>
          <w:rFonts w:ascii="Times New Roman" w:hAnsi="Times New Roman" w:cs="Times New Roman"/>
          <w:sz w:val="24"/>
          <w:szCs w:val="24"/>
          <w:lang w:val="en-GB"/>
        </w:rPr>
        <w:t xml:space="preserve">reported having </w:t>
      </w:r>
      <w:r w:rsidR="00FD6BD4" w:rsidRPr="00EB0CE2">
        <w:rPr>
          <w:rFonts w:ascii="Times New Roman" w:hAnsi="Times New Roman" w:cs="Times New Roman"/>
          <w:sz w:val="24"/>
          <w:szCs w:val="24"/>
          <w:lang w:val="en-GB"/>
        </w:rPr>
        <w:t>15 o</w:t>
      </w:r>
      <w:r w:rsidR="001A2925" w:rsidRPr="00EB0CE2">
        <w:rPr>
          <w:rFonts w:ascii="Times New Roman" w:hAnsi="Times New Roman" w:cs="Times New Roman"/>
          <w:sz w:val="24"/>
          <w:szCs w:val="24"/>
          <w:lang w:val="en-GB"/>
        </w:rPr>
        <w:t>r</w:t>
      </w:r>
      <w:r w:rsidR="00FD6BD4" w:rsidRPr="00EB0CE2">
        <w:rPr>
          <w:rFonts w:ascii="Times New Roman" w:hAnsi="Times New Roman" w:cs="Times New Roman"/>
          <w:sz w:val="24"/>
          <w:szCs w:val="24"/>
          <w:lang w:val="en-GB"/>
        </w:rPr>
        <w:t xml:space="preserve"> more years of evaluation experience</w:t>
      </w:r>
      <w:r w:rsidR="00B511AA" w:rsidRPr="00EB0CE2">
        <w:rPr>
          <w:rFonts w:ascii="Times New Roman" w:hAnsi="Times New Roman" w:cs="Times New Roman"/>
          <w:sz w:val="24"/>
          <w:szCs w:val="24"/>
          <w:lang w:val="en-GB"/>
        </w:rPr>
        <w:t xml:space="preserve">, </w:t>
      </w:r>
      <w:r w:rsidR="001A2925" w:rsidRPr="00EB0CE2">
        <w:rPr>
          <w:rFonts w:ascii="Times New Roman" w:hAnsi="Times New Roman" w:cs="Times New Roman"/>
          <w:sz w:val="24"/>
          <w:szCs w:val="24"/>
          <w:lang w:val="en-GB"/>
        </w:rPr>
        <w:t xml:space="preserve">and only </w:t>
      </w:r>
      <w:r w:rsidR="00FD6BD4" w:rsidRPr="00EB0CE2">
        <w:rPr>
          <w:rFonts w:ascii="Times New Roman" w:hAnsi="Times New Roman" w:cs="Times New Roman"/>
          <w:sz w:val="24"/>
          <w:szCs w:val="24"/>
          <w:lang w:val="en-GB"/>
        </w:rPr>
        <w:t xml:space="preserve">11.4% of the population </w:t>
      </w:r>
      <w:r w:rsidRPr="00EB0CE2">
        <w:rPr>
          <w:rFonts w:ascii="Times New Roman" w:hAnsi="Times New Roman" w:cs="Times New Roman"/>
          <w:sz w:val="24"/>
          <w:szCs w:val="24"/>
          <w:lang w:val="en-GB"/>
        </w:rPr>
        <w:t xml:space="preserve">had </w:t>
      </w:r>
      <w:r w:rsidR="00DD0E7E" w:rsidRPr="00EB0CE2">
        <w:rPr>
          <w:rFonts w:ascii="Times New Roman" w:hAnsi="Times New Roman" w:cs="Times New Roman"/>
          <w:sz w:val="24"/>
          <w:szCs w:val="24"/>
          <w:lang w:val="en-GB"/>
        </w:rPr>
        <w:t>evaluated</w:t>
      </w:r>
      <w:r w:rsidR="00FD6BD4" w:rsidRPr="00EB0CE2">
        <w:rPr>
          <w:rFonts w:ascii="Times New Roman" w:hAnsi="Times New Roman" w:cs="Times New Roman"/>
          <w:sz w:val="24"/>
          <w:szCs w:val="24"/>
          <w:lang w:val="en-GB"/>
        </w:rPr>
        <w:t xml:space="preserve"> less than 5 years.</w:t>
      </w:r>
      <w:r w:rsidR="004E0342" w:rsidRPr="00EB0CE2">
        <w:rPr>
          <w:rFonts w:ascii="Times New Roman" w:hAnsi="Times New Roman" w:cs="Times New Roman"/>
          <w:sz w:val="24"/>
          <w:szCs w:val="24"/>
          <w:lang w:val="en-GB"/>
        </w:rPr>
        <w:t xml:space="preserve"> </w:t>
      </w:r>
      <w:r w:rsidR="001A2925" w:rsidRPr="00EB0CE2">
        <w:rPr>
          <w:rFonts w:ascii="Times New Roman" w:hAnsi="Times New Roman" w:cs="Times New Roman"/>
          <w:sz w:val="24"/>
          <w:szCs w:val="24"/>
          <w:lang w:val="en-GB"/>
        </w:rPr>
        <w:t xml:space="preserve">However, their evaluation experience in the CertAcles exam is more limited, as </w:t>
      </w:r>
      <w:r w:rsidR="004E0342" w:rsidRPr="00EB0CE2">
        <w:rPr>
          <w:rFonts w:ascii="Times New Roman" w:hAnsi="Times New Roman" w:cs="Times New Roman"/>
          <w:sz w:val="24"/>
          <w:szCs w:val="24"/>
          <w:lang w:val="en-GB"/>
        </w:rPr>
        <w:t>9.1% of the population has been evaluating these exams for 10 to 15 years, 50% of them for 5 to 10 years and, finally, 40.9% have been evaluating them for less than 5 years. No evaluator in this study has more than 15 years of evaluation exp</w:t>
      </w:r>
      <w:r w:rsidR="001A2925" w:rsidRPr="00EB0CE2">
        <w:rPr>
          <w:rFonts w:ascii="Times New Roman" w:hAnsi="Times New Roman" w:cs="Times New Roman"/>
          <w:sz w:val="24"/>
          <w:szCs w:val="24"/>
          <w:lang w:val="en-GB"/>
        </w:rPr>
        <w:t>erience in the CertAcles exam</w:t>
      </w:r>
      <w:r w:rsidR="00947345" w:rsidRPr="00EB0CE2">
        <w:rPr>
          <w:rFonts w:ascii="Times New Roman" w:hAnsi="Times New Roman" w:cs="Times New Roman"/>
          <w:sz w:val="24"/>
          <w:szCs w:val="24"/>
          <w:lang w:val="en-GB"/>
        </w:rPr>
        <w:t xml:space="preserve">. These data </w:t>
      </w:r>
      <w:r w:rsidR="00B57478" w:rsidRPr="00EB0CE2">
        <w:rPr>
          <w:rFonts w:ascii="Times New Roman" w:hAnsi="Times New Roman" w:cs="Times New Roman"/>
          <w:sz w:val="24"/>
          <w:szCs w:val="24"/>
          <w:lang w:val="en-GB"/>
        </w:rPr>
        <w:t>are in</w:t>
      </w:r>
      <w:r w:rsidR="001A2925" w:rsidRPr="00EB0CE2">
        <w:rPr>
          <w:rFonts w:ascii="Times New Roman" w:hAnsi="Times New Roman" w:cs="Times New Roman"/>
          <w:sz w:val="24"/>
          <w:szCs w:val="24"/>
          <w:lang w:val="en-GB"/>
        </w:rPr>
        <w:t xml:space="preserve"> line with the history of the CertAcles </w:t>
      </w:r>
      <w:r w:rsidR="00947345" w:rsidRPr="00EB0CE2">
        <w:rPr>
          <w:rFonts w:ascii="Times New Roman" w:hAnsi="Times New Roman" w:cs="Times New Roman"/>
          <w:sz w:val="24"/>
          <w:szCs w:val="24"/>
          <w:lang w:val="en-GB"/>
        </w:rPr>
        <w:t>accreditation, which has been available since 2012.</w:t>
      </w:r>
    </w:p>
    <w:p w14:paraId="20D3852A" w14:textId="18AE0F7D" w:rsidR="00C62226" w:rsidRPr="00EB0CE2" w:rsidRDefault="00251BD1"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Most of the respondents in the questionnaire evaluate different CEFR/CV levels of the CertAcles English exams and only one evaluator does so for the CertAcles French exam. </w:t>
      </w:r>
      <w:r w:rsidR="00C54E44" w:rsidRPr="00EB0CE2">
        <w:rPr>
          <w:rFonts w:ascii="Times New Roman" w:hAnsi="Times New Roman" w:cs="Times New Roman"/>
          <w:sz w:val="24"/>
          <w:szCs w:val="24"/>
          <w:lang w:val="en-GB"/>
        </w:rPr>
        <w:t>As seen in Figure 1, t</w:t>
      </w:r>
      <w:r w:rsidRPr="00EB0CE2">
        <w:rPr>
          <w:rFonts w:ascii="Times New Roman" w:hAnsi="Times New Roman" w:cs="Times New Roman"/>
          <w:sz w:val="24"/>
          <w:szCs w:val="24"/>
          <w:lang w:val="en-GB"/>
        </w:rPr>
        <w:t xml:space="preserve">he levels these </w:t>
      </w:r>
      <w:r w:rsidR="00947345" w:rsidRPr="00EB0CE2">
        <w:rPr>
          <w:rFonts w:ascii="Times New Roman" w:hAnsi="Times New Roman" w:cs="Times New Roman"/>
          <w:sz w:val="24"/>
          <w:szCs w:val="24"/>
          <w:lang w:val="en-GB"/>
        </w:rPr>
        <w:t xml:space="preserve">raters </w:t>
      </w:r>
      <w:r w:rsidRPr="00EB0CE2">
        <w:rPr>
          <w:rFonts w:ascii="Times New Roman" w:hAnsi="Times New Roman" w:cs="Times New Roman"/>
          <w:sz w:val="24"/>
          <w:szCs w:val="24"/>
          <w:lang w:val="en-GB"/>
        </w:rPr>
        <w:t xml:space="preserve">evaluate </w:t>
      </w:r>
      <w:r w:rsidR="00947345" w:rsidRPr="00EB0CE2">
        <w:rPr>
          <w:rFonts w:ascii="Times New Roman" w:hAnsi="Times New Roman" w:cs="Times New Roman"/>
          <w:sz w:val="24"/>
          <w:szCs w:val="24"/>
          <w:lang w:val="en-GB"/>
        </w:rPr>
        <w:t xml:space="preserve">for </w:t>
      </w:r>
      <w:r w:rsidRPr="00EB0CE2">
        <w:rPr>
          <w:rFonts w:ascii="Times New Roman" w:hAnsi="Times New Roman" w:cs="Times New Roman"/>
          <w:sz w:val="24"/>
          <w:szCs w:val="24"/>
          <w:lang w:val="en-GB"/>
        </w:rPr>
        <w:t xml:space="preserve">the English </w:t>
      </w:r>
      <w:r w:rsidR="00947345" w:rsidRPr="00EB0CE2">
        <w:rPr>
          <w:rFonts w:ascii="Times New Roman" w:hAnsi="Times New Roman" w:cs="Times New Roman"/>
          <w:sz w:val="24"/>
          <w:szCs w:val="24"/>
          <w:lang w:val="en-GB"/>
        </w:rPr>
        <w:t xml:space="preserve">CertAcles </w:t>
      </w:r>
      <w:r w:rsidRPr="00EB0CE2">
        <w:rPr>
          <w:rFonts w:ascii="Times New Roman" w:hAnsi="Times New Roman" w:cs="Times New Roman"/>
          <w:sz w:val="24"/>
          <w:szCs w:val="24"/>
          <w:lang w:val="en-GB"/>
        </w:rPr>
        <w:t>exams are A1 (1 person), A2 (1 person), B1 (38 people), B2 (42 people), C1 (31 people) and C2 (2 people). The person who evaluates French does so at A2 level.</w:t>
      </w:r>
      <w:r w:rsidR="00733D5A" w:rsidRPr="00EB0CE2">
        <w:rPr>
          <w:rFonts w:ascii="Times New Roman" w:hAnsi="Times New Roman" w:cs="Times New Roman"/>
          <w:sz w:val="24"/>
          <w:szCs w:val="24"/>
          <w:lang w:val="en-GB"/>
        </w:rPr>
        <w:t xml:space="preserve"> </w:t>
      </w:r>
      <w:r w:rsidR="00C62226" w:rsidRPr="00EB0CE2">
        <w:rPr>
          <w:rFonts w:ascii="Times New Roman" w:hAnsi="Times New Roman" w:cs="Times New Roman"/>
          <w:sz w:val="24"/>
          <w:szCs w:val="24"/>
          <w:lang w:val="en-GB"/>
        </w:rPr>
        <w:t xml:space="preserve">An ample percentage of the evaluators (70.5%) had been studying </w:t>
      </w:r>
      <w:r w:rsidR="00B4538A" w:rsidRPr="00EB0CE2">
        <w:rPr>
          <w:rFonts w:ascii="Times New Roman" w:hAnsi="Times New Roman" w:cs="Times New Roman"/>
          <w:sz w:val="24"/>
          <w:szCs w:val="24"/>
          <w:lang w:val="en-GB"/>
        </w:rPr>
        <w:t>the language they evaluate</w:t>
      </w:r>
      <w:r w:rsidR="00C62226" w:rsidRPr="00EB0CE2">
        <w:rPr>
          <w:rFonts w:ascii="Times New Roman" w:hAnsi="Times New Roman" w:cs="Times New Roman"/>
          <w:sz w:val="24"/>
          <w:szCs w:val="24"/>
          <w:lang w:val="en-GB"/>
        </w:rPr>
        <w:t xml:space="preserve"> for 16 years or more, 4.5% 12 to 16 years, 15.9% 8 to 12 years, and 9.1% 4 to 8 years.</w:t>
      </w:r>
    </w:p>
    <w:p w14:paraId="352091CC" w14:textId="77777777" w:rsidR="00FD6BD4" w:rsidRPr="00EB0CE2" w:rsidRDefault="00FD6BD4" w:rsidP="00EB0CE2">
      <w:pPr>
        <w:spacing w:after="0" w:line="240" w:lineRule="auto"/>
        <w:rPr>
          <w:rFonts w:ascii="Times New Roman" w:hAnsi="Times New Roman" w:cs="Times New Roman"/>
          <w:sz w:val="24"/>
          <w:szCs w:val="24"/>
          <w:lang w:val="en-GB"/>
        </w:rPr>
      </w:pPr>
    </w:p>
    <w:p w14:paraId="3D8600F9" w14:textId="02139070" w:rsidR="00733D5A" w:rsidRDefault="00733D5A"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The </w:t>
      </w:r>
      <w:r w:rsidR="00B4538A" w:rsidRPr="00EB0CE2">
        <w:rPr>
          <w:rFonts w:ascii="Times New Roman" w:hAnsi="Times New Roman" w:cs="Times New Roman"/>
          <w:sz w:val="24"/>
          <w:szCs w:val="24"/>
          <w:lang w:val="en-GB"/>
        </w:rPr>
        <w:t xml:space="preserve">raters’ highest </w:t>
      </w:r>
      <w:r w:rsidRPr="00EB0CE2">
        <w:rPr>
          <w:rFonts w:ascii="Times New Roman" w:hAnsi="Times New Roman" w:cs="Times New Roman"/>
          <w:sz w:val="24"/>
          <w:szCs w:val="24"/>
          <w:lang w:val="en-GB"/>
        </w:rPr>
        <w:t xml:space="preserve">accredited level in the foreign language </w:t>
      </w:r>
      <w:r w:rsidR="00B4538A" w:rsidRPr="00EB0CE2">
        <w:rPr>
          <w:rFonts w:ascii="Times New Roman" w:hAnsi="Times New Roman" w:cs="Times New Roman"/>
          <w:sz w:val="24"/>
          <w:szCs w:val="24"/>
          <w:lang w:val="en-GB"/>
        </w:rPr>
        <w:t xml:space="preserve">they </w:t>
      </w:r>
      <w:r w:rsidR="00BC7B45" w:rsidRPr="00EB0CE2">
        <w:rPr>
          <w:rFonts w:ascii="Times New Roman" w:hAnsi="Times New Roman" w:cs="Times New Roman"/>
          <w:sz w:val="24"/>
          <w:szCs w:val="24"/>
          <w:lang w:val="en-GB"/>
        </w:rPr>
        <w:t>evaluate was</w:t>
      </w:r>
      <w:r w:rsidRPr="00EB0CE2">
        <w:rPr>
          <w:rFonts w:ascii="Times New Roman" w:hAnsi="Times New Roman" w:cs="Times New Roman"/>
          <w:sz w:val="24"/>
          <w:szCs w:val="24"/>
          <w:lang w:val="en-GB"/>
        </w:rPr>
        <w:t xml:space="preserve"> also analysed. </w:t>
      </w:r>
      <w:r w:rsidR="00FF3CBB" w:rsidRPr="00EB0CE2">
        <w:rPr>
          <w:rFonts w:ascii="Times New Roman" w:hAnsi="Times New Roman" w:cs="Times New Roman"/>
          <w:sz w:val="24"/>
          <w:szCs w:val="24"/>
          <w:lang w:val="en-GB"/>
        </w:rPr>
        <w:t>Only thirty-</w:t>
      </w:r>
      <w:r w:rsidR="006B6395" w:rsidRPr="00EB0CE2">
        <w:rPr>
          <w:rFonts w:ascii="Times New Roman" w:hAnsi="Times New Roman" w:cs="Times New Roman"/>
          <w:sz w:val="24"/>
          <w:szCs w:val="24"/>
          <w:lang w:val="en-GB"/>
        </w:rPr>
        <w:t>eight</w:t>
      </w:r>
      <w:r w:rsidR="00FF3CBB" w:rsidRPr="00EB0CE2">
        <w:rPr>
          <w:rFonts w:ascii="Times New Roman" w:hAnsi="Times New Roman" w:cs="Times New Roman"/>
          <w:sz w:val="24"/>
          <w:szCs w:val="24"/>
          <w:lang w:val="en-GB"/>
        </w:rPr>
        <w:t xml:space="preserve"> out of the forty-four eval</w:t>
      </w:r>
      <w:r w:rsidR="00B511AA" w:rsidRPr="00EB0CE2">
        <w:rPr>
          <w:rFonts w:ascii="Times New Roman" w:hAnsi="Times New Roman" w:cs="Times New Roman"/>
          <w:sz w:val="24"/>
          <w:szCs w:val="24"/>
          <w:lang w:val="en-GB"/>
        </w:rPr>
        <w:t xml:space="preserve">uators answered this question. </w:t>
      </w:r>
      <w:r w:rsidR="00FF3CBB" w:rsidRPr="00EB0CE2">
        <w:rPr>
          <w:rFonts w:ascii="Times New Roman" w:hAnsi="Times New Roman" w:cs="Times New Roman"/>
          <w:sz w:val="24"/>
          <w:szCs w:val="24"/>
          <w:lang w:val="en-GB"/>
        </w:rPr>
        <w:t xml:space="preserve">The </w:t>
      </w:r>
      <w:r w:rsidR="00B4538A" w:rsidRPr="00EB0CE2">
        <w:rPr>
          <w:rFonts w:ascii="Times New Roman" w:hAnsi="Times New Roman" w:cs="Times New Roman"/>
          <w:sz w:val="24"/>
          <w:szCs w:val="24"/>
          <w:lang w:val="en-GB"/>
        </w:rPr>
        <w:t>rater of the French language</w:t>
      </w:r>
      <w:r w:rsidR="00FF3CBB" w:rsidRPr="00EB0CE2">
        <w:rPr>
          <w:rFonts w:ascii="Times New Roman" w:hAnsi="Times New Roman" w:cs="Times New Roman"/>
          <w:sz w:val="24"/>
          <w:szCs w:val="24"/>
          <w:lang w:val="en-GB"/>
        </w:rPr>
        <w:t xml:space="preserve"> reported a B1 level (DELF). As for the evaluators of English, </w:t>
      </w:r>
      <w:r w:rsidR="006B6395" w:rsidRPr="00EB0CE2">
        <w:rPr>
          <w:rFonts w:ascii="Times New Roman" w:hAnsi="Times New Roman" w:cs="Times New Roman"/>
          <w:sz w:val="24"/>
          <w:szCs w:val="24"/>
          <w:lang w:val="en-GB"/>
        </w:rPr>
        <w:t xml:space="preserve">out of the 35 people </w:t>
      </w:r>
      <w:r w:rsidR="00DD0E7E" w:rsidRPr="00EB0CE2">
        <w:rPr>
          <w:rFonts w:ascii="Times New Roman" w:hAnsi="Times New Roman" w:cs="Times New Roman"/>
          <w:sz w:val="24"/>
          <w:szCs w:val="24"/>
          <w:lang w:val="en-GB"/>
        </w:rPr>
        <w:t>who answered</w:t>
      </w:r>
      <w:r w:rsidR="006B6395" w:rsidRPr="00EB0CE2">
        <w:rPr>
          <w:rFonts w:ascii="Times New Roman" w:hAnsi="Times New Roman" w:cs="Times New Roman"/>
          <w:sz w:val="24"/>
          <w:szCs w:val="24"/>
          <w:lang w:val="en-GB"/>
        </w:rPr>
        <w:t xml:space="preserve"> this question, the lowest percentage (13.51%) </w:t>
      </w:r>
      <w:r w:rsidR="0011262A" w:rsidRPr="00EB0CE2">
        <w:rPr>
          <w:rFonts w:ascii="Times New Roman" w:hAnsi="Times New Roman" w:cs="Times New Roman"/>
          <w:sz w:val="24"/>
          <w:szCs w:val="24"/>
          <w:lang w:val="en-GB"/>
        </w:rPr>
        <w:t xml:space="preserve">was </w:t>
      </w:r>
      <w:r w:rsidR="006B6395" w:rsidRPr="00EB0CE2">
        <w:rPr>
          <w:rFonts w:ascii="Times New Roman" w:hAnsi="Times New Roman" w:cs="Times New Roman"/>
          <w:sz w:val="24"/>
          <w:szCs w:val="24"/>
          <w:lang w:val="en-GB"/>
        </w:rPr>
        <w:t xml:space="preserve">accredited </w:t>
      </w:r>
      <w:r w:rsidR="001A2925" w:rsidRPr="00EB0CE2">
        <w:rPr>
          <w:rFonts w:ascii="Times New Roman" w:hAnsi="Times New Roman" w:cs="Times New Roman"/>
          <w:sz w:val="24"/>
          <w:szCs w:val="24"/>
          <w:lang w:val="en-GB"/>
        </w:rPr>
        <w:t>with</w:t>
      </w:r>
      <w:r w:rsidR="006B6395" w:rsidRPr="00EB0CE2">
        <w:rPr>
          <w:rFonts w:ascii="Times New Roman" w:hAnsi="Times New Roman" w:cs="Times New Roman"/>
          <w:sz w:val="24"/>
          <w:szCs w:val="24"/>
          <w:lang w:val="en-GB"/>
        </w:rPr>
        <w:t xml:space="preserve"> a B2 level, followed by 29.73% with a C1 level and 56.76% </w:t>
      </w:r>
      <w:r w:rsidR="001A2925" w:rsidRPr="00EB0CE2">
        <w:rPr>
          <w:rFonts w:ascii="Times New Roman" w:hAnsi="Times New Roman" w:cs="Times New Roman"/>
          <w:sz w:val="24"/>
          <w:szCs w:val="24"/>
          <w:lang w:val="en-GB"/>
        </w:rPr>
        <w:t>with a</w:t>
      </w:r>
      <w:r w:rsidR="006B6395" w:rsidRPr="00EB0CE2">
        <w:rPr>
          <w:rFonts w:ascii="Times New Roman" w:hAnsi="Times New Roman" w:cs="Times New Roman"/>
          <w:sz w:val="24"/>
          <w:szCs w:val="24"/>
          <w:lang w:val="en-GB"/>
        </w:rPr>
        <w:t xml:space="preserve"> C2 level. </w:t>
      </w:r>
      <w:r w:rsidR="00BE772B" w:rsidRPr="00EB0CE2">
        <w:rPr>
          <w:rFonts w:ascii="Times New Roman" w:hAnsi="Times New Roman" w:cs="Times New Roman"/>
          <w:sz w:val="24"/>
          <w:szCs w:val="24"/>
          <w:lang w:val="en-GB"/>
        </w:rPr>
        <w:t xml:space="preserve">As can be seen in Figure </w:t>
      </w:r>
      <w:r w:rsidR="00B511AA" w:rsidRPr="00EB0CE2">
        <w:rPr>
          <w:rFonts w:ascii="Times New Roman" w:hAnsi="Times New Roman" w:cs="Times New Roman"/>
          <w:sz w:val="24"/>
          <w:szCs w:val="24"/>
          <w:lang w:val="en-GB"/>
        </w:rPr>
        <w:t>X</w:t>
      </w:r>
      <w:r w:rsidR="00BE772B" w:rsidRPr="00EB0CE2">
        <w:rPr>
          <w:rFonts w:ascii="Times New Roman" w:hAnsi="Times New Roman" w:cs="Times New Roman"/>
          <w:sz w:val="24"/>
          <w:szCs w:val="24"/>
          <w:lang w:val="en-GB"/>
        </w:rPr>
        <w:t xml:space="preserve">, most of the evaluators </w:t>
      </w:r>
      <w:r w:rsidR="008708E8" w:rsidRPr="00EB0CE2">
        <w:rPr>
          <w:rFonts w:ascii="Times New Roman" w:hAnsi="Times New Roman" w:cs="Times New Roman"/>
          <w:sz w:val="24"/>
          <w:szCs w:val="24"/>
          <w:lang w:val="en-GB"/>
        </w:rPr>
        <w:t xml:space="preserve">had chosen </w:t>
      </w:r>
      <w:r w:rsidR="00BE772B" w:rsidRPr="00EB0CE2">
        <w:rPr>
          <w:rFonts w:ascii="Times New Roman" w:hAnsi="Times New Roman" w:cs="Times New Roman"/>
          <w:sz w:val="24"/>
          <w:szCs w:val="24"/>
          <w:lang w:val="en-GB"/>
        </w:rPr>
        <w:t xml:space="preserve">exams other than CertAcles to </w:t>
      </w:r>
      <w:r w:rsidR="00B4538A" w:rsidRPr="00EB0CE2">
        <w:rPr>
          <w:rFonts w:ascii="Times New Roman" w:hAnsi="Times New Roman" w:cs="Times New Roman"/>
          <w:sz w:val="24"/>
          <w:szCs w:val="24"/>
          <w:lang w:val="en-GB"/>
        </w:rPr>
        <w:t>obtain their language level accreditation for</w:t>
      </w:r>
      <w:r w:rsidR="00BE772B" w:rsidRPr="00EB0CE2">
        <w:rPr>
          <w:rFonts w:ascii="Times New Roman" w:hAnsi="Times New Roman" w:cs="Times New Roman"/>
          <w:sz w:val="24"/>
          <w:szCs w:val="24"/>
          <w:lang w:val="en-GB"/>
        </w:rPr>
        <w:t xml:space="preserve"> English</w:t>
      </w:r>
      <w:r w:rsidR="008708E8" w:rsidRPr="00EB0CE2">
        <w:rPr>
          <w:rFonts w:ascii="Times New Roman" w:hAnsi="Times New Roman" w:cs="Times New Roman"/>
          <w:sz w:val="24"/>
          <w:szCs w:val="24"/>
          <w:lang w:val="en-GB"/>
        </w:rPr>
        <w:t xml:space="preserve"> or French.</w:t>
      </w:r>
    </w:p>
    <w:p w14:paraId="4398CC63" w14:textId="77777777" w:rsidR="006D72F4" w:rsidRPr="00EB0CE2" w:rsidRDefault="006D72F4" w:rsidP="00EB0CE2">
      <w:pPr>
        <w:spacing w:after="0" w:line="240" w:lineRule="auto"/>
        <w:ind w:firstLine="708"/>
        <w:jc w:val="both"/>
        <w:rPr>
          <w:rFonts w:ascii="Times New Roman" w:hAnsi="Times New Roman" w:cs="Times New Roman"/>
          <w:sz w:val="24"/>
          <w:szCs w:val="24"/>
          <w:lang w:val="en-GB"/>
        </w:rPr>
      </w:pPr>
    </w:p>
    <w:p w14:paraId="58E01D55" w14:textId="77777777" w:rsidR="00733D5A" w:rsidRPr="00F15F8D" w:rsidRDefault="00CD1504">
      <w:pPr>
        <w:rPr>
          <w:rFonts w:asciiTheme="majorHAnsi" w:hAnsiTheme="majorHAnsi" w:cstheme="majorHAnsi"/>
          <w:lang w:val="en-GB"/>
        </w:rPr>
      </w:pPr>
      <w:r w:rsidRPr="00F15F8D">
        <w:rPr>
          <w:rFonts w:asciiTheme="majorHAnsi" w:hAnsiTheme="majorHAnsi" w:cstheme="majorHAnsi"/>
          <w:noProof/>
          <w:lang w:eastAsia="es-ES"/>
        </w:rPr>
        <w:drawing>
          <wp:inline distT="0" distB="0" distL="0" distR="0" wp14:anchorId="0187A54F" wp14:editId="4BDD813E">
            <wp:extent cx="4572000" cy="2743200"/>
            <wp:effectExtent l="0" t="0" r="19050" b="1905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8D22DA8" w14:textId="7F45AB16" w:rsidR="00C155D5" w:rsidRPr="00EB0CE2" w:rsidRDefault="00C54E44">
      <w:pPr>
        <w:rPr>
          <w:rFonts w:ascii="Times New Roman" w:hAnsi="Times New Roman" w:cs="Times New Roman"/>
          <w:sz w:val="20"/>
          <w:szCs w:val="20"/>
          <w:lang w:val="en-GB"/>
        </w:rPr>
      </w:pPr>
      <w:r w:rsidRPr="00EB0CE2">
        <w:rPr>
          <w:rFonts w:ascii="Times New Roman" w:hAnsi="Times New Roman" w:cs="Times New Roman"/>
          <w:sz w:val="20"/>
          <w:szCs w:val="20"/>
          <w:lang w:val="en-GB"/>
        </w:rPr>
        <w:t xml:space="preserve">Figure </w:t>
      </w:r>
      <w:r w:rsidR="00B511AA" w:rsidRPr="00EB0CE2">
        <w:rPr>
          <w:rFonts w:ascii="Times New Roman" w:hAnsi="Times New Roman" w:cs="Times New Roman"/>
          <w:sz w:val="20"/>
          <w:szCs w:val="20"/>
          <w:lang w:val="en-GB"/>
        </w:rPr>
        <w:t>X</w:t>
      </w:r>
      <w:r w:rsidRPr="00EB0CE2">
        <w:rPr>
          <w:rFonts w:ascii="Times New Roman" w:hAnsi="Times New Roman" w:cs="Times New Roman"/>
          <w:sz w:val="20"/>
          <w:szCs w:val="20"/>
          <w:lang w:val="en-GB"/>
        </w:rPr>
        <w:t xml:space="preserve">. Evaluators’ accredited </w:t>
      </w:r>
      <w:r w:rsidR="00F06019" w:rsidRPr="00EB0CE2">
        <w:rPr>
          <w:rFonts w:ascii="Times New Roman" w:hAnsi="Times New Roman" w:cs="Times New Roman"/>
          <w:sz w:val="20"/>
          <w:szCs w:val="20"/>
          <w:lang w:val="en-GB"/>
        </w:rPr>
        <w:t xml:space="preserve">foreign language </w:t>
      </w:r>
      <w:r w:rsidRPr="00EB0CE2">
        <w:rPr>
          <w:rFonts w:ascii="Times New Roman" w:hAnsi="Times New Roman" w:cs="Times New Roman"/>
          <w:sz w:val="20"/>
          <w:szCs w:val="20"/>
          <w:lang w:val="en-GB"/>
        </w:rPr>
        <w:t>level: language</w:t>
      </w:r>
      <w:r w:rsidR="00F06019" w:rsidRPr="00EB0CE2">
        <w:rPr>
          <w:rFonts w:ascii="Times New Roman" w:hAnsi="Times New Roman" w:cs="Times New Roman"/>
          <w:sz w:val="20"/>
          <w:szCs w:val="20"/>
          <w:lang w:val="en-GB"/>
        </w:rPr>
        <w:t>s</w:t>
      </w:r>
      <w:r w:rsidRPr="00EB0CE2">
        <w:rPr>
          <w:rFonts w:ascii="Times New Roman" w:hAnsi="Times New Roman" w:cs="Times New Roman"/>
          <w:sz w:val="20"/>
          <w:szCs w:val="20"/>
          <w:lang w:val="en-GB"/>
        </w:rPr>
        <w:t xml:space="preserve"> and </w:t>
      </w:r>
      <w:r w:rsidR="00DD0E7E" w:rsidRPr="00EB0CE2">
        <w:rPr>
          <w:rFonts w:ascii="Times New Roman" w:hAnsi="Times New Roman" w:cs="Times New Roman"/>
          <w:sz w:val="20"/>
          <w:szCs w:val="20"/>
          <w:lang w:val="en-GB"/>
        </w:rPr>
        <w:t>examining boards</w:t>
      </w:r>
    </w:p>
    <w:p w14:paraId="222E4F77" w14:textId="77777777" w:rsidR="00C54E44" w:rsidRPr="00EB0CE2" w:rsidRDefault="00C54E44" w:rsidP="00EB0CE2">
      <w:pPr>
        <w:spacing w:after="0" w:line="240" w:lineRule="auto"/>
        <w:rPr>
          <w:rFonts w:ascii="Times New Roman" w:hAnsi="Times New Roman" w:cs="Times New Roman"/>
          <w:sz w:val="24"/>
          <w:szCs w:val="24"/>
          <w:lang w:val="en-GB"/>
        </w:rPr>
      </w:pPr>
    </w:p>
    <w:p w14:paraId="65AB3C01" w14:textId="643E8383" w:rsidR="00CA544A" w:rsidRDefault="00CA544A" w:rsidP="00EB0CE2">
      <w:pPr>
        <w:spacing w:after="0" w:line="240" w:lineRule="auto"/>
        <w:jc w:val="center"/>
        <w:rPr>
          <w:rFonts w:ascii="Times New Roman" w:hAnsi="Times New Roman" w:cs="Times New Roman"/>
          <w:b/>
          <w:sz w:val="24"/>
          <w:szCs w:val="24"/>
          <w:lang w:val="en-GB"/>
        </w:rPr>
      </w:pPr>
      <w:r w:rsidRPr="00EB0CE2">
        <w:rPr>
          <w:rFonts w:ascii="Times New Roman" w:hAnsi="Times New Roman" w:cs="Times New Roman"/>
          <w:b/>
          <w:sz w:val="24"/>
          <w:szCs w:val="24"/>
          <w:lang w:val="en-GB"/>
        </w:rPr>
        <w:t>Results</w:t>
      </w:r>
    </w:p>
    <w:p w14:paraId="4D482203" w14:textId="77777777" w:rsidR="00EB0CE2" w:rsidRPr="00EB0CE2" w:rsidRDefault="00EB0CE2" w:rsidP="00EB0CE2">
      <w:pPr>
        <w:spacing w:after="0" w:line="240" w:lineRule="auto"/>
        <w:jc w:val="center"/>
        <w:rPr>
          <w:rFonts w:ascii="Times New Roman" w:hAnsi="Times New Roman" w:cs="Times New Roman"/>
          <w:b/>
          <w:sz w:val="24"/>
          <w:szCs w:val="24"/>
          <w:lang w:val="en-GB"/>
        </w:rPr>
      </w:pPr>
    </w:p>
    <w:p w14:paraId="7529DFE8" w14:textId="562B6DB2" w:rsidR="00C155D5" w:rsidRDefault="00CA544A" w:rsidP="00EB0CE2">
      <w:pPr>
        <w:spacing w:after="0" w:line="240" w:lineRule="auto"/>
        <w:rPr>
          <w:rFonts w:ascii="Times New Roman" w:hAnsi="Times New Roman" w:cs="Times New Roman"/>
          <w:b/>
          <w:sz w:val="24"/>
          <w:szCs w:val="24"/>
          <w:lang w:val="en-GB"/>
        </w:rPr>
      </w:pPr>
      <w:r w:rsidRPr="00EB0CE2">
        <w:rPr>
          <w:rFonts w:ascii="Times New Roman" w:hAnsi="Times New Roman" w:cs="Times New Roman"/>
          <w:b/>
          <w:sz w:val="24"/>
          <w:szCs w:val="24"/>
          <w:lang w:val="en-GB"/>
        </w:rPr>
        <w:t>E</w:t>
      </w:r>
      <w:r w:rsidR="007274A7" w:rsidRPr="00EB0CE2">
        <w:rPr>
          <w:rFonts w:ascii="Times New Roman" w:hAnsi="Times New Roman" w:cs="Times New Roman"/>
          <w:b/>
          <w:sz w:val="24"/>
          <w:szCs w:val="24"/>
          <w:lang w:val="en-GB"/>
        </w:rPr>
        <w:t xml:space="preserve">valuators’ </w:t>
      </w:r>
      <w:r w:rsidR="00314A64" w:rsidRPr="00EB0CE2">
        <w:rPr>
          <w:rFonts w:ascii="Times New Roman" w:hAnsi="Times New Roman" w:cs="Times New Roman"/>
          <w:b/>
          <w:sz w:val="24"/>
          <w:szCs w:val="24"/>
          <w:lang w:val="en-GB"/>
        </w:rPr>
        <w:t>T</w:t>
      </w:r>
      <w:r w:rsidR="007274A7" w:rsidRPr="00EB0CE2">
        <w:rPr>
          <w:rFonts w:ascii="Times New Roman" w:hAnsi="Times New Roman" w:cs="Times New Roman"/>
          <w:b/>
          <w:sz w:val="24"/>
          <w:szCs w:val="24"/>
          <w:lang w:val="en-GB"/>
        </w:rPr>
        <w:t>raining on the CEFR/CV</w:t>
      </w:r>
    </w:p>
    <w:p w14:paraId="5B1C3588" w14:textId="77777777" w:rsidR="00EB0CE2" w:rsidRPr="00EB0CE2" w:rsidRDefault="00EB0CE2" w:rsidP="00EB0CE2">
      <w:pPr>
        <w:spacing w:after="0" w:line="240" w:lineRule="auto"/>
        <w:rPr>
          <w:rFonts w:ascii="Times New Roman" w:hAnsi="Times New Roman" w:cs="Times New Roman"/>
          <w:b/>
          <w:sz w:val="24"/>
          <w:szCs w:val="24"/>
          <w:lang w:val="en-GB"/>
        </w:rPr>
      </w:pPr>
    </w:p>
    <w:p w14:paraId="3212C3CB" w14:textId="6268889F" w:rsidR="009C2BD2" w:rsidRPr="00EB0CE2" w:rsidRDefault="000F6A05" w:rsidP="00EB0CE2">
      <w:pPr>
        <w:spacing w:after="0" w:line="240" w:lineRule="auto"/>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This section reflects evaluators’ perceptions as regards their </w:t>
      </w:r>
      <w:r w:rsidRPr="00EB0CE2">
        <w:rPr>
          <w:rFonts w:ascii="Times New Roman" w:hAnsi="Times New Roman" w:cs="Times New Roman"/>
          <w:sz w:val="24"/>
          <w:szCs w:val="24"/>
          <w:highlight w:val="yellow"/>
          <w:lang w:val="en-GB"/>
        </w:rPr>
        <w:t>training</w:t>
      </w:r>
      <w:r w:rsidRPr="00EB0CE2">
        <w:rPr>
          <w:rFonts w:ascii="Times New Roman" w:hAnsi="Times New Roman" w:cs="Times New Roman"/>
          <w:sz w:val="24"/>
          <w:szCs w:val="24"/>
          <w:lang w:val="en-GB"/>
        </w:rPr>
        <w:t xml:space="preserve">, specifically, </w:t>
      </w:r>
      <w:r w:rsidR="00756E0A" w:rsidRPr="00EB0CE2">
        <w:rPr>
          <w:rFonts w:ascii="Times New Roman" w:hAnsi="Times New Roman" w:cs="Times New Roman"/>
          <w:sz w:val="24"/>
          <w:szCs w:val="24"/>
          <w:lang w:val="en-GB"/>
        </w:rPr>
        <w:t>consider</w:t>
      </w:r>
      <w:r w:rsidRPr="00EB0CE2">
        <w:rPr>
          <w:rFonts w:ascii="Times New Roman" w:hAnsi="Times New Roman" w:cs="Times New Roman"/>
          <w:sz w:val="24"/>
          <w:szCs w:val="24"/>
          <w:lang w:val="en-GB"/>
        </w:rPr>
        <w:t xml:space="preserve">ing quality, quantity and effectiveness of the </w:t>
      </w:r>
      <w:r w:rsidRPr="00EB0CE2">
        <w:rPr>
          <w:rFonts w:ascii="Times New Roman" w:hAnsi="Times New Roman" w:cs="Times New Roman"/>
          <w:sz w:val="24"/>
          <w:szCs w:val="24"/>
          <w:highlight w:val="yellow"/>
          <w:lang w:val="en-GB"/>
        </w:rPr>
        <w:t>training</w:t>
      </w:r>
      <w:r w:rsidRPr="00EB0CE2">
        <w:rPr>
          <w:rFonts w:ascii="Times New Roman" w:hAnsi="Times New Roman" w:cs="Times New Roman"/>
          <w:sz w:val="24"/>
          <w:szCs w:val="24"/>
          <w:lang w:val="en-GB"/>
        </w:rPr>
        <w:t xml:space="preserve"> received</w:t>
      </w:r>
      <w:r w:rsidR="000F5C6E" w:rsidRPr="00EB0CE2">
        <w:rPr>
          <w:rFonts w:ascii="Times New Roman" w:hAnsi="Times New Roman" w:cs="Times New Roman"/>
          <w:sz w:val="24"/>
          <w:szCs w:val="24"/>
          <w:lang w:val="en-GB"/>
        </w:rPr>
        <w:t xml:space="preserve"> (see section II</w:t>
      </w:r>
      <w:r w:rsidR="004804F8" w:rsidRPr="00EB0CE2">
        <w:rPr>
          <w:rFonts w:ascii="Times New Roman" w:hAnsi="Times New Roman" w:cs="Times New Roman"/>
          <w:sz w:val="24"/>
          <w:szCs w:val="24"/>
          <w:lang w:val="en-GB"/>
        </w:rPr>
        <w:t>I</w:t>
      </w:r>
      <w:r w:rsidR="000F5C6E" w:rsidRPr="00EB0CE2">
        <w:rPr>
          <w:rFonts w:ascii="Times New Roman" w:hAnsi="Times New Roman" w:cs="Times New Roman"/>
          <w:sz w:val="24"/>
          <w:szCs w:val="24"/>
          <w:lang w:val="en-GB"/>
        </w:rPr>
        <w:t xml:space="preserve">, in </w:t>
      </w:r>
      <w:r w:rsidR="004804F8" w:rsidRPr="00EB0CE2">
        <w:rPr>
          <w:rFonts w:ascii="Times New Roman" w:hAnsi="Times New Roman" w:cs="Times New Roman"/>
          <w:sz w:val="24"/>
          <w:szCs w:val="24"/>
          <w:lang w:val="en-GB"/>
        </w:rPr>
        <w:t>A</w:t>
      </w:r>
      <w:r w:rsidR="000F5C6E" w:rsidRPr="00EB0CE2">
        <w:rPr>
          <w:rFonts w:ascii="Times New Roman" w:hAnsi="Times New Roman" w:cs="Times New Roman"/>
          <w:sz w:val="24"/>
          <w:szCs w:val="24"/>
          <w:lang w:val="en-GB"/>
        </w:rPr>
        <w:t>ppendix)</w:t>
      </w:r>
      <w:r w:rsidR="009C2BD2" w:rsidRPr="00EB0CE2">
        <w:rPr>
          <w:rFonts w:ascii="Times New Roman" w:hAnsi="Times New Roman" w:cs="Times New Roman"/>
          <w:sz w:val="24"/>
          <w:szCs w:val="24"/>
          <w:lang w:val="en-GB"/>
        </w:rPr>
        <w:t xml:space="preserve">. They were also asked to state </w:t>
      </w:r>
      <w:r w:rsidR="00756E0A" w:rsidRPr="00EB0CE2">
        <w:rPr>
          <w:rFonts w:ascii="Times New Roman" w:hAnsi="Times New Roman" w:cs="Times New Roman"/>
          <w:sz w:val="24"/>
          <w:szCs w:val="24"/>
          <w:lang w:val="en-GB"/>
        </w:rPr>
        <w:t xml:space="preserve">the most valuable and the </w:t>
      </w:r>
      <w:r w:rsidR="009C2BD2" w:rsidRPr="00EB0CE2">
        <w:rPr>
          <w:rFonts w:ascii="Times New Roman" w:hAnsi="Times New Roman" w:cs="Times New Roman"/>
          <w:sz w:val="24"/>
          <w:szCs w:val="24"/>
          <w:lang w:val="en-GB"/>
        </w:rPr>
        <w:t>missing aspects in their instruction.</w:t>
      </w:r>
      <w:r w:rsidRPr="00EB0CE2">
        <w:rPr>
          <w:rFonts w:ascii="Times New Roman" w:hAnsi="Times New Roman" w:cs="Times New Roman"/>
          <w:sz w:val="24"/>
          <w:szCs w:val="24"/>
          <w:lang w:val="en-GB"/>
        </w:rPr>
        <w:t xml:space="preserve"> </w:t>
      </w:r>
    </w:p>
    <w:p w14:paraId="588B0F05" w14:textId="4116BCFA" w:rsidR="008610C9" w:rsidRPr="00EB0CE2" w:rsidRDefault="00601CF0"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Most of the raters (95.5%) indicated that they had received </w:t>
      </w:r>
      <w:r w:rsidRPr="00EB0CE2">
        <w:rPr>
          <w:rFonts w:ascii="Times New Roman" w:hAnsi="Times New Roman" w:cs="Times New Roman"/>
          <w:sz w:val="24"/>
          <w:szCs w:val="24"/>
          <w:highlight w:val="yellow"/>
          <w:lang w:val="en-GB"/>
        </w:rPr>
        <w:t>training</w:t>
      </w:r>
      <w:r w:rsidRPr="00EB0CE2">
        <w:rPr>
          <w:rFonts w:ascii="Times New Roman" w:hAnsi="Times New Roman" w:cs="Times New Roman"/>
          <w:sz w:val="24"/>
          <w:szCs w:val="24"/>
          <w:lang w:val="en-GB"/>
        </w:rPr>
        <w:t xml:space="preserve"> on the CEFR/CV, although 15.9% of these raters considered that the training had been insufficient for their evaluation practice. Surprisingly, </w:t>
      </w:r>
      <w:r w:rsidR="00BD44F7" w:rsidRPr="00EB0CE2">
        <w:rPr>
          <w:rFonts w:ascii="Times New Roman" w:hAnsi="Times New Roman" w:cs="Times New Roman"/>
          <w:sz w:val="24"/>
          <w:szCs w:val="24"/>
          <w:lang w:val="en-GB"/>
        </w:rPr>
        <w:t>4.5% of the evaluators admit</w:t>
      </w:r>
      <w:r w:rsidR="005C7686" w:rsidRPr="00EB0CE2">
        <w:rPr>
          <w:rFonts w:ascii="Times New Roman" w:hAnsi="Times New Roman" w:cs="Times New Roman"/>
          <w:sz w:val="24"/>
          <w:szCs w:val="24"/>
          <w:lang w:val="en-GB"/>
        </w:rPr>
        <w:t>t</w:t>
      </w:r>
      <w:r w:rsidRPr="00EB0CE2">
        <w:rPr>
          <w:rFonts w:ascii="Times New Roman" w:hAnsi="Times New Roman" w:cs="Times New Roman"/>
          <w:sz w:val="24"/>
          <w:szCs w:val="24"/>
          <w:lang w:val="en-GB"/>
        </w:rPr>
        <w:t>ed</w:t>
      </w:r>
      <w:r w:rsidR="00BD44F7" w:rsidRPr="00EB0CE2">
        <w:rPr>
          <w:rFonts w:ascii="Times New Roman" w:hAnsi="Times New Roman" w:cs="Times New Roman"/>
          <w:sz w:val="24"/>
          <w:szCs w:val="24"/>
          <w:lang w:val="en-GB"/>
        </w:rPr>
        <w:t xml:space="preserve"> not having received any training on the CEFR/CV. </w:t>
      </w:r>
      <w:r w:rsidR="004868CA" w:rsidRPr="00EB0CE2">
        <w:rPr>
          <w:rFonts w:ascii="Times New Roman" w:hAnsi="Times New Roman" w:cs="Times New Roman"/>
          <w:sz w:val="24"/>
          <w:szCs w:val="24"/>
          <w:lang w:val="en-GB"/>
        </w:rPr>
        <w:t xml:space="preserve">University Language Centres </w:t>
      </w:r>
      <w:r w:rsidR="00517021" w:rsidRPr="00EB0CE2">
        <w:rPr>
          <w:rFonts w:ascii="Times New Roman" w:hAnsi="Times New Roman" w:cs="Times New Roman"/>
          <w:sz w:val="24"/>
          <w:szCs w:val="24"/>
          <w:lang w:val="en-GB"/>
        </w:rPr>
        <w:t xml:space="preserve">were shown to </w:t>
      </w:r>
      <w:r w:rsidR="004868CA" w:rsidRPr="00EB0CE2">
        <w:rPr>
          <w:rFonts w:ascii="Times New Roman" w:hAnsi="Times New Roman" w:cs="Times New Roman"/>
          <w:sz w:val="24"/>
          <w:szCs w:val="24"/>
          <w:lang w:val="en-GB"/>
        </w:rPr>
        <w:t>play a cruci</w:t>
      </w:r>
      <w:r w:rsidR="00517021" w:rsidRPr="00EB0CE2">
        <w:rPr>
          <w:rFonts w:ascii="Times New Roman" w:hAnsi="Times New Roman" w:cs="Times New Roman"/>
          <w:sz w:val="24"/>
          <w:szCs w:val="24"/>
          <w:lang w:val="en-GB"/>
        </w:rPr>
        <w:t xml:space="preserve">al role in evaluators’ </w:t>
      </w:r>
      <w:r w:rsidR="00517021" w:rsidRPr="00EB0CE2">
        <w:rPr>
          <w:rFonts w:ascii="Times New Roman" w:hAnsi="Times New Roman" w:cs="Times New Roman"/>
          <w:sz w:val="24"/>
          <w:szCs w:val="24"/>
          <w:highlight w:val="yellow"/>
          <w:lang w:val="en-GB"/>
        </w:rPr>
        <w:t>training</w:t>
      </w:r>
      <w:r w:rsidR="00517021" w:rsidRPr="00EB0CE2">
        <w:rPr>
          <w:rFonts w:ascii="Times New Roman" w:hAnsi="Times New Roman" w:cs="Times New Roman"/>
          <w:sz w:val="24"/>
          <w:szCs w:val="24"/>
          <w:lang w:val="en-GB"/>
        </w:rPr>
        <w:t xml:space="preserve">, as most </w:t>
      </w:r>
      <w:r w:rsidR="00AB6BF0" w:rsidRPr="00EB0CE2">
        <w:rPr>
          <w:rFonts w:ascii="Times New Roman" w:hAnsi="Times New Roman" w:cs="Times New Roman"/>
          <w:sz w:val="24"/>
          <w:szCs w:val="24"/>
          <w:lang w:val="en-GB"/>
        </w:rPr>
        <w:t>evaluators (</w:t>
      </w:r>
      <w:r w:rsidR="00BA1ED5" w:rsidRPr="00EB0CE2">
        <w:rPr>
          <w:rFonts w:ascii="Times New Roman" w:hAnsi="Times New Roman" w:cs="Times New Roman"/>
          <w:sz w:val="24"/>
          <w:szCs w:val="24"/>
          <w:lang w:val="en-GB"/>
        </w:rPr>
        <w:t>79.5%</w:t>
      </w:r>
      <w:r w:rsidR="00EF1650" w:rsidRPr="00EB0CE2">
        <w:rPr>
          <w:rFonts w:ascii="Times New Roman" w:hAnsi="Times New Roman" w:cs="Times New Roman"/>
          <w:sz w:val="24"/>
          <w:szCs w:val="24"/>
          <w:lang w:val="en-GB"/>
        </w:rPr>
        <w:t>)</w:t>
      </w:r>
      <w:r w:rsidR="00BA1ED5" w:rsidRPr="00EB0CE2">
        <w:rPr>
          <w:rFonts w:ascii="Times New Roman" w:hAnsi="Times New Roman" w:cs="Times New Roman"/>
          <w:sz w:val="24"/>
          <w:szCs w:val="24"/>
          <w:lang w:val="en-GB"/>
        </w:rPr>
        <w:t xml:space="preserve"> </w:t>
      </w:r>
      <w:r w:rsidR="00517021" w:rsidRPr="00EB0CE2">
        <w:rPr>
          <w:rFonts w:ascii="Times New Roman" w:hAnsi="Times New Roman" w:cs="Times New Roman"/>
          <w:sz w:val="24"/>
          <w:szCs w:val="24"/>
          <w:lang w:val="en-GB"/>
        </w:rPr>
        <w:t>had</w:t>
      </w:r>
      <w:r w:rsidR="004868CA" w:rsidRPr="00EB0CE2">
        <w:rPr>
          <w:rFonts w:ascii="Times New Roman" w:hAnsi="Times New Roman" w:cs="Times New Roman"/>
          <w:sz w:val="24"/>
          <w:szCs w:val="24"/>
          <w:lang w:val="en-GB"/>
        </w:rPr>
        <w:t xml:space="preserve"> received </w:t>
      </w:r>
      <w:r w:rsidR="004868CA" w:rsidRPr="00EB0CE2">
        <w:rPr>
          <w:rFonts w:ascii="Times New Roman" w:hAnsi="Times New Roman" w:cs="Times New Roman"/>
          <w:sz w:val="24"/>
          <w:szCs w:val="24"/>
          <w:highlight w:val="yellow"/>
          <w:lang w:val="en-GB"/>
        </w:rPr>
        <w:t>training</w:t>
      </w:r>
      <w:r w:rsidR="004868CA" w:rsidRPr="00EB0CE2">
        <w:rPr>
          <w:rFonts w:ascii="Times New Roman" w:hAnsi="Times New Roman" w:cs="Times New Roman"/>
          <w:sz w:val="24"/>
          <w:szCs w:val="24"/>
          <w:lang w:val="en-GB"/>
        </w:rPr>
        <w:t xml:space="preserve"> in these </w:t>
      </w:r>
      <w:r w:rsidR="00AE579D" w:rsidRPr="00EB0CE2">
        <w:rPr>
          <w:rFonts w:ascii="Times New Roman" w:hAnsi="Times New Roman" w:cs="Times New Roman"/>
          <w:sz w:val="24"/>
          <w:szCs w:val="24"/>
          <w:lang w:val="en-GB"/>
        </w:rPr>
        <w:t>centres</w:t>
      </w:r>
      <w:r w:rsidR="004868CA" w:rsidRPr="00EB0CE2">
        <w:rPr>
          <w:rFonts w:ascii="Times New Roman" w:hAnsi="Times New Roman" w:cs="Times New Roman"/>
          <w:sz w:val="24"/>
          <w:szCs w:val="24"/>
          <w:lang w:val="en-GB"/>
        </w:rPr>
        <w:t>.</w:t>
      </w:r>
      <w:r w:rsidR="009F79DB" w:rsidRPr="00EB0CE2">
        <w:rPr>
          <w:rFonts w:ascii="Times New Roman" w:hAnsi="Times New Roman" w:cs="Times New Roman"/>
          <w:sz w:val="24"/>
          <w:szCs w:val="24"/>
          <w:lang w:val="en-GB"/>
        </w:rPr>
        <w:t xml:space="preserve"> </w:t>
      </w:r>
      <w:r w:rsidR="00517021" w:rsidRPr="00EB0CE2">
        <w:rPr>
          <w:rFonts w:ascii="Times New Roman" w:hAnsi="Times New Roman" w:cs="Times New Roman"/>
          <w:sz w:val="24"/>
          <w:szCs w:val="24"/>
          <w:lang w:val="en-GB"/>
        </w:rPr>
        <w:t xml:space="preserve">Training in universities, either in </w:t>
      </w:r>
      <w:r w:rsidR="004868CA" w:rsidRPr="00EB0CE2">
        <w:rPr>
          <w:rFonts w:ascii="Times New Roman" w:hAnsi="Times New Roman" w:cs="Times New Roman"/>
          <w:sz w:val="24"/>
          <w:szCs w:val="24"/>
          <w:lang w:val="en-GB"/>
        </w:rPr>
        <w:t>specialised courses (6.8%) or courses in University MA programmes (2.3%)</w:t>
      </w:r>
      <w:r w:rsidR="00517021" w:rsidRPr="00EB0CE2">
        <w:rPr>
          <w:rFonts w:ascii="Times New Roman" w:hAnsi="Times New Roman" w:cs="Times New Roman"/>
          <w:sz w:val="24"/>
          <w:szCs w:val="24"/>
          <w:lang w:val="en-GB"/>
        </w:rPr>
        <w:t xml:space="preserve">, was also mentioned together with the </w:t>
      </w:r>
      <w:r w:rsidR="004868CA" w:rsidRPr="00EB0CE2">
        <w:rPr>
          <w:rFonts w:ascii="Times New Roman" w:hAnsi="Times New Roman" w:cs="Times New Roman"/>
          <w:sz w:val="24"/>
          <w:szCs w:val="24"/>
          <w:lang w:val="en-GB"/>
        </w:rPr>
        <w:t xml:space="preserve">training </w:t>
      </w:r>
      <w:r w:rsidR="00517021" w:rsidRPr="00EB0CE2">
        <w:rPr>
          <w:rFonts w:ascii="Times New Roman" w:hAnsi="Times New Roman" w:cs="Times New Roman"/>
          <w:sz w:val="24"/>
          <w:szCs w:val="24"/>
          <w:lang w:val="en-GB"/>
        </w:rPr>
        <w:t>on the CEFR/CV</w:t>
      </w:r>
      <w:r w:rsidR="004868CA" w:rsidRPr="00EB0CE2">
        <w:rPr>
          <w:rFonts w:ascii="Times New Roman" w:hAnsi="Times New Roman" w:cs="Times New Roman"/>
          <w:sz w:val="24"/>
          <w:szCs w:val="24"/>
          <w:lang w:val="en-GB"/>
        </w:rPr>
        <w:t xml:space="preserve"> in</w:t>
      </w:r>
      <w:r w:rsidR="008610C9" w:rsidRPr="00EB0CE2">
        <w:rPr>
          <w:rFonts w:ascii="Times New Roman" w:hAnsi="Times New Roman" w:cs="Times New Roman"/>
          <w:sz w:val="24"/>
          <w:szCs w:val="24"/>
          <w:lang w:val="en-GB"/>
        </w:rPr>
        <w:t xml:space="preserve"> other institutions (6.8%), </w:t>
      </w:r>
      <w:r w:rsidR="004868CA" w:rsidRPr="00EB0CE2">
        <w:rPr>
          <w:rFonts w:ascii="Times New Roman" w:hAnsi="Times New Roman" w:cs="Times New Roman"/>
          <w:sz w:val="24"/>
          <w:szCs w:val="24"/>
          <w:lang w:val="en-GB"/>
        </w:rPr>
        <w:t xml:space="preserve">or other </w:t>
      </w:r>
      <w:r w:rsidR="00662C97" w:rsidRPr="00EB0CE2">
        <w:rPr>
          <w:rFonts w:ascii="Times New Roman" w:hAnsi="Times New Roman" w:cs="Times New Roman"/>
          <w:sz w:val="24"/>
          <w:szCs w:val="24"/>
          <w:lang w:val="en-GB"/>
        </w:rPr>
        <w:t>teaching agencies</w:t>
      </w:r>
      <w:r w:rsidR="004868CA" w:rsidRPr="00EB0CE2">
        <w:rPr>
          <w:rFonts w:ascii="Times New Roman" w:hAnsi="Times New Roman" w:cs="Times New Roman"/>
          <w:sz w:val="24"/>
          <w:szCs w:val="24"/>
          <w:lang w:val="en-GB"/>
        </w:rPr>
        <w:t xml:space="preserve"> (</w:t>
      </w:r>
      <w:r w:rsidR="00B04BF9" w:rsidRPr="00EB0CE2">
        <w:rPr>
          <w:rFonts w:ascii="Times New Roman" w:hAnsi="Times New Roman" w:cs="Times New Roman"/>
          <w:sz w:val="24"/>
          <w:szCs w:val="24"/>
          <w:lang w:val="en-GB"/>
        </w:rPr>
        <w:t>4.5%)</w:t>
      </w:r>
      <w:r w:rsidR="00EF1650" w:rsidRPr="00EB0CE2">
        <w:rPr>
          <w:rFonts w:ascii="Times New Roman" w:hAnsi="Times New Roman" w:cs="Times New Roman"/>
          <w:sz w:val="24"/>
          <w:szCs w:val="24"/>
          <w:lang w:val="en-GB"/>
        </w:rPr>
        <w:t>, which were not specified.</w:t>
      </w:r>
    </w:p>
    <w:p w14:paraId="43C031BC" w14:textId="37D5630A" w:rsidR="008001E1" w:rsidRPr="00EB0CE2" w:rsidRDefault="009F79DB"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When asked about the most beneficial content </w:t>
      </w:r>
      <w:r w:rsidR="00F04805" w:rsidRPr="00EB0CE2">
        <w:rPr>
          <w:rFonts w:ascii="Times New Roman" w:hAnsi="Times New Roman" w:cs="Times New Roman"/>
          <w:sz w:val="24"/>
          <w:szCs w:val="24"/>
          <w:lang w:val="en-GB"/>
        </w:rPr>
        <w:t xml:space="preserve">and missing aspects </w:t>
      </w:r>
      <w:r w:rsidR="00662C97" w:rsidRPr="00EB0CE2">
        <w:rPr>
          <w:rFonts w:ascii="Times New Roman" w:hAnsi="Times New Roman" w:cs="Times New Roman"/>
          <w:sz w:val="24"/>
          <w:szCs w:val="24"/>
          <w:lang w:val="en-GB"/>
        </w:rPr>
        <w:t xml:space="preserve">for their evaluating practice </w:t>
      </w:r>
      <w:r w:rsidRPr="00EB0CE2">
        <w:rPr>
          <w:rFonts w:ascii="Times New Roman" w:hAnsi="Times New Roman" w:cs="Times New Roman"/>
          <w:sz w:val="24"/>
          <w:szCs w:val="24"/>
          <w:lang w:val="en-GB"/>
        </w:rPr>
        <w:t xml:space="preserve">in the training </w:t>
      </w:r>
      <w:r w:rsidR="00166316" w:rsidRPr="00EB0CE2">
        <w:rPr>
          <w:rFonts w:ascii="Times New Roman" w:hAnsi="Times New Roman" w:cs="Times New Roman"/>
          <w:sz w:val="24"/>
          <w:szCs w:val="24"/>
          <w:lang w:val="en-GB"/>
        </w:rPr>
        <w:t>received</w:t>
      </w:r>
      <w:r w:rsidRPr="00EB0CE2">
        <w:rPr>
          <w:rFonts w:ascii="Times New Roman" w:hAnsi="Times New Roman" w:cs="Times New Roman"/>
          <w:sz w:val="24"/>
          <w:szCs w:val="24"/>
          <w:lang w:val="en-GB"/>
        </w:rPr>
        <w:t>, evaluators mention</w:t>
      </w:r>
      <w:r w:rsidR="00EF1650" w:rsidRPr="00EB0CE2">
        <w:rPr>
          <w:rFonts w:ascii="Times New Roman" w:hAnsi="Times New Roman" w:cs="Times New Roman"/>
          <w:sz w:val="24"/>
          <w:szCs w:val="24"/>
          <w:lang w:val="en-GB"/>
        </w:rPr>
        <w:t>ed</w:t>
      </w:r>
      <w:r w:rsidR="008001E1" w:rsidRPr="00EB0CE2">
        <w:rPr>
          <w:rFonts w:ascii="Times New Roman" w:hAnsi="Times New Roman" w:cs="Times New Roman"/>
          <w:sz w:val="24"/>
          <w:szCs w:val="24"/>
          <w:lang w:val="en-GB"/>
        </w:rPr>
        <w:t xml:space="preserve"> a number of issues, which are shown in Table X</w:t>
      </w:r>
      <w:r w:rsidRPr="00EB0CE2">
        <w:rPr>
          <w:rFonts w:ascii="Times New Roman" w:hAnsi="Times New Roman" w:cs="Times New Roman"/>
          <w:sz w:val="24"/>
          <w:szCs w:val="24"/>
          <w:lang w:val="en-GB"/>
        </w:rPr>
        <w:t xml:space="preserve"> in descending order</w:t>
      </w:r>
      <w:r w:rsidR="00662C97" w:rsidRPr="00EB0CE2">
        <w:rPr>
          <w:rFonts w:ascii="Times New Roman" w:hAnsi="Times New Roman" w:cs="Times New Roman"/>
          <w:sz w:val="24"/>
          <w:szCs w:val="24"/>
          <w:lang w:val="en-GB"/>
        </w:rPr>
        <w:t xml:space="preserve"> of frequency</w:t>
      </w:r>
      <w:r w:rsidR="008001E1" w:rsidRPr="00EB0CE2">
        <w:rPr>
          <w:rFonts w:ascii="Times New Roman" w:hAnsi="Times New Roman" w:cs="Times New Roman"/>
          <w:sz w:val="24"/>
          <w:szCs w:val="24"/>
          <w:lang w:val="en-GB"/>
        </w:rPr>
        <w:t xml:space="preserve">. This information supports </w:t>
      </w:r>
      <w:r w:rsidR="0036754E" w:rsidRPr="00EB0CE2">
        <w:rPr>
          <w:rFonts w:ascii="Times New Roman" w:hAnsi="Times New Roman" w:cs="Times New Roman"/>
          <w:sz w:val="24"/>
          <w:szCs w:val="24"/>
          <w:lang w:val="en-GB"/>
        </w:rPr>
        <w:t xml:space="preserve">the </w:t>
      </w:r>
      <w:r w:rsidR="008001E1" w:rsidRPr="00EB0CE2">
        <w:rPr>
          <w:rFonts w:ascii="Times New Roman" w:hAnsi="Times New Roman" w:cs="Times New Roman"/>
          <w:sz w:val="24"/>
          <w:szCs w:val="24"/>
          <w:lang w:val="en-GB"/>
        </w:rPr>
        <w:t>conclusions from other studies (</w:t>
      </w:r>
      <w:r w:rsidR="0036754E" w:rsidRPr="00EB0CE2">
        <w:rPr>
          <w:rFonts w:ascii="Times New Roman" w:eastAsia="Times New Roman" w:hAnsi="Times New Roman" w:cs="Times New Roman"/>
          <w:color w:val="222222"/>
          <w:sz w:val="24"/>
          <w:szCs w:val="24"/>
          <w:highlight w:val="white"/>
          <w:lang w:val="en-US"/>
        </w:rPr>
        <w:t xml:space="preserve">Cephe &amp; Toprak, 2014; </w:t>
      </w:r>
      <w:r w:rsidR="0036754E" w:rsidRPr="00EB0CE2">
        <w:rPr>
          <w:rFonts w:ascii="Times New Roman" w:eastAsia="Times New Roman" w:hAnsi="Times New Roman" w:cs="Times New Roman"/>
          <w:sz w:val="24"/>
          <w:szCs w:val="24"/>
          <w:lang w:val="en-US"/>
        </w:rPr>
        <w:t xml:space="preserve">Normand-Maconnet &amp; Lo Bianco, 2013; </w:t>
      </w:r>
      <w:r w:rsidR="008001E1" w:rsidRPr="00EB0CE2">
        <w:rPr>
          <w:rFonts w:ascii="Times New Roman" w:hAnsi="Times New Roman" w:cs="Times New Roman"/>
          <w:sz w:val="24"/>
          <w:szCs w:val="24"/>
          <w:lang w:val="en-GB"/>
        </w:rPr>
        <w:t xml:space="preserve">Picardo et al., 2017; Simons &amp; Colpaert, 2015). </w:t>
      </w:r>
    </w:p>
    <w:p w14:paraId="3915F3C6" w14:textId="3F40C041" w:rsidR="00AB6BF0" w:rsidRDefault="00AB6BF0" w:rsidP="00B85C8B">
      <w:pPr>
        <w:ind w:firstLine="708"/>
        <w:jc w:val="both"/>
        <w:rPr>
          <w:rFonts w:asciiTheme="majorHAnsi" w:hAnsiTheme="majorHAnsi" w:cstheme="majorHAnsi"/>
          <w:lang w:val="en-GB"/>
        </w:rPr>
      </w:pPr>
    </w:p>
    <w:p w14:paraId="6398480F" w14:textId="4C020D3C" w:rsidR="008001E1" w:rsidRDefault="008001E1" w:rsidP="00F04805">
      <w:pPr>
        <w:ind w:firstLine="708"/>
        <w:jc w:val="both"/>
        <w:rPr>
          <w:rFonts w:asciiTheme="majorHAnsi" w:hAnsiTheme="majorHAnsi" w:cstheme="majorHAnsi"/>
          <w:strike/>
          <w:lang w:val="en-GB"/>
        </w:rPr>
      </w:pPr>
      <w:r>
        <w:rPr>
          <w:rFonts w:asciiTheme="majorHAnsi" w:hAnsiTheme="majorHAnsi" w:cstheme="majorHAnsi"/>
          <w:strike/>
          <w:noProof/>
          <w:lang w:eastAsia="es-ES"/>
        </w:rPr>
        <w:drawing>
          <wp:inline distT="0" distB="0" distL="0" distR="0" wp14:anchorId="05C293B6" wp14:editId="261DDA8F">
            <wp:extent cx="5400040" cy="3150235"/>
            <wp:effectExtent l="38100" t="0" r="0" b="0"/>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022EC91" w14:textId="2E6CDF29" w:rsidR="008001E1" w:rsidRPr="00EB0CE2" w:rsidRDefault="008001E1" w:rsidP="0036754E">
      <w:pPr>
        <w:ind w:left="708"/>
        <w:jc w:val="both"/>
        <w:rPr>
          <w:rFonts w:ascii="Times New Roman" w:hAnsi="Times New Roman" w:cs="Times New Roman"/>
          <w:sz w:val="20"/>
          <w:szCs w:val="20"/>
          <w:lang w:val="en-GB"/>
        </w:rPr>
      </w:pPr>
      <w:r w:rsidRPr="00EB0CE2">
        <w:rPr>
          <w:rFonts w:ascii="Times New Roman" w:hAnsi="Times New Roman" w:cs="Times New Roman"/>
          <w:sz w:val="20"/>
          <w:szCs w:val="20"/>
          <w:lang w:val="en-GB"/>
        </w:rPr>
        <w:t xml:space="preserve">Table X. Contents mentioned by evaluators as beneficial or missing in their </w:t>
      </w:r>
      <w:r w:rsidR="0036754E" w:rsidRPr="00EB0CE2">
        <w:rPr>
          <w:rFonts w:ascii="Times New Roman" w:hAnsi="Times New Roman" w:cs="Times New Roman"/>
          <w:sz w:val="20"/>
          <w:szCs w:val="20"/>
          <w:lang w:val="en-GB"/>
        </w:rPr>
        <w:t>CEFR/CV</w:t>
      </w:r>
      <w:r w:rsidRPr="00EB0CE2">
        <w:rPr>
          <w:rFonts w:ascii="Times New Roman" w:hAnsi="Times New Roman" w:cs="Times New Roman"/>
          <w:sz w:val="20"/>
          <w:szCs w:val="20"/>
          <w:lang w:val="en-GB"/>
        </w:rPr>
        <w:t xml:space="preserve">training </w:t>
      </w:r>
    </w:p>
    <w:p w14:paraId="0766CA03" w14:textId="003DFDAB" w:rsidR="008001E1" w:rsidRPr="00EB0CE2" w:rsidRDefault="008001E1" w:rsidP="00EB0CE2">
      <w:pPr>
        <w:spacing w:after="0" w:line="240" w:lineRule="auto"/>
        <w:ind w:firstLine="708"/>
        <w:jc w:val="both"/>
        <w:rPr>
          <w:rFonts w:ascii="Times New Roman" w:hAnsi="Times New Roman" w:cs="Times New Roman"/>
          <w:strike/>
          <w:sz w:val="24"/>
          <w:szCs w:val="24"/>
          <w:lang w:val="en-GB"/>
        </w:rPr>
      </w:pPr>
    </w:p>
    <w:p w14:paraId="56A09D16" w14:textId="46535F91" w:rsidR="00BA1ED5" w:rsidRPr="00EB0CE2" w:rsidRDefault="00874278"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Finally, e</w:t>
      </w:r>
      <w:r w:rsidR="00704F9E" w:rsidRPr="00EB0CE2">
        <w:rPr>
          <w:rFonts w:ascii="Times New Roman" w:hAnsi="Times New Roman" w:cs="Times New Roman"/>
          <w:sz w:val="24"/>
          <w:szCs w:val="24"/>
          <w:lang w:val="en-GB"/>
        </w:rPr>
        <w:t xml:space="preserve">valuators where asked </w:t>
      </w:r>
      <w:r w:rsidR="00722397" w:rsidRPr="00EB0CE2">
        <w:rPr>
          <w:rFonts w:ascii="Times New Roman" w:hAnsi="Times New Roman" w:cs="Times New Roman"/>
          <w:sz w:val="24"/>
          <w:szCs w:val="24"/>
          <w:lang w:val="en-GB"/>
        </w:rPr>
        <w:t>what they would ne</w:t>
      </w:r>
      <w:r w:rsidR="00704F9E" w:rsidRPr="00EB0CE2">
        <w:rPr>
          <w:rFonts w:ascii="Times New Roman" w:hAnsi="Times New Roman" w:cs="Times New Roman"/>
          <w:sz w:val="24"/>
          <w:szCs w:val="24"/>
          <w:lang w:val="en-GB"/>
        </w:rPr>
        <w:t>ed to better evaluate the exams. Further practice and the training on mediation (</w:t>
      </w:r>
      <w:r w:rsidRPr="00EB0CE2">
        <w:rPr>
          <w:rFonts w:ascii="Times New Roman" w:hAnsi="Times New Roman" w:cs="Times New Roman"/>
          <w:sz w:val="24"/>
          <w:szCs w:val="24"/>
          <w:lang w:val="en-GB"/>
        </w:rPr>
        <w:t xml:space="preserve">the </w:t>
      </w:r>
      <w:r w:rsidR="00704F9E" w:rsidRPr="00EB0CE2">
        <w:rPr>
          <w:rFonts w:ascii="Times New Roman" w:hAnsi="Times New Roman" w:cs="Times New Roman"/>
          <w:sz w:val="24"/>
          <w:szCs w:val="24"/>
          <w:lang w:val="en-GB"/>
        </w:rPr>
        <w:t>concept, way to evaluate it, etc.) were the most frequent</w:t>
      </w:r>
      <w:r w:rsidR="00DD0E7E" w:rsidRPr="00EB0CE2">
        <w:rPr>
          <w:rFonts w:ascii="Times New Roman" w:hAnsi="Times New Roman" w:cs="Times New Roman"/>
          <w:sz w:val="24"/>
          <w:szCs w:val="24"/>
          <w:lang w:val="en-GB"/>
        </w:rPr>
        <w:t>ly mentioned contents</w:t>
      </w:r>
      <w:r w:rsidR="00704F9E" w:rsidRPr="00EB0CE2">
        <w:rPr>
          <w:rFonts w:ascii="Times New Roman" w:hAnsi="Times New Roman" w:cs="Times New Roman"/>
          <w:sz w:val="24"/>
          <w:szCs w:val="24"/>
          <w:lang w:val="en-GB"/>
        </w:rPr>
        <w:t xml:space="preserve">.  </w:t>
      </w:r>
      <w:r w:rsidR="00722397" w:rsidRPr="00EB0CE2">
        <w:rPr>
          <w:rFonts w:ascii="Times New Roman" w:hAnsi="Times New Roman" w:cs="Times New Roman"/>
          <w:sz w:val="24"/>
          <w:szCs w:val="24"/>
          <w:lang w:val="en-GB"/>
        </w:rPr>
        <w:t>Other aspects</w:t>
      </w:r>
      <w:r w:rsidR="008522D6" w:rsidRPr="00EB0CE2">
        <w:rPr>
          <w:rFonts w:ascii="Times New Roman" w:hAnsi="Times New Roman" w:cs="Times New Roman"/>
          <w:sz w:val="24"/>
          <w:szCs w:val="24"/>
          <w:lang w:val="en-GB"/>
        </w:rPr>
        <w:t xml:space="preserve"> </w:t>
      </w:r>
      <w:r w:rsidR="00517DB5" w:rsidRPr="00EB0CE2">
        <w:rPr>
          <w:rFonts w:ascii="Times New Roman" w:hAnsi="Times New Roman" w:cs="Times New Roman"/>
          <w:sz w:val="24"/>
          <w:szCs w:val="24"/>
          <w:lang w:val="en-GB"/>
        </w:rPr>
        <w:t>mentioned</w:t>
      </w:r>
      <w:r w:rsidRPr="00EB0CE2">
        <w:rPr>
          <w:rFonts w:ascii="Times New Roman" w:hAnsi="Times New Roman" w:cs="Times New Roman"/>
          <w:sz w:val="24"/>
          <w:szCs w:val="24"/>
          <w:lang w:val="en-GB"/>
        </w:rPr>
        <w:t>, in descending frequency order,</w:t>
      </w:r>
      <w:r w:rsidR="00517DB5" w:rsidRPr="00EB0CE2">
        <w:rPr>
          <w:rFonts w:ascii="Times New Roman" w:hAnsi="Times New Roman" w:cs="Times New Roman"/>
          <w:sz w:val="24"/>
          <w:szCs w:val="24"/>
          <w:lang w:val="en-GB"/>
        </w:rPr>
        <w:t xml:space="preserve"> were</w:t>
      </w:r>
      <w:r w:rsidRPr="00EB0CE2">
        <w:rPr>
          <w:rFonts w:ascii="Times New Roman" w:hAnsi="Times New Roman" w:cs="Times New Roman"/>
          <w:sz w:val="24"/>
          <w:szCs w:val="24"/>
          <w:lang w:val="en-GB"/>
        </w:rPr>
        <w:t xml:space="preserve"> further training on</w:t>
      </w:r>
      <w:r w:rsidR="008522D6" w:rsidRPr="00EB0CE2">
        <w:rPr>
          <w:rFonts w:ascii="Times New Roman" w:hAnsi="Times New Roman" w:cs="Times New Roman"/>
          <w:sz w:val="24"/>
          <w:szCs w:val="24"/>
          <w:lang w:val="en-GB"/>
        </w:rPr>
        <w:t xml:space="preserve"> </w:t>
      </w:r>
      <w:r w:rsidR="00722397" w:rsidRPr="00EB0CE2">
        <w:rPr>
          <w:rFonts w:ascii="Times New Roman" w:hAnsi="Times New Roman" w:cs="Times New Roman"/>
          <w:sz w:val="24"/>
          <w:szCs w:val="24"/>
          <w:lang w:val="en-GB"/>
        </w:rPr>
        <w:t>test alignment, the use of rubrics, test correction, fairness in evaluation, the Companion Volume, inter-rater agreement, rubrics for different text types, text selection, the action-oriented approach and, finally, the need for more training courses</w:t>
      </w:r>
      <w:r w:rsidR="008522D6" w:rsidRPr="00EB0CE2">
        <w:rPr>
          <w:rFonts w:ascii="Times New Roman" w:hAnsi="Times New Roman" w:cs="Times New Roman"/>
          <w:sz w:val="24"/>
          <w:szCs w:val="24"/>
          <w:lang w:val="en-GB"/>
        </w:rPr>
        <w:t>.</w:t>
      </w:r>
    </w:p>
    <w:p w14:paraId="6AB73DBD" w14:textId="57E5D88B" w:rsidR="00B52326" w:rsidRDefault="00183CF4"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A</w:t>
      </w:r>
      <w:r w:rsidR="007039D0" w:rsidRPr="00EB0CE2">
        <w:rPr>
          <w:rFonts w:ascii="Times New Roman" w:hAnsi="Times New Roman" w:cs="Times New Roman"/>
          <w:sz w:val="24"/>
          <w:szCs w:val="24"/>
          <w:lang w:val="en-GB"/>
        </w:rPr>
        <w:t xml:space="preserve">lthough raters </w:t>
      </w:r>
      <w:r w:rsidR="00EC3829" w:rsidRPr="00EB0CE2">
        <w:rPr>
          <w:rFonts w:ascii="Times New Roman" w:hAnsi="Times New Roman" w:cs="Times New Roman"/>
          <w:sz w:val="24"/>
          <w:szCs w:val="24"/>
          <w:lang w:val="en-GB"/>
        </w:rPr>
        <w:t>are trained</w:t>
      </w:r>
      <w:r w:rsidR="007039D0" w:rsidRPr="00EB0CE2">
        <w:rPr>
          <w:rFonts w:ascii="Times New Roman" w:hAnsi="Times New Roman" w:cs="Times New Roman"/>
          <w:sz w:val="24"/>
          <w:szCs w:val="24"/>
          <w:lang w:val="en-GB"/>
        </w:rPr>
        <w:t xml:space="preserve"> in the different aspects of the language accredi</w:t>
      </w:r>
      <w:r w:rsidRPr="00EB0CE2">
        <w:rPr>
          <w:rFonts w:ascii="Times New Roman" w:hAnsi="Times New Roman" w:cs="Times New Roman"/>
          <w:sz w:val="24"/>
          <w:szCs w:val="24"/>
          <w:lang w:val="en-GB"/>
        </w:rPr>
        <w:t>t</w:t>
      </w:r>
      <w:r w:rsidR="007039D0" w:rsidRPr="00EB0CE2">
        <w:rPr>
          <w:rFonts w:ascii="Times New Roman" w:hAnsi="Times New Roman" w:cs="Times New Roman"/>
          <w:sz w:val="24"/>
          <w:szCs w:val="24"/>
          <w:lang w:val="en-GB"/>
        </w:rPr>
        <w:t>ation process (mainly test design and test evaluation</w:t>
      </w:r>
      <w:r w:rsidRPr="00EB0CE2">
        <w:rPr>
          <w:rFonts w:ascii="Times New Roman" w:hAnsi="Times New Roman" w:cs="Times New Roman"/>
          <w:sz w:val="24"/>
          <w:szCs w:val="24"/>
          <w:lang w:val="en-GB"/>
        </w:rPr>
        <w:t xml:space="preserve">), there is a </w:t>
      </w:r>
      <w:r w:rsidR="007039D0" w:rsidRPr="00EB0CE2">
        <w:rPr>
          <w:rFonts w:ascii="Times New Roman" w:hAnsi="Times New Roman" w:cs="Times New Roman"/>
          <w:sz w:val="24"/>
          <w:szCs w:val="24"/>
          <w:lang w:val="en-GB"/>
        </w:rPr>
        <w:t xml:space="preserve">need to provide them with </w:t>
      </w:r>
      <w:r w:rsidRPr="00EB0CE2">
        <w:rPr>
          <w:rFonts w:ascii="Times New Roman" w:hAnsi="Times New Roman" w:cs="Times New Roman"/>
          <w:sz w:val="24"/>
          <w:szCs w:val="24"/>
          <w:lang w:val="en-GB"/>
        </w:rPr>
        <w:t xml:space="preserve">continuous training which may help them become more familiar with the aspects of test design and test evaluation they feel more insecure with. </w:t>
      </w:r>
      <w:r w:rsidR="007C1AE1" w:rsidRPr="00EB0CE2">
        <w:rPr>
          <w:rFonts w:ascii="Times New Roman" w:hAnsi="Times New Roman" w:cs="Times New Roman"/>
          <w:sz w:val="24"/>
          <w:szCs w:val="24"/>
          <w:lang w:val="en-GB"/>
        </w:rPr>
        <w:t xml:space="preserve">Their reading of </w:t>
      </w:r>
      <w:r w:rsidRPr="00EB0CE2">
        <w:rPr>
          <w:rFonts w:ascii="Times New Roman" w:hAnsi="Times New Roman" w:cs="Times New Roman"/>
          <w:sz w:val="24"/>
          <w:szCs w:val="24"/>
          <w:lang w:val="en-GB"/>
        </w:rPr>
        <w:t>publications</w:t>
      </w:r>
      <w:r w:rsidR="00953D1A" w:rsidRPr="00EB0CE2">
        <w:rPr>
          <w:rFonts w:ascii="Times New Roman" w:hAnsi="Times New Roman" w:cs="Times New Roman"/>
          <w:sz w:val="24"/>
          <w:szCs w:val="24"/>
          <w:lang w:val="en-GB"/>
        </w:rPr>
        <w:t xml:space="preserve"> related to language evaluation (</w:t>
      </w:r>
      <w:r w:rsidR="00C100C5" w:rsidRPr="00EB0CE2">
        <w:rPr>
          <w:rFonts w:ascii="Times New Roman" w:hAnsi="Times New Roman" w:cs="Times New Roman"/>
          <w:sz w:val="24"/>
          <w:szCs w:val="24"/>
          <w:lang w:val="en-GB"/>
        </w:rPr>
        <w:t xml:space="preserve">e.g., </w:t>
      </w:r>
      <w:r w:rsidR="00F04805" w:rsidRPr="00EB0CE2">
        <w:rPr>
          <w:rFonts w:ascii="Times New Roman" w:eastAsia="Times New Roman" w:hAnsi="Times New Roman" w:cs="Times New Roman"/>
          <w:color w:val="231F20"/>
          <w:sz w:val="24"/>
          <w:szCs w:val="24"/>
          <w:lang w:val="en-US"/>
        </w:rPr>
        <w:t xml:space="preserve">British Council, UKALTA, EALTA &amp; ALTE, 2022; </w:t>
      </w:r>
      <w:r w:rsidR="00F04805" w:rsidRPr="00EB0CE2">
        <w:rPr>
          <w:rFonts w:ascii="Times New Roman" w:hAnsi="Times New Roman" w:cs="Times New Roman"/>
          <w:sz w:val="24"/>
          <w:szCs w:val="24"/>
          <w:lang w:val="en-GB"/>
        </w:rPr>
        <w:t xml:space="preserve">Council of Europe, 2011; </w:t>
      </w:r>
      <w:r w:rsidR="00953D1A" w:rsidRPr="00EB0CE2">
        <w:rPr>
          <w:rFonts w:ascii="Times New Roman" w:hAnsi="Times New Roman" w:cs="Times New Roman"/>
          <w:sz w:val="24"/>
          <w:szCs w:val="24"/>
          <w:lang w:val="en-GB"/>
        </w:rPr>
        <w:t>Little, 2018;</w:t>
      </w:r>
      <w:r w:rsidR="007C1AE1" w:rsidRPr="00EB0CE2">
        <w:rPr>
          <w:rFonts w:ascii="Times New Roman" w:hAnsi="Times New Roman" w:cs="Times New Roman"/>
          <w:sz w:val="24"/>
          <w:szCs w:val="24"/>
          <w:lang w:val="en-GB"/>
        </w:rPr>
        <w:t xml:space="preserve"> Nagai </w:t>
      </w:r>
      <w:r w:rsidR="00953D1A" w:rsidRPr="00EB0CE2">
        <w:rPr>
          <w:rFonts w:ascii="Times New Roman" w:hAnsi="Times New Roman" w:cs="Times New Roman"/>
          <w:sz w:val="24"/>
          <w:szCs w:val="24"/>
          <w:lang w:val="en-GB"/>
        </w:rPr>
        <w:t xml:space="preserve">et al., 2020; </w:t>
      </w:r>
      <w:r w:rsidR="00F04805" w:rsidRPr="00EB0CE2">
        <w:rPr>
          <w:rFonts w:ascii="Times New Roman" w:hAnsi="Times New Roman" w:cs="Times New Roman"/>
          <w:sz w:val="24"/>
          <w:szCs w:val="24"/>
          <w:lang w:val="en-GB"/>
        </w:rPr>
        <w:t>North et al., 2009</w:t>
      </w:r>
      <w:r w:rsidR="00953D1A" w:rsidRPr="00EB0CE2">
        <w:rPr>
          <w:rFonts w:ascii="Times New Roman" w:eastAsia="Times New Roman" w:hAnsi="Times New Roman" w:cs="Times New Roman"/>
          <w:color w:val="231F20"/>
          <w:sz w:val="24"/>
          <w:szCs w:val="24"/>
          <w:lang w:val="en-US"/>
        </w:rPr>
        <w:t xml:space="preserve">) </w:t>
      </w:r>
      <w:r w:rsidR="00EC3829" w:rsidRPr="00EB0CE2">
        <w:rPr>
          <w:rFonts w:ascii="Times New Roman" w:hAnsi="Times New Roman" w:cs="Times New Roman"/>
          <w:sz w:val="24"/>
          <w:szCs w:val="24"/>
          <w:lang w:val="en-GB"/>
        </w:rPr>
        <w:t>together with</w:t>
      </w:r>
      <w:r w:rsidRPr="00EB0CE2">
        <w:rPr>
          <w:rFonts w:ascii="Times New Roman" w:hAnsi="Times New Roman" w:cs="Times New Roman"/>
          <w:sz w:val="24"/>
          <w:szCs w:val="24"/>
          <w:lang w:val="en-GB"/>
        </w:rPr>
        <w:t xml:space="preserve"> hands-on sessions with experienced test raters (and designers) are therefore crucial to improve the raters’ evaluations.</w:t>
      </w:r>
      <w:r w:rsidR="00B82F82" w:rsidRPr="00EB0CE2">
        <w:rPr>
          <w:rFonts w:ascii="Times New Roman" w:hAnsi="Times New Roman" w:cs="Times New Roman"/>
          <w:sz w:val="24"/>
          <w:szCs w:val="24"/>
          <w:lang w:val="en-GB"/>
        </w:rPr>
        <w:t xml:space="preserve"> </w:t>
      </w:r>
    </w:p>
    <w:p w14:paraId="27B13087" w14:textId="77777777" w:rsidR="006D72F4" w:rsidRPr="00EB0CE2" w:rsidRDefault="006D72F4" w:rsidP="00EB0CE2">
      <w:pPr>
        <w:spacing w:after="0" w:line="240" w:lineRule="auto"/>
        <w:ind w:firstLine="708"/>
        <w:jc w:val="both"/>
        <w:rPr>
          <w:rFonts w:ascii="Times New Roman" w:hAnsi="Times New Roman" w:cs="Times New Roman"/>
          <w:sz w:val="24"/>
          <w:szCs w:val="24"/>
          <w:lang w:val="en-GB"/>
        </w:rPr>
      </w:pPr>
    </w:p>
    <w:p w14:paraId="12C87951" w14:textId="6E988265" w:rsidR="00B52326" w:rsidRPr="00EB0CE2" w:rsidRDefault="00CA544A" w:rsidP="00EB0CE2">
      <w:pPr>
        <w:spacing w:after="0" w:line="240" w:lineRule="auto"/>
        <w:rPr>
          <w:rFonts w:ascii="Times New Roman" w:hAnsi="Times New Roman" w:cs="Times New Roman"/>
          <w:b/>
          <w:sz w:val="24"/>
          <w:szCs w:val="24"/>
          <w:lang w:val="en-GB"/>
        </w:rPr>
      </w:pPr>
      <w:r w:rsidRPr="00EB0CE2">
        <w:rPr>
          <w:rFonts w:ascii="Times New Roman" w:hAnsi="Times New Roman" w:cs="Times New Roman"/>
          <w:b/>
          <w:sz w:val="24"/>
          <w:szCs w:val="24"/>
          <w:lang w:val="en-GB"/>
        </w:rPr>
        <w:t xml:space="preserve">Evaluators’ </w:t>
      </w:r>
      <w:r w:rsidR="00314A64" w:rsidRPr="00EB0CE2">
        <w:rPr>
          <w:rFonts w:ascii="Times New Roman" w:hAnsi="Times New Roman" w:cs="Times New Roman"/>
          <w:b/>
          <w:sz w:val="24"/>
          <w:szCs w:val="24"/>
          <w:lang w:val="en-GB"/>
        </w:rPr>
        <w:t>C</w:t>
      </w:r>
      <w:r w:rsidR="00B52326" w:rsidRPr="00EB0CE2">
        <w:rPr>
          <w:rFonts w:ascii="Times New Roman" w:hAnsi="Times New Roman" w:cs="Times New Roman"/>
          <w:b/>
          <w:sz w:val="24"/>
          <w:szCs w:val="24"/>
          <w:lang w:val="en-GB"/>
        </w:rPr>
        <w:t xml:space="preserve">urrent </w:t>
      </w:r>
      <w:r w:rsidR="00314A64" w:rsidRPr="00EB0CE2">
        <w:rPr>
          <w:rFonts w:ascii="Times New Roman" w:hAnsi="Times New Roman" w:cs="Times New Roman"/>
          <w:b/>
          <w:sz w:val="24"/>
          <w:szCs w:val="24"/>
          <w:lang w:val="en-GB"/>
        </w:rPr>
        <w:t>K</w:t>
      </w:r>
      <w:r w:rsidR="00B52326" w:rsidRPr="00EB0CE2">
        <w:rPr>
          <w:rFonts w:ascii="Times New Roman" w:hAnsi="Times New Roman" w:cs="Times New Roman"/>
          <w:b/>
          <w:sz w:val="24"/>
          <w:szCs w:val="24"/>
          <w:lang w:val="en-GB"/>
        </w:rPr>
        <w:t>nowledge</w:t>
      </w:r>
      <w:r w:rsidRPr="00EB0CE2">
        <w:rPr>
          <w:rFonts w:ascii="Times New Roman" w:hAnsi="Times New Roman" w:cs="Times New Roman"/>
          <w:b/>
          <w:sz w:val="24"/>
          <w:szCs w:val="24"/>
          <w:lang w:val="en-GB"/>
        </w:rPr>
        <w:t xml:space="preserve"> of the CEFR and the CV</w:t>
      </w:r>
    </w:p>
    <w:p w14:paraId="26CB6588" w14:textId="77777777" w:rsidR="006D72F4" w:rsidRDefault="006D72F4" w:rsidP="00EB0CE2">
      <w:pPr>
        <w:spacing w:after="0" w:line="240" w:lineRule="auto"/>
        <w:rPr>
          <w:rFonts w:ascii="Times New Roman" w:hAnsi="Times New Roman" w:cs="Times New Roman"/>
          <w:b/>
          <w:i/>
          <w:sz w:val="24"/>
          <w:szCs w:val="24"/>
          <w:lang w:val="en-GB"/>
        </w:rPr>
      </w:pPr>
    </w:p>
    <w:p w14:paraId="2FE2E35B" w14:textId="539F7153" w:rsidR="00820017" w:rsidRPr="00EB0CE2" w:rsidRDefault="00B13626" w:rsidP="00EB0CE2">
      <w:pPr>
        <w:spacing w:after="0" w:line="240" w:lineRule="auto"/>
        <w:rPr>
          <w:rFonts w:ascii="Times New Roman" w:hAnsi="Times New Roman" w:cs="Times New Roman"/>
          <w:b/>
          <w:i/>
          <w:sz w:val="24"/>
          <w:szCs w:val="24"/>
          <w:lang w:val="en-GB"/>
        </w:rPr>
      </w:pPr>
      <w:r w:rsidRPr="00EB0CE2">
        <w:rPr>
          <w:rFonts w:ascii="Times New Roman" w:hAnsi="Times New Roman" w:cs="Times New Roman"/>
          <w:b/>
          <w:i/>
          <w:sz w:val="24"/>
          <w:szCs w:val="24"/>
          <w:lang w:val="en-GB"/>
        </w:rPr>
        <w:t>P</w:t>
      </w:r>
      <w:r w:rsidR="00820017" w:rsidRPr="00EB0CE2">
        <w:rPr>
          <w:rFonts w:ascii="Times New Roman" w:hAnsi="Times New Roman" w:cs="Times New Roman"/>
          <w:b/>
          <w:i/>
          <w:sz w:val="24"/>
          <w:szCs w:val="24"/>
          <w:lang w:val="en-GB"/>
        </w:rPr>
        <w:t>erceived overall knowledge</w:t>
      </w:r>
    </w:p>
    <w:p w14:paraId="59939F17" w14:textId="77777777" w:rsidR="006D72F4" w:rsidRDefault="006D72F4" w:rsidP="00EB0CE2">
      <w:pPr>
        <w:spacing w:after="0" w:line="240" w:lineRule="auto"/>
        <w:jc w:val="both"/>
        <w:rPr>
          <w:rFonts w:ascii="Times New Roman" w:hAnsi="Times New Roman" w:cs="Times New Roman"/>
          <w:sz w:val="24"/>
          <w:szCs w:val="24"/>
          <w:lang w:val="en-GB"/>
        </w:rPr>
      </w:pPr>
    </w:p>
    <w:p w14:paraId="31ACC39A" w14:textId="6402C6DB" w:rsidR="00AF6D87" w:rsidRPr="006D72F4" w:rsidRDefault="00106BAA" w:rsidP="00EB0CE2">
      <w:pPr>
        <w:spacing w:after="0" w:line="240" w:lineRule="auto"/>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Initial</w:t>
      </w:r>
      <w:r w:rsidRPr="006D72F4">
        <w:rPr>
          <w:rFonts w:ascii="Times New Roman" w:hAnsi="Times New Roman" w:cs="Times New Roman"/>
          <w:sz w:val="24"/>
          <w:szCs w:val="24"/>
          <w:lang w:val="en-GB"/>
        </w:rPr>
        <w:t xml:space="preserve"> q</w:t>
      </w:r>
      <w:r w:rsidR="009A4729" w:rsidRPr="006D72F4">
        <w:rPr>
          <w:rFonts w:ascii="Times New Roman" w:hAnsi="Times New Roman" w:cs="Times New Roman"/>
          <w:sz w:val="24"/>
          <w:szCs w:val="24"/>
          <w:lang w:val="en-GB"/>
        </w:rPr>
        <w:t xml:space="preserve">uestions in </w:t>
      </w:r>
      <w:r w:rsidR="00756E0A" w:rsidRPr="006D72F4">
        <w:rPr>
          <w:rFonts w:ascii="Times New Roman" w:hAnsi="Times New Roman" w:cs="Times New Roman"/>
          <w:sz w:val="24"/>
          <w:szCs w:val="24"/>
          <w:lang w:val="en-GB"/>
        </w:rPr>
        <w:t xml:space="preserve">the </w:t>
      </w:r>
      <w:r w:rsidR="00406DE5" w:rsidRPr="006D72F4">
        <w:rPr>
          <w:rFonts w:ascii="Times New Roman" w:hAnsi="Times New Roman" w:cs="Times New Roman"/>
          <w:sz w:val="24"/>
          <w:szCs w:val="24"/>
          <w:lang w:val="en-GB"/>
        </w:rPr>
        <w:t>fourth</w:t>
      </w:r>
      <w:r w:rsidR="00756E0A" w:rsidRPr="006D72F4">
        <w:rPr>
          <w:rFonts w:ascii="Times New Roman" w:hAnsi="Times New Roman" w:cs="Times New Roman"/>
          <w:sz w:val="24"/>
          <w:szCs w:val="24"/>
          <w:lang w:val="en-GB"/>
        </w:rPr>
        <w:t xml:space="preserve"> block of the questionnaire</w:t>
      </w:r>
      <w:r w:rsidR="000F5C6E" w:rsidRPr="006D72F4">
        <w:rPr>
          <w:rFonts w:ascii="Times New Roman" w:hAnsi="Times New Roman" w:cs="Times New Roman"/>
          <w:sz w:val="24"/>
          <w:szCs w:val="24"/>
          <w:lang w:val="en-GB"/>
        </w:rPr>
        <w:t xml:space="preserve"> (see </w:t>
      </w:r>
      <w:r w:rsidR="004804F8" w:rsidRPr="006D72F4">
        <w:rPr>
          <w:rFonts w:ascii="Times New Roman" w:hAnsi="Times New Roman" w:cs="Times New Roman"/>
          <w:sz w:val="24"/>
          <w:szCs w:val="24"/>
          <w:lang w:val="en-GB"/>
        </w:rPr>
        <w:t>Section IV</w:t>
      </w:r>
      <w:r w:rsidR="000F5C6E" w:rsidRPr="006D72F4">
        <w:rPr>
          <w:rFonts w:ascii="Times New Roman" w:hAnsi="Times New Roman" w:cs="Times New Roman"/>
          <w:sz w:val="24"/>
          <w:szCs w:val="24"/>
          <w:lang w:val="en-GB"/>
        </w:rPr>
        <w:t xml:space="preserve">, in </w:t>
      </w:r>
      <w:r w:rsidR="00BC7B45" w:rsidRPr="006D72F4">
        <w:rPr>
          <w:rFonts w:ascii="Times New Roman" w:hAnsi="Times New Roman" w:cs="Times New Roman"/>
          <w:sz w:val="24"/>
          <w:szCs w:val="24"/>
          <w:lang w:val="en-GB"/>
        </w:rPr>
        <w:t>A</w:t>
      </w:r>
      <w:r w:rsidR="000F5C6E" w:rsidRPr="006D72F4">
        <w:rPr>
          <w:rFonts w:ascii="Times New Roman" w:hAnsi="Times New Roman" w:cs="Times New Roman"/>
          <w:sz w:val="24"/>
          <w:szCs w:val="24"/>
          <w:lang w:val="en-GB"/>
        </w:rPr>
        <w:t>ppendix)</w:t>
      </w:r>
      <w:r w:rsidR="00756E0A" w:rsidRPr="006D72F4">
        <w:rPr>
          <w:rFonts w:ascii="Times New Roman" w:hAnsi="Times New Roman" w:cs="Times New Roman"/>
          <w:sz w:val="24"/>
          <w:szCs w:val="24"/>
          <w:lang w:val="en-GB"/>
        </w:rPr>
        <w:t xml:space="preserve"> </w:t>
      </w:r>
      <w:r w:rsidR="009A4729" w:rsidRPr="006D72F4">
        <w:rPr>
          <w:rFonts w:ascii="Times New Roman" w:hAnsi="Times New Roman" w:cs="Times New Roman"/>
          <w:sz w:val="24"/>
          <w:szCs w:val="24"/>
          <w:lang w:val="en-GB"/>
        </w:rPr>
        <w:t xml:space="preserve">aimed to analyse </w:t>
      </w:r>
      <w:r w:rsidR="00756E0A" w:rsidRPr="006D72F4">
        <w:rPr>
          <w:rFonts w:ascii="Times New Roman" w:hAnsi="Times New Roman" w:cs="Times New Roman"/>
          <w:sz w:val="24"/>
          <w:szCs w:val="24"/>
          <w:lang w:val="en-GB"/>
        </w:rPr>
        <w:t>t</w:t>
      </w:r>
      <w:r w:rsidR="00B52326" w:rsidRPr="006D72F4">
        <w:rPr>
          <w:rFonts w:ascii="Times New Roman" w:hAnsi="Times New Roman" w:cs="Times New Roman"/>
          <w:sz w:val="24"/>
          <w:szCs w:val="24"/>
          <w:lang w:val="en-GB"/>
        </w:rPr>
        <w:t xml:space="preserve">he evaluators’ </w:t>
      </w:r>
      <w:r w:rsidR="00820017" w:rsidRPr="006D72F4">
        <w:rPr>
          <w:rFonts w:ascii="Times New Roman" w:hAnsi="Times New Roman" w:cs="Times New Roman"/>
          <w:sz w:val="24"/>
          <w:szCs w:val="24"/>
          <w:lang w:val="en-GB"/>
        </w:rPr>
        <w:t>overall</w:t>
      </w:r>
      <w:r w:rsidR="00B52326" w:rsidRPr="006D72F4">
        <w:rPr>
          <w:rFonts w:ascii="Times New Roman" w:hAnsi="Times New Roman" w:cs="Times New Roman"/>
          <w:sz w:val="24"/>
          <w:szCs w:val="24"/>
          <w:lang w:val="en-GB"/>
        </w:rPr>
        <w:t xml:space="preserve"> knowledge of </w:t>
      </w:r>
      <w:r w:rsidR="00820017" w:rsidRPr="006D72F4">
        <w:rPr>
          <w:rFonts w:ascii="Times New Roman" w:hAnsi="Times New Roman" w:cs="Times New Roman"/>
          <w:sz w:val="24"/>
          <w:szCs w:val="24"/>
          <w:lang w:val="en-GB"/>
        </w:rPr>
        <w:t>both documents</w:t>
      </w:r>
      <w:r w:rsidR="00756E0A" w:rsidRPr="006D72F4">
        <w:rPr>
          <w:rFonts w:ascii="Times New Roman" w:hAnsi="Times New Roman" w:cs="Times New Roman"/>
          <w:sz w:val="24"/>
          <w:szCs w:val="24"/>
          <w:lang w:val="en-GB"/>
        </w:rPr>
        <w:t>, which</w:t>
      </w:r>
      <w:r w:rsidR="00B52326" w:rsidRPr="006D72F4">
        <w:rPr>
          <w:rFonts w:ascii="Times New Roman" w:hAnsi="Times New Roman" w:cs="Times New Roman"/>
          <w:sz w:val="24"/>
          <w:szCs w:val="24"/>
          <w:lang w:val="en-GB"/>
        </w:rPr>
        <w:t xml:space="preserve"> was </w:t>
      </w:r>
      <w:r w:rsidR="002A313A" w:rsidRPr="006D72F4">
        <w:rPr>
          <w:rFonts w:ascii="Times New Roman" w:hAnsi="Times New Roman" w:cs="Times New Roman"/>
          <w:sz w:val="24"/>
          <w:szCs w:val="24"/>
          <w:lang w:val="en-GB"/>
        </w:rPr>
        <w:t>explored by means of 10-point Likert scales (10 being the maximum knowledge and 0 the lack of knowledge).</w:t>
      </w:r>
      <w:r w:rsidR="00B52326" w:rsidRPr="006D72F4">
        <w:rPr>
          <w:rFonts w:ascii="Times New Roman" w:hAnsi="Times New Roman" w:cs="Times New Roman"/>
          <w:sz w:val="24"/>
          <w:szCs w:val="24"/>
          <w:lang w:val="en-GB"/>
        </w:rPr>
        <w:t xml:space="preserve"> </w:t>
      </w:r>
    </w:p>
    <w:p w14:paraId="57E0A805" w14:textId="2E39F852" w:rsidR="00B52326" w:rsidRPr="006D72F4" w:rsidRDefault="002A313A" w:rsidP="00EB0CE2">
      <w:pPr>
        <w:spacing w:after="0" w:line="240" w:lineRule="auto"/>
        <w:ind w:firstLine="708"/>
        <w:jc w:val="both"/>
        <w:rPr>
          <w:rFonts w:ascii="Times New Roman" w:hAnsi="Times New Roman" w:cs="Times New Roman"/>
          <w:strike/>
          <w:sz w:val="24"/>
          <w:szCs w:val="24"/>
          <w:lang w:val="en-GB"/>
        </w:rPr>
      </w:pPr>
      <w:r w:rsidRPr="006D72F4">
        <w:rPr>
          <w:rFonts w:ascii="Times New Roman" w:hAnsi="Times New Roman" w:cs="Times New Roman"/>
          <w:sz w:val="24"/>
          <w:szCs w:val="24"/>
          <w:lang w:val="en-GB"/>
        </w:rPr>
        <w:t xml:space="preserve">Figure </w:t>
      </w:r>
      <w:r w:rsidR="00AF6D87" w:rsidRPr="006D72F4">
        <w:rPr>
          <w:rFonts w:ascii="Times New Roman" w:hAnsi="Times New Roman" w:cs="Times New Roman"/>
          <w:sz w:val="24"/>
          <w:szCs w:val="24"/>
          <w:highlight w:val="yellow"/>
          <w:lang w:val="en-GB"/>
        </w:rPr>
        <w:t>X</w:t>
      </w:r>
      <w:r w:rsidRPr="006D72F4">
        <w:rPr>
          <w:rFonts w:ascii="Times New Roman" w:hAnsi="Times New Roman" w:cs="Times New Roman"/>
          <w:sz w:val="24"/>
          <w:szCs w:val="24"/>
          <w:lang w:val="en-GB"/>
        </w:rPr>
        <w:t xml:space="preserve"> shows </w:t>
      </w:r>
      <w:r w:rsidR="00057635" w:rsidRPr="006D72F4">
        <w:rPr>
          <w:rFonts w:ascii="Times New Roman" w:hAnsi="Times New Roman" w:cs="Times New Roman"/>
          <w:sz w:val="24"/>
          <w:szCs w:val="24"/>
          <w:lang w:val="en-GB"/>
        </w:rPr>
        <w:t xml:space="preserve">that </w:t>
      </w:r>
      <w:r w:rsidR="00416A52" w:rsidRPr="006D72F4">
        <w:rPr>
          <w:rFonts w:ascii="Times New Roman" w:hAnsi="Times New Roman" w:cs="Times New Roman"/>
          <w:sz w:val="24"/>
          <w:szCs w:val="24"/>
          <w:lang w:val="en-GB"/>
        </w:rPr>
        <w:t xml:space="preserve">evaluators are more familiar with the CEFR than with the CV. </w:t>
      </w:r>
      <w:r w:rsidR="00994779" w:rsidRPr="006D72F4">
        <w:rPr>
          <w:rFonts w:ascii="Times New Roman" w:hAnsi="Times New Roman" w:cs="Times New Roman"/>
          <w:sz w:val="24"/>
          <w:szCs w:val="24"/>
          <w:lang w:val="en-GB"/>
        </w:rPr>
        <w:t xml:space="preserve">In fact, </w:t>
      </w:r>
      <w:r w:rsidR="00F856E3" w:rsidRPr="006D72F4">
        <w:rPr>
          <w:rFonts w:ascii="Times New Roman" w:hAnsi="Times New Roman" w:cs="Times New Roman"/>
          <w:sz w:val="24"/>
          <w:szCs w:val="24"/>
          <w:lang w:val="en-GB"/>
        </w:rPr>
        <w:t xml:space="preserve">22.73% </w:t>
      </w:r>
      <w:r w:rsidR="00994779" w:rsidRPr="006D72F4">
        <w:rPr>
          <w:rFonts w:ascii="Times New Roman" w:hAnsi="Times New Roman" w:cs="Times New Roman"/>
          <w:sz w:val="24"/>
          <w:szCs w:val="24"/>
          <w:lang w:val="en-GB"/>
        </w:rPr>
        <w:t xml:space="preserve">of </w:t>
      </w:r>
      <w:r w:rsidR="00F856E3" w:rsidRPr="006D72F4">
        <w:rPr>
          <w:rFonts w:ascii="Times New Roman" w:hAnsi="Times New Roman" w:cs="Times New Roman"/>
          <w:sz w:val="24"/>
          <w:szCs w:val="24"/>
          <w:lang w:val="en-GB"/>
        </w:rPr>
        <w:t xml:space="preserve">the </w:t>
      </w:r>
      <w:r w:rsidR="00994779" w:rsidRPr="006D72F4">
        <w:rPr>
          <w:rFonts w:ascii="Times New Roman" w:hAnsi="Times New Roman" w:cs="Times New Roman"/>
          <w:sz w:val="24"/>
          <w:szCs w:val="24"/>
          <w:lang w:val="en-GB"/>
        </w:rPr>
        <w:t xml:space="preserve">evaluators rated their </w:t>
      </w:r>
      <w:r w:rsidR="00FE09A1" w:rsidRPr="006D72F4">
        <w:rPr>
          <w:rFonts w:ascii="Times New Roman" w:hAnsi="Times New Roman" w:cs="Times New Roman"/>
          <w:sz w:val="24"/>
          <w:szCs w:val="24"/>
          <w:lang w:val="en-GB"/>
        </w:rPr>
        <w:t xml:space="preserve">knowledge of </w:t>
      </w:r>
      <w:r w:rsidR="00994779" w:rsidRPr="006D72F4">
        <w:rPr>
          <w:rFonts w:ascii="Times New Roman" w:hAnsi="Times New Roman" w:cs="Times New Roman"/>
          <w:sz w:val="24"/>
          <w:szCs w:val="24"/>
          <w:lang w:val="en-GB"/>
        </w:rPr>
        <w:t>the CEFR as excellent</w:t>
      </w:r>
      <w:r w:rsidR="00416A52" w:rsidRPr="006D72F4">
        <w:rPr>
          <w:rFonts w:ascii="Times New Roman" w:hAnsi="Times New Roman" w:cs="Times New Roman"/>
          <w:sz w:val="24"/>
          <w:szCs w:val="24"/>
          <w:lang w:val="en-GB"/>
        </w:rPr>
        <w:t xml:space="preserve"> </w:t>
      </w:r>
      <w:r w:rsidR="00994779" w:rsidRPr="006D72F4">
        <w:rPr>
          <w:rFonts w:ascii="Times New Roman" w:hAnsi="Times New Roman" w:cs="Times New Roman"/>
          <w:sz w:val="24"/>
          <w:szCs w:val="24"/>
          <w:lang w:val="en-GB"/>
        </w:rPr>
        <w:t xml:space="preserve">(9 or 10 on the Likert scale) </w:t>
      </w:r>
      <w:r w:rsidR="00F856E3" w:rsidRPr="006D72F4">
        <w:rPr>
          <w:rFonts w:ascii="Times New Roman" w:hAnsi="Times New Roman" w:cs="Times New Roman"/>
          <w:sz w:val="24"/>
          <w:szCs w:val="24"/>
          <w:lang w:val="en-GB"/>
        </w:rPr>
        <w:t>and 63.64% rated it as</w:t>
      </w:r>
      <w:r w:rsidR="00994779" w:rsidRPr="006D72F4">
        <w:rPr>
          <w:rFonts w:ascii="Times New Roman" w:hAnsi="Times New Roman" w:cs="Times New Roman"/>
          <w:sz w:val="24"/>
          <w:szCs w:val="24"/>
          <w:lang w:val="en-GB"/>
        </w:rPr>
        <w:t xml:space="preserve"> advanced (7 or 8 on the Likert scale)</w:t>
      </w:r>
      <w:r w:rsidR="00F856E3" w:rsidRPr="006D72F4">
        <w:rPr>
          <w:rFonts w:ascii="Times New Roman" w:hAnsi="Times New Roman" w:cs="Times New Roman"/>
          <w:sz w:val="24"/>
          <w:szCs w:val="24"/>
          <w:lang w:val="en-GB"/>
        </w:rPr>
        <w:t xml:space="preserve">, whereas only 6.88% of them considered their </w:t>
      </w:r>
      <w:r w:rsidR="00FE09A1" w:rsidRPr="006D72F4">
        <w:rPr>
          <w:rFonts w:ascii="Times New Roman" w:hAnsi="Times New Roman" w:cs="Times New Roman"/>
          <w:sz w:val="24"/>
          <w:szCs w:val="24"/>
          <w:lang w:val="en-GB"/>
        </w:rPr>
        <w:t>knowledge</w:t>
      </w:r>
      <w:r w:rsidR="00F856E3" w:rsidRPr="006D72F4">
        <w:rPr>
          <w:rFonts w:ascii="Times New Roman" w:hAnsi="Times New Roman" w:cs="Times New Roman"/>
          <w:sz w:val="24"/>
          <w:szCs w:val="24"/>
          <w:lang w:val="en-GB"/>
        </w:rPr>
        <w:t xml:space="preserve"> of the </w:t>
      </w:r>
      <w:r w:rsidR="00FE09A1" w:rsidRPr="006D72F4">
        <w:rPr>
          <w:rFonts w:ascii="Times New Roman" w:hAnsi="Times New Roman" w:cs="Times New Roman"/>
          <w:sz w:val="24"/>
          <w:szCs w:val="24"/>
          <w:lang w:val="en-GB"/>
        </w:rPr>
        <w:t>CV</w:t>
      </w:r>
      <w:r w:rsidR="00F856E3" w:rsidRPr="006D72F4">
        <w:rPr>
          <w:rFonts w:ascii="Times New Roman" w:hAnsi="Times New Roman" w:cs="Times New Roman"/>
          <w:sz w:val="24"/>
          <w:szCs w:val="24"/>
          <w:lang w:val="en-GB"/>
        </w:rPr>
        <w:t xml:space="preserve"> as excellent and 25% of them as advanced</w:t>
      </w:r>
      <w:r w:rsidR="00FE09A1" w:rsidRPr="006D72F4">
        <w:rPr>
          <w:rFonts w:ascii="Times New Roman" w:hAnsi="Times New Roman" w:cs="Times New Roman"/>
          <w:sz w:val="24"/>
          <w:szCs w:val="24"/>
          <w:lang w:val="en-GB"/>
        </w:rPr>
        <w:t>.</w:t>
      </w:r>
      <w:r w:rsidR="00994779" w:rsidRPr="006D72F4">
        <w:rPr>
          <w:rFonts w:ascii="Times New Roman" w:hAnsi="Times New Roman" w:cs="Times New Roman"/>
          <w:sz w:val="24"/>
          <w:szCs w:val="24"/>
          <w:lang w:val="en-GB"/>
        </w:rPr>
        <w:t xml:space="preserve"> </w:t>
      </w:r>
      <w:r w:rsidR="00BE7620" w:rsidRPr="006D72F4">
        <w:rPr>
          <w:rFonts w:ascii="Times New Roman" w:hAnsi="Times New Roman" w:cs="Times New Roman"/>
          <w:sz w:val="24"/>
          <w:szCs w:val="24"/>
          <w:lang w:val="en-GB"/>
        </w:rPr>
        <w:t xml:space="preserve">Perceived lack of knowledge of </w:t>
      </w:r>
      <w:r w:rsidR="00F51B51" w:rsidRPr="006D72F4">
        <w:rPr>
          <w:rFonts w:ascii="Times New Roman" w:hAnsi="Times New Roman" w:cs="Times New Roman"/>
          <w:sz w:val="24"/>
          <w:szCs w:val="24"/>
          <w:lang w:val="en-GB"/>
        </w:rPr>
        <w:t>the CV</w:t>
      </w:r>
      <w:r w:rsidR="00BE7620" w:rsidRPr="006D72F4">
        <w:rPr>
          <w:rFonts w:ascii="Times New Roman" w:hAnsi="Times New Roman" w:cs="Times New Roman"/>
          <w:sz w:val="24"/>
          <w:szCs w:val="24"/>
          <w:lang w:val="en-GB"/>
        </w:rPr>
        <w:t xml:space="preserve"> is also shown in </w:t>
      </w:r>
      <w:r w:rsidRPr="006D72F4">
        <w:rPr>
          <w:rFonts w:ascii="Times New Roman" w:hAnsi="Times New Roman" w:cs="Times New Roman"/>
          <w:sz w:val="24"/>
          <w:szCs w:val="24"/>
          <w:lang w:val="en-GB"/>
        </w:rPr>
        <w:t xml:space="preserve">Figure </w:t>
      </w:r>
      <w:r w:rsidR="00F51B51" w:rsidRPr="006D72F4">
        <w:rPr>
          <w:rFonts w:ascii="Times New Roman" w:hAnsi="Times New Roman" w:cs="Times New Roman"/>
          <w:sz w:val="24"/>
          <w:szCs w:val="24"/>
          <w:lang w:val="en-GB"/>
        </w:rPr>
        <w:t>X</w:t>
      </w:r>
      <w:r w:rsidR="00BE7620" w:rsidRPr="006D72F4">
        <w:rPr>
          <w:rFonts w:ascii="Times New Roman" w:hAnsi="Times New Roman" w:cs="Times New Roman"/>
          <w:sz w:val="24"/>
          <w:szCs w:val="24"/>
          <w:lang w:val="en-GB"/>
        </w:rPr>
        <w:t xml:space="preserve">. As illustrated, </w:t>
      </w:r>
      <w:r w:rsidR="00E2027E" w:rsidRPr="006D72F4">
        <w:rPr>
          <w:rFonts w:ascii="Times New Roman" w:hAnsi="Times New Roman" w:cs="Times New Roman"/>
          <w:sz w:val="24"/>
          <w:szCs w:val="24"/>
          <w:lang w:val="en-GB"/>
        </w:rPr>
        <w:t>25% of the</w:t>
      </w:r>
      <w:r w:rsidR="00BE7620" w:rsidRPr="006D72F4">
        <w:rPr>
          <w:rFonts w:ascii="Times New Roman" w:hAnsi="Times New Roman" w:cs="Times New Roman"/>
          <w:sz w:val="24"/>
          <w:szCs w:val="24"/>
          <w:lang w:val="en-GB"/>
        </w:rPr>
        <w:t xml:space="preserve"> raters admit</w:t>
      </w:r>
      <w:r w:rsidR="009A4729" w:rsidRPr="006D72F4">
        <w:rPr>
          <w:rFonts w:ascii="Times New Roman" w:hAnsi="Times New Roman" w:cs="Times New Roman"/>
          <w:sz w:val="24"/>
          <w:szCs w:val="24"/>
          <w:lang w:val="en-GB"/>
        </w:rPr>
        <w:t>ted</w:t>
      </w:r>
      <w:r w:rsidR="00BE7620" w:rsidRPr="006D72F4">
        <w:rPr>
          <w:rFonts w:ascii="Times New Roman" w:hAnsi="Times New Roman" w:cs="Times New Roman"/>
          <w:sz w:val="24"/>
          <w:szCs w:val="24"/>
          <w:lang w:val="en-GB"/>
        </w:rPr>
        <w:t xml:space="preserve"> not knowing anything about the CV </w:t>
      </w:r>
      <w:r w:rsidR="00E2027E" w:rsidRPr="006D72F4">
        <w:rPr>
          <w:rFonts w:ascii="Times New Roman" w:hAnsi="Times New Roman" w:cs="Times New Roman"/>
          <w:sz w:val="24"/>
          <w:szCs w:val="24"/>
          <w:lang w:val="en-GB"/>
        </w:rPr>
        <w:t>(1 on the Likert scale) and 18.18%</w:t>
      </w:r>
      <w:r w:rsidR="00BE7620" w:rsidRPr="006D72F4">
        <w:rPr>
          <w:rFonts w:ascii="Times New Roman" w:hAnsi="Times New Roman" w:cs="Times New Roman"/>
          <w:sz w:val="24"/>
          <w:szCs w:val="24"/>
          <w:lang w:val="en-GB"/>
        </w:rPr>
        <w:t xml:space="preserve"> report</w:t>
      </w:r>
      <w:r w:rsidR="009A4729" w:rsidRPr="006D72F4">
        <w:rPr>
          <w:rFonts w:ascii="Times New Roman" w:hAnsi="Times New Roman" w:cs="Times New Roman"/>
          <w:sz w:val="24"/>
          <w:szCs w:val="24"/>
          <w:lang w:val="en-GB"/>
        </w:rPr>
        <w:t>ed their knowledge</w:t>
      </w:r>
      <w:r w:rsidR="00BE7620" w:rsidRPr="006D72F4">
        <w:rPr>
          <w:rFonts w:ascii="Times New Roman" w:hAnsi="Times New Roman" w:cs="Times New Roman"/>
          <w:sz w:val="24"/>
          <w:szCs w:val="24"/>
          <w:lang w:val="en-GB"/>
        </w:rPr>
        <w:t xml:space="preserve"> as insufficient (</w:t>
      </w:r>
      <w:r w:rsidR="00E2027E" w:rsidRPr="006D72F4">
        <w:rPr>
          <w:rFonts w:ascii="Times New Roman" w:hAnsi="Times New Roman" w:cs="Times New Roman"/>
          <w:sz w:val="24"/>
          <w:szCs w:val="24"/>
          <w:lang w:val="en-GB"/>
        </w:rPr>
        <w:t>2, 3 or 4 on the Likert scale).</w:t>
      </w:r>
      <w:r w:rsidR="00BE7620" w:rsidRPr="006D72F4">
        <w:rPr>
          <w:rFonts w:ascii="Times New Roman" w:hAnsi="Times New Roman" w:cs="Times New Roman"/>
          <w:sz w:val="24"/>
          <w:szCs w:val="24"/>
          <w:lang w:val="en-GB"/>
        </w:rPr>
        <w:t xml:space="preserve"> </w:t>
      </w:r>
    </w:p>
    <w:p w14:paraId="609ABE93" w14:textId="77777777" w:rsidR="00B52326" w:rsidRPr="00F15F8D" w:rsidRDefault="00B52326">
      <w:pPr>
        <w:rPr>
          <w:rFonts w:asciiTheme="majorHAnsi" w:hAnsiTheme="majorHAnsi" w:cstheme="majorHAnsi"/>
          <w:lang w:val="en-GB"/>
        </w:rPr>
      </w:pPr>
    </w:p>
    <w:p w14:paraId="2B8E09C9" w14:textId="77777777" w:rsidR="00B52326" w:rsidRPr="00F15F8D" w:rsidRDefault="00B52326">
      <w:pPr>
        <w:rPr>
          <w:rFonts w:asciiTheme="majorHAnsi" w:hAnsiTheme="majorHAnsi" w:cstheme="majorHAnsi"/>
          <w:lang w:val="en-GB"/>
        </w:rPr>
      </w:pPr>
      <w:r w:rsidRPr="00F15F8D">
        <w:rPr>
          <w:rFonts w:asciiTheme="majorHAnsi" w:hAnsiTheme="majorHAnsi" w:cstheme="majorHAnsi"/>
          <w:noProof/>
          <w:lang w:eastAsia="es-ES"/>
        </w:rPr>
        <w:drawing>
          <wp:inline distT="0" distB="0" distL="0" distR="0" wp14:anchorId="0BB4148C" wp14:editId="46C67E71">
            <wp:extent cx="5400040" cy="2773490"/>
            <wp:effectExtent l="0" t="0" r="10160" b="2730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31A2B95" w14:textId="77777777" w:rsidR="00B52326" w:rsidRPr="00EB0CE2" w:rsidRDefault="00120FED">
      <w:pPr>
        <w:rPr>
          <w:rFonts w:ascii="Times New Roman" w:hAnsi="Times New Roman" w:cs="Times New Roman"/>
          <w:sz w:val="20"/>
          <w:szCs w:val="20"/>
          <w:lang w:val="en-GB"/>
        </w:rPr>
      </w:pPr>
      <w:r w:rsidRPr="00EB0CE2">
        <w:rPr>
          <w:rFonts w:ascii="Times New Roman" w:hAnsi="Times New Roman" w:cs="Times New Roman"/>
          <w:sz w:val="20"/>
          <w:szCs w:val="20"/>
          <w:lang w:val="en-GB"/>
        </w:rPr>
        <w:t>Figure 2. Evaluators’ perceived degree of knowledge of the CEFR and the CV.</w:t>
      </w:r>
    </w:p>
    <w:p w14:paraId="381054B1" w14:textId="6F577313" w:rsidR="003E75A9" w:rsidRPr="00EB0CE2" w:rsidRDefault="00561069"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The </w:t>
      </w:r>
      <w:r w:rsidR="00313514" w:rsidRPr="00EB0CE2">
        <w:rPr>
          <w:rFonts w:ascii="Times New Roman" w:hAnsi="Times New Roman" w:cs="Times New Roman"/>
          <w:sz w:val="24"/>
          <w:szCs w:val="24"/>
          <w:lang w:val="en-GB"/>
        </w:rPr>
        <w:t>limited</w:t>
      </w:r>
      <w:r w:rsidRPr="00EB0CE2">
        <w:rPr>
          <w:rFonts w:ascii="Times New Roman" w:hAnsi="Times New Roman" w:cs="Times New Roman"/>
          <w:sz w:val="24"/>
          <w:szCs w:val="24"/>
          <w:lang w:val="en-GB"/>
        </w:rPr>
        <w:t xml:space="preserve"> knowledge of the CV </w:t>
      </w:r>
      <w:r w:rsidR="00F73A69" w:rsidRPr="00EB0CE2">
        <w:rPr>
          <w:rFonts w:ascii="Times New Roman" w:hAnsi="Times New Roman" w:cs="Times New Roman"/>
          <w:sz w:val="24"/>
          <w:szCs w:val="24"/>
          <w:lang w:val="en-GB"/>
        </w:rPr>
        <w:t>was also revealed when</w:t>
      </w:r>
      <w:r w:rsidR="002A6446" w:rsidRPr="00EB0CE2">
        <w:rPr>
          <w:rFonts w:ascii="Times New Roman" w:hAnsi="Times New Roman" w:cs="Times New Roman"/>
          <w:sz w:val="24"/>
          <w:szCs w:val="24"/>
          <w:lang w:val="en-GB"/>
        </w:rPr>
        <w:t xml:space="preserve"> </w:t>
      </w:r>
      <w:r w:rsidR="00F73A69" w:rsidRPr="00EB0CE2">
        <w:rPr>
          <w:rFonts w:ascii="Times New Roman" w:hAnsi="Times New Roman" w:cs="Times New Roman"/>
          <w:sz w:val="24"/>
          <w:szCs w:val="24"/>
          <w:lang w:val="en-GB"/>
        </w:rPr>
        <w:t xml:space="preserve">52.3% of the raters </w:t>
      </w:r>
      <w:r w:rsidR="003E75A9" w:rsidRPr="00EB0CE2">
        <w:rPr>
          <w:rFonts w:ascii="Times New Roman" w:hAnsi="Times New Roman" w:cs="Times New Roman"/>
          <w:sz w:val="24"/>
          <w:szCs w:val="24"/>
          <w:lang w:val="en-GB"/>
        </w:rPr>
        <w:t>admit</w:t>
      </w:r>
      <w:r w:rsidR="00084DF8" w:rsidRPr="00EB0CE2">
        <w:rPr>
          <w:rFonts w:ascii="Times New Roman" w:hAnsi="Times New Roman" w:cs="Times New Roman"/>
          <w:sz w:val="24"/>
          <w:szCs w:val="24"/>
          <w:lang w:val="en-GB"/>
        </w:rPr>
        <w:t>ed</w:t>
      </w:r>
      <w:r w:rsidR="003E75A9" w:rsidRPr="00EB0CE2">
        <w:rPr>
          <w:rFonts w:ascii="Times New Roman" w:hAnsi="Times New Roman" w:cs="Times New Roman"/>
          <w:sz w:val="24"/>
          <w:szCs w:val="24"/>
          <w:lang w:val="en-GB"/>
        </w:rPr>
        <w:t xml:space="preserve"> </w:t>
      </w:r>
      <w:r w:rsidR="00F73A69" w:rsidRPr="00EB0CE2">
        <w:rPr>
          <w:rFonts w:ascii="Times New Roman" w:hAnsi="Times New Roman" w:cs="Times New Roman"/>
          <w:sz w:val="24"/>
          <w:szCs w:val="24"/>
          <w:lang w:val="en-GB"/>
        </w:rPr>
        <w:t xml:space="preserve">they do not know the differences between the CEFR and the CV or indicate that such knowledge is limited. </w:t>
      </w:r>
      <w:r w:rsidR="003E75A9" w:rsidRPr="00EB0CE2">
        <w:rPr>
          <w:rFonts w:ascii="Times New Roman" w:hAnsi="Times New Roman" w:cs="Times New Roman"/>
          <w:sz w:val="24"/>
          <w:szCs w:val="24"/>
          <w:lang w:val="en-GB"/>
        </w:rPr>
        <w:t xml:space="preserve">Only 18.2% of the raters </w:t>
      </w:r>
      <w:r w:rsidR="00084DF8" w:rsidRPr="00EB0CE2">
        <w:rPr>
          <w:rFonts w:ascii="Times New Roman" w:hAnsi="Times New Roman" w:cs="Times New Roman"/>
          <w:sz w:val="24"/>
          <w:szCs w:val="24"/>
          <w:lang w:val="en-GB"/>
        </w:rPr>
        <w:t xml:space="preserve">rated that knowledge as </w:t>
      </w:r>
      <w:r w:rsidR="003E75A9" w:rsidRPr="00EB0CE2">
        <w:rPr>
          <w:rFonts w:ascii="Times New Roman" w:hAnsi="Times New Roman" w:cs="Times New Roman"/>
          <w:sz w:val="24"/>
          <w:szCs w:val="24"/>
          <w:lang w:val="en-GB"/>
        </w:rPr>
        <w:t xml:space="preserve">advanced </w:t>
      </w:r>
      <w:r w:rsidR="00084DF8" w:rsidRPr="00EB0CE2">
        <w:rPr>
          <w:rFonts w:ascii="Times New Roman" w:hAnsi="Times New Roman" w:cs="Times New Roman"/>
          <w:sz w:val="24"/>
          <w:szCs w:val="24"/>
          <w:lang w:val="en-GB"/>
        </w:rPr>
        <w:t>and</w:t>
      </w:r>
      <w:r w:rsidR="003E75A9" w:rsidRPr="00EB0CE2">
        <w:rPr>
          <w:rFonts w:ascii="Times New Roman" w:hAnsi="Times New Roman" w:cs="Times New Roman"/>
          <w:sz w:val="24"/>
          <w:szCs w:val="24"/>
          <w:lang w:val="en-GB"/>
        </w:rPr>
        <w:t xml:space="preserve"> 13.6% </w:t>
      </w:r>
      <w:r w:rsidR="00084DF8" w:rsidRPr="00EB0CE2">
        <w:rPr>
          <w:rFonts w:ascii="Times New Roman" w:hAnsi="Times New Roman" w:cs="Times New Roman"/>
          <w:sz w:val="24"/>
          <w:szCs w:val="24"/>
          <w:lang w:val="en-GB"/>
        </w:rPr>
        <w:t xml:space="preserve">of them as </w:t>
      </w:r>
      <w:r w:rsidR="003E75A9" w:rsidRPr="00EB0CE2">
        <w:rPr>
          <w:rFonts w:ascii="Times New Roman" w:hAnsi="Times New Roman" w:cs="Times New Roman"/>
          <w:sz w:val="24"/>
          <w:szCs w:val="24"/>
          <w:lang w:val="en-GB"/>
        </w:rPr>
        <w:t>excellent</w:t>
      </w:r>
      <w:r w:rsidR="00084DF8" w:rsidRPr="00EB0CE2">
        <w:rPr>
          <w:rFonts w:ascii="Times New Roman" w:hAnsi="Times New Roman" w:cs="Times New Roman"/>
          <w:sz w:val="24"/>
          <w:szCs w:val="24"/>
          <w:lang w:val="en-GB"/>
        </w:rPr>
        <w:t>.</w:t>
      </w:r>
    </w:p>
    <w:p w14:paraId="0D9BF66E" w14:textId="436CABAB" w:rsidR="00733DC9" w:rsidRPr="00EB0CE2" w:rsidRDefault="00733DC9"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When asked to specify the differences</w:t>
      </w:r>
      <w:r w:rsidR="00273A51" w:rsidRPr="00EB0CE2">
        <w:rPr>
          <w:rFonts w:ascii="Times New Roman" w:hAnsi="Times New Roman" w:cs="Times New Roman"/>
          <w:sz w:val="24"/>
          <w:szCs w:val="24"/>
          <w:lang w:val="en-GB"/>
        </w:rPr>
        <w:t xml:space="preserve"> between both documents</w:t>
      </w:r>
      <w:r w:rsidRPr="00EB0CE2">
        <w:rPr>
          <w:rFonts w:ascii="Times New Roman" w:hAnsi="Times New Roman" w:cs="Times New Roman"/>
          <w:sz w:val="24"/>
          <w:szCs w:val="24"/>
          <w:lang w:val="en-GB"/>
        </w:rPr>
        <w:t xml:space="preserve">, </w:t>
      </w:r>
      <w:r w:rsidR="00273A51" w:rsidRPr="00EB0CE2">
        <w:rPr>
          <w:rFonts w:ascii="Times New Roman" w:hAnsi="Times New Roman" w:cs="Times New Roman"/>
          <w:sz w:val="24"/>
          <w:szCs w:val="24"/>
          <w:lang w:val="en-GB"/>
        </w:rPr>
        <w:t>the evaluators</w:t>
      </w:r>
      <w:r w:rsidRPr="00EB0CE2">
        <w:rPr>
          <w:rFonts w:ascii="Times New Roman" w:hAnsi="Times New Roman" w:cs="Times New Roman"/>
          <w:sz w:val="24"/>
          <w:szCs w:val="24"/>
          <w:lang w:val="en-GB"/>
        </w:rPr>
        <w:t xml:space="preserve"> who answer</w:t>
      </w:r>
      <w:r w:rsidR="00273A51" w:rsidRPr="00EB0CE2">
        <w:rPr>
          <w:rFonts w:ascii="Times New Roman" w:hAnsi="Times New Roman" w:cs="Times New Roman"/>
          <w:sz w:val="24"/>
          <w:szCs w:val="24"/>
          <w:lang w:val="en-GB"/>
        </w:rPr>
        <w:t>ed this question mainly focused</w:t>
      </w:r>
      <w:r w:rsidRPr="00EB0CE2">
        <w:rPr>
          <w:rFonts w:ascii="Times New Roman" w:hAnsi="Times New Roman" w:cs="Times New Roman"/>
          <w:sz w:val="24"/>
          <w:szCs w:val="24"/>
          <w:lang w:val="en-GB"/>
        </w:rPr>
        <w:t xml:space="preserve"> </w:t>
      </w:r>
      <w:r w:rsidR="00CD14AD" w:rsidRPr="00EB0CE2">
        <w:rPr>
          <w:rFonts w:ascii="Times New Roman" w:hAnsi="Times New Roman" w:cs="Times New Roman"/>
          <w:sz w:val="24"/>
          <w:szCs w:val="24"/>
          <w:lang w:val="en-GB"/>
        </w:rPr>
        <w:t xml:space="preserve">on </w:t>
      </w:r>
      <w:r w:rsidRPr="00EB0CE2">
        <w:rPr>
          <w:rFonts w:ascii="Times New Roman" w:hAnsi="Times New Roman" w:cs="Times New Roman"/>
          <w:sz w:val="24"/>
          <w:szCs w:val="24"/>
          <w:lang w:val="en-GB"/>
        </w:rPr>
        <w:t>the existence of new descriptors in the CV (a limited number of evaluators specif</w:t>
      </w:r>
      <w:r w:rsidR="00273A51" w:rsidRPr="00EB0CE2">
        <w:rPr>
          <w:rFonts w:ascii="Times New Roman" w:hAnsi="Times New Roman" w:cs="Times New Roman"/>
          <w:sz w:val="24"/>
          <w:szCs w:val="24"/>
          <w:lang w:val="en-GB"/>
        </w:rPr>
        <w:t>ied</w:t>
      </w:r>
      <w:r w:rsidRPr="00EB0CE2">
        <w:rPr>
          <w:rFonts w:ascii="Times New Roman" w:hAnsi="Times New Roman" w:cs="Times New Roman"/>
          <w:sz w:val="24"/>
          <w:szCs w:val="24"/>
          <w:lang w:val="en-GB"/>
        </w:rPr>
        <w:t xml:space="preserve"> new descriptors in the lowest and highest levels). The other aspects mentioned </w:t>
      </w:r>
      <w:r w:rsidR="00273A51" w:rsidRPr="00EB0CE2">
        <w:rPr>
          <w:rFonts w:ascii="Times New Roman" w:hAnsi="Times New Roman" w:cs="Times New Roman"/>
          <w:sz w:val="24"/>
          <w:szCs w:val="24"/>
          <w:lang w:val="en-GB"/>
        </w:rPr>
        <w:t>were</w:t>
      </w:r>
      <w:r w:rsidRPr="00EB0CE2">
        <w:rPr>
          <w:rFonts w:ascii="Times New Roman" w:hAnsi="Times New Roman" w:cs="Times New Roman"/>
          <w:sz w:val="24"/>
          <w:szCs w:val="24"/>
          <w:lang w:val="en-GB"/>
        </w:rPr>
        <w:t xml:space="preserve"> mediation (and its descriptors), the focus on the plurilingual and pluricultural competence, the inclusion of descriptors for sign language, the </w:t>
      </w:r>
      <w:r w:rsidR="00CD14AD" w:rsidRPr="00EB0CE2">
        <w:rPr>
          <w:rFonts w:ascii="Times New Roman" w:hAnsi="Times New Roman" w:cs="Times New Roman"/>
          <w:sz w:val="24"/>
          <w:szCs w:val="24"/>
          <w:lang w:val="en-GB"/>
        </w:rPr>
        <w:t xml:space="preserve">updated notion </w:t>
      </w:r>
      <w:r w:rsidRPr="00EB0CE2">
        <w:rPr>
          <w:rFonts w:ascii="Times New Roman" w:hAnsi="Times New Roman" w:cs="Times New Roman"/>
          <w:sz w:val="24"/>
          <w:szCs w:val="24"/>
          <w:lang w:val="en-GB"/>
        </w:rPr>
        <w:t xml:space="preserve">of the native speaker and </w:t>
      </w:r>
      <w:r w:rsidR="00CD14AD" w:rsidRPr="00EB0CE2">
        <w:rPr>
          <w:rFonts w:ascii="Times New Roman" w:hAnsi="Times New Roman" w:cs="Times New Roman"/>
          <w:sz w:val="24"/>
          <w:szCs w:val="24"/>
          <w:lang w:val="en-GB"/>
        </w:rPr>
        <w:t xml:space="preserve">the new layout and more </w:t>
      </w:r>
      <w:r w:rsidRPr="00EB0CE2">
        <w:rPr>
          <w:rFonts w:ascii="Times New Roman" w:hAnsi="Times New Roman" w:cs="Times New Roman"/>
          <w:sz w:val="24"/>
          <w:szCs w:val="24"/>
          <w:lang w:val="en-GB"/>
        </w:rPr>
        <w:t>user-friendly version of the document.</w:t>
      </w:r>
      <w:r w:rsidR="002A6446" w:rsidRPr="00EB0CE2">
        <w:rPr>
          <w:rFonts w:ascii="Times New Roman" w:hAnsi="Times New Roman" w:cs="Times New Roman"/>
          <w:sz w:val="24"/>
          <w:szCs w:val="24"/>
          <w:lang w:val="en-GB"/>
        </w:rPr>
        <w:t xml:space="preserve"> As shown, results suggest, in line with other studies (Díez-Bedmar &amp; Byram, 2019; Fernández-Álvarez &amp; García-Hernández, 2022), that there is a need to enhance </w:t>
      </w:r>
      <w:r w:rsidR="00C77A8F" w:rsidRPr="00EB0CE2">
        <w:rPr>
          <w:rFonts w:ascii="Times New Roman" w:hAnsi="Times New Roman" w:cs="Times New Roman"/>
          <w:sz w:val="24"/>
          <w:szCs w:val="24"/>
          <w:lang w:val="en-GB"/>
        </w:rPr>
        <w:t>raters’ training on CV-related aspects.</w:t>
      </w:r>
      <w:r w:rsidR="002A6446" w:rsidRPr="00EB0CE2">
        <w:rPr>
          <w:rFonts w:ascii="Times New Roman" w:hAnsi="Times New Roman" w:cs="Times New Roman"/>
          <w:sz w:val="24"/>
          <w:szCs w:val="24"/>
          <w:lang w:val="en-GB"/>
        </w:rPr>
        <w:t xml:space="preserve"> </w:t>
      </w:r>
    </w:p>
    <w:p w14:paraId="334985A5" w14:textId="77777777" w:rsidR="0038507A" w:rsidRPr="00EB0CE2" w:rsidRDefault="0038507A" w:rsidP="00EB0CE2">
      <w:pPr>
        <w:spacing w:after="0" w:line="240" w:lineRule="auto"/>
        <w:rPr>
          <w:rFonts w:ascii="Times New Roman" w:hAnsi="Times New Roman" w:cs="Times New Roman"/>
          <w:sz w:val="24"/>
          <w:szCs w:val="24"/>
          <w:lang w:val="en-GB"/>
        </w:rPr>
      </w:pPr>
    </w:p>
    <w:p w14:paraId="2698E0D0" w14:textId="158953F1" w:rsidR="0038507A" w:rsidRPr="00EB0CE2" w:rsidRDefault="00B13626" w:rsidP="00EB0CE2">
      <w:pPr>
        <w:spacing w:after="0" w:line="240" w:lineRule="auto"/>
        <w:rPr>
          <w:rFonts w:ascii="Times New Roman" w:hAnsi="Times New Roman" w:cs="Times New Roman"/>
          <w:b/>
          <w:sz w:val="24"/>
          <w:szCs w:val="24"/>
          <w:lang w:val="en-GB"/>
        </w:rPr>
      </w:pPr>
      <w:r w:rsidRPr="00EB0CE2">
        <w:rPr>
          <w:rFonts w:ascii="Times New Roman" w:hAnsi="Times New Roman" w:cs="Times New Roman"/>
          <w:b/>
          <w:i/>
          <w:sz w:val="24"/>
          <w:szCs w:val="24"/>
          <w:lang w:val="en-GB"/>
        </w:rPr>
        <w:t>P</w:t>
      </w:r>
      <w:r w:rsidR="00820017" w:rsidRPr="00EB0CE2">
        <w:rPr>
          <w:rFonts w:ascii="Times New Roman" w:hAnsi="Times New Roman" w:cs="Times New Roman"/>
          <w:b/>
          <w:i/>
          <w:sz w:val="24"/>
          <w:szCs w:val="24"/>
          <w:lang w:val="en-GB"/>
        </w:rPr>
        <w:t xml:space="preserve">erceived </w:t>
      </w:r>
      <w:r w:rsidR="00AC550E" w:rsidRPr="00EB0CE2">
        <w:rPr>
          <w:rFonts w:ascii="Times New Roman" w:hAnsi="Times New Roman" w:cs="Times New Roman"/>
          <w:b/>
          <w:i/>
          <w:sz w:val="24"/>
          <w:szCs w:val="24"/>
          <w:lang w:val="en-GB"/>
        </w:rPr>
        <w:t>K</w:t>
      </w:r>
      <w:r w:rsidR="00820017" w:rsidRPr="00EB0CE2">
        <w:rPr>
          <w:rFonts w:ascii="Times New Roman" w:hAnsi="Times New Roman" w:cs="Times New Roman"/>
          <w:b/>
          <w:i/>
          <w:sz w:val="24"/>
          <w:szCs w:val="24"/>
          <w:lang w:val="en-GB"/>
        </w:rPr>
        <w:t>nowledge of the</w:t>
      </w:r>
      <w:r w:rsidR="00C60017" w:rsidRPr="00EB0CE2">
        <w:rPr>
          <w:rFonts w:ascii="Times New Roman" w:hAnsi="Times New Roman" w:cs="Times New Roman"/>
          <w:b/>
          <w:i/>
          <w:sz w:val="24"/>
          <w:szCs w:val="24"/>
          <w:lang w:val="en-GB"/>
        </w:rPr>
        <w:t xml:space="preserve"> </w:t>
      </w:r>
      <w:r w:rsidR="00AC550E" w:rsidRPr="00EB0CE2">
        <w:rPr>
          <w:rFonts w:ascii="Times New Roman" w:hAnsi="Times New Roman" w:cs="Times New Roman"/>
          <w:b/>
          <w:i/>
          <w:sz w:val="24"/>
          <w:szCs w:val="24"/>
          <w:lang w:val="en-GB"/>
        </w:rPr>
        <w:t>D</w:t>
      </w:r>
      <w:r w:rsidR="0038507A" w:rsidRPr="00EB0CE2">
        <w:rPr>
          <w:rFonts w:ascii="Times New Roman" w:hAnsi="Times New Roman" w:cs="Times New Roman"/>
          <w:b/>
          <w:i/>
          <w:sz w:val="24"/>
          <w:szCs w:val="24"/>
          <w:lang w:val="en-GB"/>
        </w:rPr>
        <w:t>escriptors</w:t>
      </w:r>
      <w:r w:rsidR="00AC550E" w:rsidRPr="00EB0CE2">
        <w:rPr>
          <w:rFonts w:ascii="Times New Roman" w:hAnsi="Times New Roman" w:cs="Times New Roman"/>
          <w:b/>
          <w:i/>
          <w:sz w:val="24"/>
          <w:szCs w:val="24"/>
          <w:lang w:val="en-GB"/>
        </w:rPr>
        <w:t xml:space="preserve"> and</w:t>
      </w:r>
      <w:r w:rsidR="004A2BBC" w:rsidRPr="00EB0CE2">
        <w:rPr>
          <w:rFonts w:ascii="Times New Roman" w:hAnsi="Times New Roman" w:cs="Times New Roman"/>
          <w:b/>
          <w:i/>
          <w:sz w:val="24"/>
          <w:szCs w:val="24"/>
          <w:lang w:val="en-GB"/>
        </w:rPr>
        <w:t xml:space="preserve"> their </w:t>
      </w:r>
      <w:r w:rsidR="00AC550E" w:rsidRPr="00EB0CE2">
        <w:rPr>
          <w:rFonts w:ascii="Times New Roman" w:hAnsi="Times New Roman" w:cs="Times New Roman"/>
          <w:b/>
          <w:i/>
          <w:sz w:val="24"/>
          <w:szCs w:val="24"/>
          <w:lang w:val="en-GB"/>
        </w:rPr>
        <w:t>U</w:t>
      </w:r>
      <w:r w:rsidR="004A2BBC" w:rsidRPr="00EB0CE2">
        <w:rPr>
          <w:rFonts w:ascii="Times New Roman" w:hAnsi="Times New Roman" w:cs="Times New Roman"/>
          <w:b/>
          <w:i/>
          <w:sz w:val="24"/>
          <w:szCs w:val="24"/>
          <w:lang w:val="en-GB"/>
        </w:rPr>
        <w:t xml:space="preserve">se in the </w:t>
      </w:r>
      <w:r w:rsidR="00AC550E" w:rsidRPr="00EB0CE2">
        <w:rPr>
          <w:rFonts w:ascii="Times New Roman" w:hAnsi="Times New Roman" w:cs="Times New Roman"/>
          <w:b/>
          <w:i/>
          <w:sz w:val="24"/>
          <w:szCs w:val="24"/>
          <w:lang w:val="en-GB"/>
        </w:rPr>
        <w:t>E</w:t>
      </w:r>
      <w:r w:rsidR="004A2BBC" w:rsidRPr="00EB0CE2">
        <w:rPr>
          <w:rFonts w:ascii="Times New Roman" w:hAnsi="Times New Roman" w:cs="Times New Roman"/>
          <w:b/>
          <w:i/>
          <w:sz w:val="24"/>
          <w:szCs w:val="24"/>
          <w:lang w:val="en-GB"/>
        </w:rPr>
        <w:t xml:space="preserve">valuation of CertAcles </w:t>
      </w:r>
      <w:r w:rsidR="00AC550E" w:rsidRPr="00EB0CE2">
        <w:rPr>
          <w:rFonts w:ascii="Times New Roman" w:hAnsi="Times New Roman" w:cs="Times New Roman"/>
          <w:b/>
          <w:i/>
          <w:sz w:val="24"/>
          <w:szCs w:val="24"/>
          <w:lang w:val="en-GB"/>
        </w:rPr>
        <w:t>E</w:t>
      </w:r>
      <w:r w:rsidR="004A2BBC" w:rsidRPr="00EB0CE2">
        <w:rPr>
          <w:rFonts w:ascii="Times New Roman" w:hAnsi="Times New Roman" w:cs="Times New Roman"/>
          <w:b/>
          <w:i/>
          <w:sz w:val="24"/>
          <w:szCs w:val="24"/>
          <w:lang w:val="en-GB"/>
        </w:rPr>
        <w:t>xams</w:t>
      </w:r>
      <w:r w:rsidR="00AE6AAA" w:rsidRPr="00EB0CE2">
        <w:rPr>
          <w:rFonts w:ascii="Times New Roman" w:hAnsi="Times New Roman" w:cs="Times New Roman"/>
          <w:sz w:val="24"/>
          <w:szCs w:val="24"/>
          <w:lang w:val="en-GB"/>
        </w:rPr>
        <w:t xml:space="preserve"> </w:t>
      </w:r>
    </w:p>
    <w:p w14:paraId="50F9BBA6" w14:textId="77777777" w:rsidR="006D72F4" w:rsidRDefault="006D72F4" w:rsidP="00EB0CE2">
      <w:pPr>
        <w:spacing w:after="0" w:line="240" w:lineRule="auto"/>
        <w:jc w:val="both"/>
        <w:rPr>
          <w:rFonts w:ascii="Times New Roman" w:hAnsi="Times New Roman" w:cs="Times New Roman"/>
          <w:sz w:val="24"/>
          <w:szCs w:val="24"/>
          <w:lang w:val="en-GB"/>
        </w:rPr>
      </w:pPr>
    </w:p>
    <w:p w14:paraId="4A7A8E64" w14:textId="0F4B25E7" w:rsidR="00436BF0" w:rsidRPr="00EB0CE2" w:rsidRDefault="00106BAA" w:rsidP="00EB0CE2">
      <w:pPr>
        <w:spacing w:after="0" w:line="240" w:lineRule="auto"/>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After considering evaluators’ overall knowledge on the documents (see previous section), </w:t>
      </w:r>
      <w:r w:rsidR="004A2BBC" w:rsidRPr="00EB0CE2">
        <w:rPr>
          <w:rFonts w:ascii="Times New Roman" w:hAnsi="Times New Roman" w:cs="Times New Roman"/>
          <w:sz w:val="24"/>
          <w:szCs w:val="24"/>
          <w:lang w:val="en-GB"/>
        </w:rPr>
        <w:t xml:space="preserve">the data regarding the evaluators’ </w:t>
      </w:r>
      <w:r w:rsidR="009A77AD" w:rsidRPr="00EB0CE2">
        <w:rPr>
          <w:rFonts w:ascii="Times New Roman" w:hAnsi="Times New Roman" w:cs="Times New Roman"/>
          <w:sz w:val="24"/>
          <w:szCs w:val="24"/>
          <w:lang w:val="en-GB"/>
        </w:rPr>
        <w:t xml:space="preserve">perceived </w:t>
      </w:r>
      <w:r w:rsidR="004A2BBC" w:rsidRPr="00EB0CE2">
        <w:rPr>
          <w:rFonts w:ascii="Times New Roman" w:hAnsi="Times New Roman" w:cs="Times New Roman"/>
          <w:sz w:val="24"/>
          <w:szCs w:val="24"/>
          <w:lang w:val="en-GB"/>
        </w:rPr>
        <w:t>knowledge of the descriptors and their use when evaluating candidates</w:t>
      </w:r>
      <w:r w:rsidR="00C44950" w:rsidRPr="00EB0CE2">
        <w:rPr>
          <w:rFonts w:ascii="Times New Roman" w:hAnsi="Times New Roman" w:cs="Times New Roman"/>
          <w:sz w:val="24"/>
          <w:szCs w:val="24"/>
          <w:lang w:val="en-GB"/>
        </w:rPr>
        <w:t xml:space="preserve"> is shown here (see Figure X)</w:t>
      </w:r>
      <w:r w:rsidR="004A2BBC" w:rsidRPr="00EB0CE2">
        <w:rPr>
          <w:rFonts w:ascii="Times New Roman" w:hAnsi="Times New Roman" w:cs="Times New Roman"/>
          <w:sz w:val="24"/>
          <w:szCs w:val="24"/>
          <w:lang w:val="en-GB"/>
        </w:rPr>
        <w:t>. The results indicate that</w:t>
      </w:r>
      <w:r w:rsidR="00C60017" w:rsidRPr="00EB0CE2">
        <w:rPr>
          <w:rFonts w:ascii="Times New Roman" w:hAnsi="Times New Roman" w:cs="Times New Roman"/>
          <w:sz w:val="24"/>
          <w:szCs w:val="24"/>
          <w:lang w:val="en-GB"/>
        </w:rPr>
        <w:t xml:space="preserve"> </w:t>
      </w:r>
      <w:r w:rsidR="00071E05" w:rsidRPr="00EB0CE2">
        <w:rPr>
          <w:rFonts w:ascii="Times New Roman" w:hAnsi="Times New Roman" w:cs="Times New Roman"/>
          <w:sz w:val="24"/>
          <w:szCs w:val="24"/>
          <w:lang w:val="en-GB"/>
        </w:rPr>
        <w:t>95.4% of the evaluators</w:t>
      </w:r>
      <w:r w:rsidR="00C60017" w:rsidRPr="00EB0CE2">
        <w:rPr>
          <w:rFonts w:ascii="Times New Roman" w:hAnsi="Times New Roman" w:cs="Times New Roman"/>
          <w:sz w:val="24"/>
          <w:szCs w:val="24"/>
          <w:lang w:val="en-GB"/>
        </w:rPr>
        <w:t xml:space="preserve"> who completed the survey are familiar with the CEFR/CV descriptors, although to varying degrees. 20.5% </w:t>
      </w:r>
      <w:r w:rsidR="003D3E90" w:rsidRPr="00EB0CE2">
        <w:rPr>
          <w:rFonts w:ascii="Times New Roman" w:hAnsi="Times New Roman" w:cs="Times New Roman"/>
          <w:sz w:val="24"/>
          <w:szCs w:val="24"/>
          <w:lang w:val="en-GB"/>
        </w:rPr>
        <w:t>of</w:t>
      </w:r>
      <w:r w:rsidR="00C60017" w:rsidRPr="00EB0CE2">
        <w:rPr>
          <w:rFonts w:ascii="Times New Roman" w:hAnsi="Times New Roman" w:cs="Times New Roman"/>
          <w:sz w:val="24"/>
          <w:szCs w:val="24"/>
          <w:lang w:val="en-GB"/>
        </w:rPr>
        <w:t xml:space="preserve"> them consider their knowledge of</w:t>
      </w:r>
      <w:r w:rsidR="00071E05" w:rsidRPr="00EB0CE2">
        <w:rPr>
          <w:rFonts w:ascii="Times New Roman" w:hAnsi="Times New Roman" w:cs="Times New Roman"/>
          <w:sz w:val="24"/>
          <w:szCs w:val="24"/>
          <w:lang w:val="en-GB"/>
        </w:rPr>
        <w:t xml:space="preserve"> the descriptors sufficient </w:t>
      </w:r>
      <w:r w:rsidR="00C60017" w:rsidRPr="00EB0CE2">
        <w:rPr>
          <w:rFonts w:ascii="Times New Roman" w:hAnsi="Times New Roman" w:cs="Times New Roman"/>
          <w:sz w:val="24"/>
          <w:szCs w:val="24"/>
          <w:lang w:val="en-GB"/>
        </w:rPr>
        <w:t xml:space="preserve">(ranking 5 and 6 in the 10-point Likert scale), 52.2% consider it advanced (ranking 7 and 8) and, finally, 22.7% rank their knowledge of the descriptors as excellent (ranking 9 and 10). Although </w:t>
      </w:r>
      <w:r w:rsidR="003D3E90" w:rsidRPr="00EB0CE2">
        <w:rPr>
          <w:rFonts w:ascii="Times New Roman" w:hAnsi="Times New Roman" w:cs="Times New Roman"/>
          <w:sz w:val="24"/>
          <w:szCs w:val="24"/>
          <w:lang w:val="en-GB"/>
        </w:rPr>
        <w:t xml:space="preserve">with a </w:t>
      </w:r>
      <w:r w:rsidR="00C60017" w:rsidRPr="00EB0CE2">
        <w:rPr>
          <w:rFonts w:ascii="Times New Roman" w:hAnsi="Times New Roman" w:cs="Times New Roman"/>
          <w:sz w:val="24"/>
          <w:szCs w:val="24"/>
          <w:lang w:val="en-GB"/>
        </w:rPr>
        <w:t>low percentage</w:t>
      </w:r>
      <w:r w:rsidR="003D3E90" w:rsidRPr="00EB0CE2">
        <w:rPr>
          <w:rFonts w:ascii="Times New Roman" w:hAnsi="Times New Roman" w:cs="Times New Roman"/>
          <w:sz w:val="24"/>
          <w:szCs w:val="24"/>
          <w:lang w:val="en-GB"/>
        </w:rPr>
        <w:t xml:space="preserve"> (4.6%)</w:t>
      </w:r>
      <w:r w:rsidR="00C60017" w:rsidRPr="00EB0CE2">
        <w:rPr>
          <w:rFonts w:ascii="Times New Roman" w:hAnsi="Times New Roman" w:cs="Times New Roman"/>
          <w:sz w:val="24"/>
          <w:szCs w:val="24"/>
          <w:lang w:val="en-GB"/>
        </w:rPr>
        <w:t xml:space="preserve">, </w:t>
      </w:r>
      <w:r w:rsidR="003D3E90" w:rsidRPr="00EB0CE2">
        <w:rPr>
          <w:rFonts w:ascii="Times New Roman" w:hAnsi="Times New Roman" w:cs="Times New Roman"/>
          <w:sz w:val="24"/>
          <w:szCs w:val="24"/>
          <w:lang w:val="en-GB"/>
        </w:rPr>
        <w:t>some of</w:t>
      </w:r>
      <w:r w:rsidR="00C60017" w:rsidRPr="00EB0CE2">
        <w:rPr>
          <w:rFonts w:ascii="Times New Roman" w:hAnsi="Times New Roman" w:cs="Times New Roman"/>
          <w:sz w:val="24"/>
          <w:szCs w:val="24"/>
          <w:lang w:val="en-GB"/>
        </w:rPr>
        <w:t xml:space="preserve"> the evaluators</w:t>
      </w:r>
      <w:r w:rsidR="003A3AD3" w:rsidRPr="00EB0CE2">
        <w:rPr>
          <w:rFonts w:ascii="Times New Roman" w:hAnsi="Times New Roman" w:cs="Times New Roman"/>
          <w:sz w:val="24"/>
          <w:szCs w:val="24"/>
          <w:lang w:val="en-GB"/>
        </w:rPr>
        <w:t xml:space="preserve"> (probably the ones who indicated they had not received training on the CEFR/CV, see Section XXX)</w:t>
      </w:r>
      <w:r w:rsidR="00C60017" w:rsidRPr="00EB0CE2">
        <w:rPr>
          <w:rFonts w:ascii="Times New Roman" w:hAnsi="Times New Roman" w:cs="Times New Roman"/>
          <w:sz w:val="24"/>
          <w:szCs w:val="24"/>
          <w:lang w:val="en-GB"/>
        </w:rPr>
        <w:t xml:space="preserve"> admit not being familiar with the descriptors.</w:t>
      </w:r>
      <w:r w:rsidR="00B00E06" w:rsidRPr="00EB0CE2">
        <w:rPr>
          <w:rFonts w:ascii="Times New Roman" w:hAnsi="Times New Roman" w:cs="Times New Roman"/>
          <w:sz w:val="24"/>
          <w:szCs w:val="24"/>
          <w:lang w:val="en-GB"/>
        </w:rPr>
        <w:t xml:space="preserve"> </w:t>
      </w:r>
    </w:p>
    <w:p w14:paraId="51F5452E" w14:textId="2060C69A" w:rsidR="00C60017" w:rsidRPr="006D72F4" w:rsidRDefault="00B00E06"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These results suggest that</w:t>
      </w:r>
      <w:r w:rsidR="00D01549" w:rsidRPr="00EB0CE2">
        <w:rPr>
          <w:rFonts w:ascii="Times New Roman" w:hAnsi="Times New Roman" w:cs="Times New Roman"/>
          <w:sz w:val="24"/>
          <w:szCs w:val="24"/>
          <w:lang w:val="en-GB"/>
        </w:rPr>
        <w:t xml:space="preserve">, although descriptors are identified among the beneficial contents in evaluators’ </w:t>
      </w:r>
      <w:r w:rsidR="00D01549" w:rsidRPr="00EB0CE2">
        <w:rPr>
          <w:rFonts w:ascii="Times New Roman" w:hAnsi="Times New Roman" w:cs="Times New Roman"/>
          <w:sz w:val="24"/>
          <w:szCs w:val="24"/>
          <w:highlight w:val="yellow"/>
          <w:lang w:val="en-GB"/>
        </w:rPr>
        <w:t>training</w:t>
      </w:r>
      <w:r w:rsidR="00D01549" w:rsidRPr="00EB0CE2">
        <w:rPr>
          <w:rFonts w:ascii="Times New Roman" w:hAnsi="Times New Roman" w:cs="Times New Roman"/>
          <w:sz w:val="24"/>
          <w:szCs w:val="24"/>
          <w:lang w:val="en-GB"/>
        </w:rPr>
        <w:t xml:space="preserve">, </w:t>
      </w:r>
      <w:r w:rsidRPr="00EB0CE2">
        <w:rPr>
          <w:rFonts w:ascii="Times New Roman" w:hAnsi="Times New Roman" w:cs="Times New Roman"/>
          <w:sz w:val="24"/>
          <w:szCs w:val="24"/>
          <w:lang w:val="en-GB"/>
        </w:rPr>
        <w:t xml:space="preserve">further </w:t>
      </w:r>
      <w:r w:rsidRPr="00EB0CE2">
        <w:rPr>
          <w:rFonts w:ascii="Times New Roman" w:hAnsi="Times New Roman" w:cs="Times New Roman"/>
          <w:sz w:val="24"/>
          <w:szCs w:val="24"/>
          <w:highlight w:val="yellow"/>
          <w:lang w:val="en-GB"/>
        </w:rPr>
        <w:t>training</w:t>
      </w:r>
      <w:r w:rsidRPr="006D72F4">
        <w:rPr>
          <w:rFonts w:ascii="Times New Roman" w:hAnsi="Times New Roman" w:cs="Times New Roman"/>
          <w:sz w:val="24"/>
          <w:szCs w:val="24"/>
          <w:lang w:val="en-GB"/>
        </w:rPr>
        <w:t xml:space="preserve"> on the descriptors is </w:t>
      </w:r>
      <w:r w:rsidR="00AE6AAA" w:rsidRPr="006D72F4">
        <w:rPr>
          <w:rFonts w:ascii="Times New Roman" w:hAnsi="Times New Roman" w:cs="Times New Roman"/>
          <w:sz w:val="24"/>
          <w:szCs w:val="24"/>
          <w:lang w:val="en-GB"/>
        </w:rPr>
        <w:t>desirable</w:t>
      </w:r>
      <w:r w:rsidRPr="006D72F4">
        <w:rPr>
          <w:rFonts w:ascii="Times New Roman" w:hAnsi="Times New Roman" w:cs="Times New Roman"/>
          <w:sz w:val="24"/>
          <w:szCs w:val="24"/>
          <w:lang w:val="en-GB"/>
        </w:rPr>
        <w:t xml:space="preserve"> so that all evaluators may obtain a better knowledge</w:t>
      </w:r>
      <w:r w:rsidR="00B20A9C" w:rsidRPr="006D72F4">
        <w:rPr>
          <w:rFonts w:ascii="Times New Roman" w:hAnsi="Times New Roman" w:cs="Times New Roman"/>
          <w:sz w:val="24"/>
          <w:szCs w:val="24"/>
          <w:lang w:val="en-GB"/>
        </w:rPr>
        <w:t xml:space="preserve"> of such a crucial aspect in the CEFR/CV</w:t>
      </w:r>
      <w:r w:rsidRPr="006D72F4">
        <w:rPr>
          <w:rFonts w:ascii="Times New Roman" w:hAnsi="Times New Roman" w:cs="Times New Roman"/>
          <w:sz w:val="24"/>
          <w:szCs w:val="24"/>
          <w:lang w:val="en-GB"/>
        </w:rPr>
        <w:t>. This is specially so with those evaluators who perceive their knowledge as insufficient or just sufficient, which makes 25.1% of the evaluators in this study.</w:t>
      </w:r>
      <w:r w:rsidR="00EE1E5A" w:rsidRPr="006D72F4">
        <w:rPr>
          <w:rFonts w:ascii="Times New Roman" w:hAnsi="Times New Roman" w:cs="Times New Roman"/>
          <w:sz w:val="24"/>
          <w:szCs w:val="24"/>
          <w:lang w:val="en-GB"/>
        </w:rPr>
        <w:t xml:space="preserve"> </w:t>
      </w:r>
      <w:r w:rsidR="00F416AF" w:rsidRPr="006D72F4">
        <w:rPr>
          <w:rFonts w:ascii="Times New Roman" w:hAnsi="Times New Roman" w:cs="Times New Roman"/>
          <w:sz w:val="24"/>
          <w:szCs w:val="24"/>
          <w:lang w:val="en-GB"/>
        </w:rPr>
        <w:t>Furthermore, t</w:t>
      </w:r>
      <w:r w:rsidR="00EE1E5A" w:rsidRPr="006D72F4">
        <w:rPr>
          <w:rFonts w:ascii="Times New Roman" w:hAnsi="Times New Roman" w:cs="Times New Roman"/>
          <w:sz w:val="24"/>
          <w:szCs w:val="24"/>
          <w:lang w:val="en-GB"/>
        </w:rPr>
        <w:t>he perceived vagueness of the descriptors may also contribute to the evaluators’ perception that they do not have an in-depth knowledge of the descriptors, as seen in their demand for more concrete descriptors</w:t>
      </w:r>
      <w:r w:rsidR="00F416AF" w:rsidRPr="006D72F4">
        <w:rPr>
          <w:rFonts w:ascii="Times New Roman" w:hAnsi="Times New Roman" w:cs="Times New Roman"/>
          <w:sz w:val="24"/>
          <w:szCs w:val="24"/>
          <w:lang w:val="en-GB"/>
        </w:rPr>
        <w:t xml:space="preserve"> when asked for the missing aspects in their CEFR/CV training (see Section XXX).</w:t>
      </w:r>
    </w:p>
    <w:p w14:paraId="496BE9B3" w14:textId="4CC2F612" w:rsidR="004A2BBC" w:rsidRPr="006D72F4" w:rsidRDefault="004A2BBC" w:rsidP="00EB0CE2">
      <w:pPr>
        <w:spacing w:after="0" w:line="240" w:lineRule="auto"/>
        <w:ind w:firstLine="708"/>
        <w:jc w:val="both"/>
        <w:rPr>
          <w:rFonts w:ascii="Times New Roman" w:hAnsi="Times New Roman" w:cs="Times New Roman"/>
          <w:sz w:val="24"/>
          <w:szCs w:val="24"/>
          <w:lang w:val="en-GB"/>
        </w:rPr>
      </w:pPr>
      <w:r w:rsidRPr="006D72F4">
        <w:rPr>
          <w:rFonts w:ascii="Times New Roman" w:hAnsi="Times New Roman" w:cs="Times New Roman"/>
          <w:sz w:val="24"/>
          <w:szCs w:val="24"/>
          <w:lang w:val="en-GB"/>
        </w:rPr>
        <w:t>As far as the use of the descriptors to evaluate can</w:t>
      </w:r>
      <w:r w:rsidR="003E73B5" w:rsidRPr="006D72F4">
        <w:rPr>
          <w:rFonts w:ascii="Times New Roman" w:hAnsi="Times New Roman" w:cs="Times New Roman"/>
          <w:sz w:val="24"/>
          <w:szCs w:val="24"/>
          <w:lang w:val="en-GB"/>
        </w:rPr>
        <w:t>didates in the CertAcles exam</w:t>
      </w:r>
      <w:r w:rsidR="00F416AF" w:rsidRPr="006D72F4">
        <w:rPr>
          <w:rFonts w:ascii="Times New Roman" w:hAnsi="Times New Roman" w:cs="Times New Roman"/>
          <w:sz w:val="24"/>
          <w:szCs w:val="24"/>
          <w:lang w:val="en-GB"/>
        </w:rPr>
        <w:t xml:space="preserve"> is concerned</w:t>
      </w:r>
      <w:r w:rsidR="003E73B5" w:rsidRPr="006D72F4">
        <w:rPr>
          <w:rFonts w:ascii="Times New Roman" w:hAnsi="Times New Roman" w:cs="Times New Roman"/>
          <w:sz w:val="24"/>
          <w:szCs w:val="24"/>
          <w:lang w:val="en-GB"/>
        </w:rPr>
        <w:t>, e</w:t>
      </w:r>
      <w:r w:rsidRPr="006D72F4">
        <w:rPr>
          <w:rFonts w:ascii="Times New Roman" w:hAnsi="Times New Roman" w:cs="Times New Roman"/>
          <w:sz w:val="24"/>
          <w:szCs w:val="24"/>
          <w:lang w:val="en-GB"/>
        </w:rPr>
        <w:t>valuators’ responses show that only two people rarely use the descriptors to evaluate (ranking this item 1 on the 1 to 10-point Likert scale), which coincides with the number of evaluators who are not familiar with the descriptors. The other evaluators use them to varying degrees</w:t>
      </w:r>
      <w:r w:rsidR="00F416AF" w:rsidRPr="006D72F4">
        <w:rPr>
          <w:rFonts w:ascii="Times New Roman" w:hAnsi="Times New Roman" w:cs="Times New Roman"/>
          <w:sz w:val="24"/>
          <w:szCs w:val="24"/>
          <w:lang w:val="en-GB"/>
        </w:rPr>
        <w:t>:</w:t>
      </w:r>
      <w:r w:rsidRPr="006D72F4">
        <w:rPr>
          <w:rFonts w:ascii="Times New Roman" w:hAnsi="Times New Roman" w:cs="Times New Roman"/>
          <w:sz w:val="24"/>
          <w:szCs w:val="24"/>
          <w:lang w:val="en-GB"/>
        </w:rPr>
        <w:t xml:space="preserve"> 9% of them use them sufficiently (5 and 6 in the Likert scale), 20.4% make an advanced use of the descriptors (7 and 8 in the Likert scale) and, finally, 65.9% of the evaluators </w:t>
      </w:r>
      <w:r w:rsidR="00ED6EFA" w:rsidRPr="006D72F4">
        <w:rPr>
          <w:rFonts w:ascii="Times New Roman" w:hAnsi="Times New Roman" w:cs="Times New Roman"/>
          <w:sz w:val="24"/>
          <w:szCs w:val="24"/>
          <w:lang w:val="en-GB"/>
        </w:rPr>
        <w:t xml:space="preserve">use the descriptors always or almost </w:t>
      </w:r>
      <w:r w:rsidRPr="006D72F4">
        <w:rPr>
          <w:rFonts w:ascii="Times New Roman" w:hAnsi="Times New Roman" w:cs="Times New Roman"/>
          <w:sz w:val="24"/>
          <w:szCs w:val="24"/>
          <w:lang w:val="en-GB"/>
        </w:rPr>
        <w:t xml:space="preserve">(9 and 10 in the Likert scale). </w:t>
      </w:r>
      <w:r w:rsidR="00B00E06" w:rsidRPr="006D72F4">
        <w:rPr>
          <w:rFonts w:ascii="Times New Roman" w:hAnsi="Times New Roman" w:cs="Times New Roman"/>
          <w:sz w:val="24"/>
          <w:szCs w:val="24"/>
          <w:lang w:val="en-GB"/>
        </w:rPr>
        <w:t xml:space="preserve"> Therefore, the use of the descriptors seem</w:t>
      </w:r>
      <w:r w:rsidR="00634984" w:rsidRPr="006D72F4">
        <w:rPr>
          <w:rFonts w:ascii="Times New Roman" w:hAnsi="Times New Roman" w:cs="Times New Roman"/>
          <w:sz w:val="24"/>
          <w:szCs w:val="24"/>
          <w:lang w:val="en-GB"/>
        </w:rPr>
        <w:t>s</w:t>
      </w:r>
      <w:r w:rsidR="00B00E06" w:rsidRPr="006D72F4">
        <w:rPr>
          <w:rFonts w:ascii="Times New Roman" w:hAnsi="Times New Roman" w:cs="Times New Roman"/>
          <w:sz w:val="24"/>
          <w:szCs w:val="24"/>
          <w:lang w:val="en-GB"/>
        </w:rPr>
        <w:t xml:space="preserve"> to be quite frequent in </w:t>
      </w:r>
      <w:r w:rsidR="00F416AF" w:rsidRPr="006D72F4">
        <w:rPr>
          <w:rFonts w:ascii="Times New Roman" w:hAnsi="Times New Roman" w:cs="Times New Roman"/>
          <w:sz w:val="24"/>
          <w:szCs w:val="24"/>
          <w:lang w:val="en-GB"/>
        </w:rPr>
        <w:t xml:space="preserve">the candidates’ evaluation </w:t>
      </w:r>
      <w:r w:rsidR="00B00E06" w:rsidRPr="006D72F4">
        <w:rPr>
          <w:rFonts w:ascii="Times New Roman" w:hAnsi="Times New Roman" w:cs="Times New Roman"/>
          <w:sz w:val="24"/>
          <w:szCs w:val="24"/>
          <w:lang w:val="en-GB"/>
        </w:rPr>
        <w:t>process.</w:t>
      </w:r>
      <w:r w:rsidR="00DB56DA" w:rsidRPr="006D72F4">
        <w:rPr>
          <w:rFonts w:ascii="Times New Roman" w:hAnsi="Times New Roman" w:cs="Times New Roman"/>
          <w:sz w:val="24"/>
          <w:szCs w:val="24"/>
          <w:lang w:val="en-GB"/>
        </w:rPr>
        <w:t xml:space="preserve"> Further training in the use of descriptors to design rubrics may, however, improve the percentage of evaluators who use them in the candidates’ evaluation.</w:t>
      </w:r>
      <w:r w:rsidR="00B2063C" w:rsidRPr="006D72F4">
        <w:rPr>
          <w:rFonts w:ascii="Times New Roman" w:hAnsi="Times New Roman" w:cs="Times New Roman"/>
          <w:sz w:val="24"/>
          <w:szCs w:val="24"/>
          <w:lang w:val="en-GB"/>
        </w:rPr>
        <w:t xml:space="preserve"> </w:t>
      </w:r>
    </w:p>
    <w:p w14:paraId="4BF158C2" w14:textId="5B7F6A9D" w:rsidR="00B00E06" w:rsidRPr="006D72F4" w:rsidRDefault="00A324A5" w:rsidP="00EB0CE2">
      <w:pPr>
        <w:spacing w:after="0" w:line="240" w:lineRule="auto"/>
        <w:ind w:firstLine="708"/>
        <w:jc w:val="both"/>
        <w:rPr>
          <w:rFonts w:ascii="Times New Roman" w:hAnsi="Times New Roman" w:cs="Times New Roman"/>
          <w:sz w:val="24"/>
          <w:szCs w:val="24"/>
          <w:lang w:val="en-GB"/>
        </w:rPr>
      </w:pPr>
      <w:r w:rsidRPr="006D72F4">
        <w:rPr>
          <w:rFonts w:ascii="Times New Roman" w:hAnsi="Times New Roman" w:cs="Times New Roman"/>
          <w:sz w:val="24"/>
          <w:szCs w:val="24"/>
          <w:lang w:val="en-GB"/>
        </w:rPr>
        <w:t>The comparison of</w:t>
      </w:r>
      <w:r w:rsidR="00B00E06" w:rsidRPr="006D72F4">
        <w:rPr>
          <w:rFonts w:ascii="Times New Roman" w:hAnsi="Times New Roman" w:cs="Times New Roman"/>
          <w:sz w:val="24"/>
          <w:szCs w:val="24"/>
          <w:lang w:val="en-GB"/>
        </w:rPr>
        <w:t xml:space="preserve"> t</w:t>
      </w:r>
      <w:r w:rsidR="003E73B5" w:rsidRPr="006D72F4">
        <w:rPr>
          <w:rFonts w:ascii="Times New Roman" w:hAnsi="Times New Roman" w:cs="Times New Roman"/>
          <w:sz w:val="24"/>
          <w:szCs w:val="24"/>
          <w:lang w:val="en-GB"/>
        </w:rPr>
        <w:t>he data regarding the knowledge of the descriptors and their use in the evaluation of CertAcles candidates cast</w:t>
      </w:r>
      <w:r w:rsidRPr="006D72F4">
        <w:rPr>
          <w:rFonts w:ascii="Times New Roman" w:hAnsi="Times New Roman" w:cs="Times New Roman"/>
          <w:sz w:val="24"/>
          <w:szCs w:val="24"/>
          <w:lang w:val="en-GB"/>
        </w:rPr>
        <w:t>s</w:t>
      </w:r>
      <w:r w:rsidR="003E73B5" w:rsidRPr="006D72F4">
        <w:rPr>
          <w:rFonts w:ascii="Times New Roman" w:hAnsi="Times New Roman" w:cs="Times New Roman"/>
          <w:sz w:val="24"/>
          <w:szCs w:val="24"/>
          <w:lang w:val="en-GB"/>
        </w:rPr>
        <w:t xml:space="preserve"> light on the fact that</w:t>
      </w:r>
      <w:r w:rsidR="00ED6EFA" w:rsidRPr="006D72F4">
        <w:rPr>
          <w:rFonts w:ascii="Times New Roman" w:hAnsi="Times New Roman" w:cs="Times New Roman"/>
          <w:sz w:val="24"/>
          <w:szCs w:val="24"/>
          <w:lang w:val="en-GB"/>
        </w:rPr>
        <w:t xml:space="preserve"> </w:t>
      </w:r>
      <w:r w:rsidR="00B00E06" w:rsidRPr="006D72F4">
        <w:rPr>
          <w:rFonts w:ascii="Times New Roman" w:hAnsi="Times New Roman" w:cs="Times New Roman"/>
          <w:sz w:val="24"/>
          <w:szCs w:val="24"/>
          <w:lang w:val="en-GB"/>
        </w:rPr>
        <w:t xml:space="preserve">the descriptors are being quite frequently used to evaluate candidates even though the evaluators’ perceived knowledge of the descriptors is </w:t>
      </w:r>
      <w:r w:rsidR="00634984" w:rsidRPr="006D72F4">
        <w:rPr>
          <w:rFonts w:ascii="Times New Roman" w:hAnsi="Times New Roman" w:cs="Times New Roman"/>
          <w:sz w:val="24"/>
          <w:szCs w:val="24"/>
          <w:lang w:val="en-GB"/>
        </w:rPr>
        <w:t xml:space="preserve">considered </w:t>
      </w:r>
      <w:r w:rsidR="00B00E06" w:rsidRPr="006D72F4">
        <w:rPr>
          <w:rFonts w:ascii="Times New Roman" w:hAnsi="Times New Roman" w:cs="Times New Roman"/>
          <w:sz w:val="24"/>
          <w:szCs w:val="24"/>
          <w:lang w:val="en-GB"/>
        </w:rPr>
        <w:t xml:space="preserve">excellent only </w:t>
      </w:r>
      <w:r w:rsidR="00634984" w:rsidRPr="006D72F4">
        <w:rPr>
          <w:rFonts w:ascii="Times New Roman" w:hAnsi="Times New Roman" w:cs="Times New Roman"/>
          <w:sz w:val="24"/>
          <w:szCs w:val="24"/>
          <w:lang w:val="en-GB"/>
        </w:rPr>
        <w:t xml:space="preserve">by </w:t>
      </w:r>
      <w:r w:rsidR="00B00E06" w:rsidRPr="006D72F4">
        <w:rPr>
          <w:rFonts w:ascii="Times New Roman" w:hAnsi="Times New Roman" w:cs="Times New Roman"/>
          <w:sz w:val="24"/>
          <w:szCs w:val="24"/>
          <w:lang w:val="en-GB"/>
        </w:rPr>
        <w:t>22.7% of the evaluators. Further training is needed so that all evaluators may have an excellent knowledge of the descriptors</w:t>
      </w:r>
      <w:r w:rsidR="00DB56DA" w:rsidRPr="006D72F4">
        <w:rPr>
          <w:rFonts w:ascii="Times New Roman" w:hAnsi="Times New Roman" w:cs="Times New Roman"/>
          <w:sz w:val="24"/>
          <w:szCs w:val="24"/>
          <w:lang w:val="en-GB"/>
        </w:rPr>
        <w:t>,</w:t>
      </w:r>
      <w:r w:rsidR="00B00E06" w:rsidRPr="006D72F4">
        <w:rPr>
          <w:rFonts w:ascii="Times New Roman" w:hAnsi="Times New Roman" w:cs="Times New Roman"/>
          <w:sz w:val="24"/>
          <w:szCs w:val="24"/>
          <w:lang w:val="en-GB"/>
        </w:rPr>
        <w:t xml:space="preserve"> which </w:t>
      </w:r>
      <w:r w:rsidRPr="006D72F4">
        <w:rPr>
          <w:rFonts w:ascii="Times New Roman" w:hAnsi="Times New Roman" w:cs="Times New Roman"/>
          <w:sz w:val="24"/>
          <w:szCs w:val="24"/>
          <w:lang w:val="en-GB"/>
        </w:rPr>
        <w:t xml:space="preserve">raters use when </w:t>
      </w:r>
      <w:r w:rsidR="00B00E06" w:rsidRPr="006D72F4">
        <w:rPr>
          <w:rFonts w:ascii="Times New Roman" w:hAnsi="Times New Roman" w:cs="Times New Roman"/>
          <w:sz w:val="24"/>
          <w:szCs w:val="24"/>
          <w:lang w:val="en-GB"/>
        </w:rPr>
        <w:t>evaluati</w:t>
      </w:r>
      <w:r w:rsidRPr="006D72F4">
        <w:rPr>
          <w:rFonts w:ascii="Times New Roman" w:hAnsi="Times New Roman" w:cs="Times New Roman"/>
          <w:sz w:val="24"/>
          <w:szCs w:val="24"/>
          <w:lang w:val="en-GB"/>
        </w:rPr>
        <w:t>ng</w:t>
      </w:r>
      <w:r w:rsidR="00B00E06" w:rsidRPr="006D72F4">
        <w:rPr>
          <w:rFonts w:ascii="Times New Roman" w:hAnsi="Times New Roman" w:cs="Times New Roman"/>
          <w:sz w:val="24"/>
          <w:szCs w:val="24"/>
          <w:lang w:val="en-GB"/>
        </w:rPr>
        <w:t xml:space="preserve"> candidates</w:t>
      </w:r>
      <w:r w:rsidRPr="006D72F4">
        <w:rPr>
          <w:rFonts w:ascii="Times New Roman" w:hAnsi="Times New Roman" w:cs="Times New Roman"/>
          <w:sz w:val="24"/>
          <w:szCs w:val="24"/>
          <w:lang w:val="en-GB"/>
        </w:rPr>
        <w:t>.</w:t>
      </w:r>
      <w:r w:rsidR="00B2063C" w:rsidRPr="006D72F4">
        <w:rPr>
          <w:rFonts w:ascii="Times New Roman" w:hAnsi="Times New Roman" w:cs="Times New Roman"/>
          <w:sz w:val="24"/>
          <w:szCs w:val="24"/>
          <w:lang w:val="en-GB"/>
        </w:rPr>
        <w:t xml:space="preserve"> </w:t>
      </w:r>
    </w:p>
    <w:p w14:paraId="04E6F76D" w14:textId="77777777" w:rsidR="002D5667" w:rsidRPr="00F15F8D" w:rsidRDefault="002D5667">
      <w:pPr>
        <w:rPr>
          <w:rFonts w:asciiTheme="majorHAnsi" w:hAnsiTheme="majorHAnsi" w:cstheme="majorHAnsi"/>
          <w:lang w:val="en-GB"/>
        </w:rPr>
      </w:pPr>
    </w:p>
    <w:p w14:paraId="2BAEC81F" w14:textId="77777777" w:rsidR="002D5667" w:rsidRPr="00F15F8D" w:rsidRDefault="002D5667">
      <w:pPr>
        <w:rPr>
          <w:rFonts w:asciiTheme="majorHAnsi" w:hAnsiTheme="majorHAnsi" w:cstheme="majorHAnsi"/>
          <w:lang w:val="en-GB"/>
        </w:rPr>
      </w:pPr>
      <w:r w:rsidRPr="00F15F8D">
        <w:rPr>
          <w:rFonts w:asciiTheme="majorHAnsi" w:hAnsiTheme="majorHAnsi" w:cstheme="majorHAnsi"/>
          <w:noProof/>
          <w:lang w:eastAsia="es-ES"/>
        </w:rPr>
        <w:drawing>
          <wp:inline distT="0" distB="0" distL="0" distR="0" wp14:anchorId="08AFF81F" wp14:editId="61CE6798">
            <wp:extent cx="5400040" cy="2981325"/>
            <wp:effectExtent l="0" t="0" r="10160" b="952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B401797" w14:textId="456C00F3" w:rsidR="007E04A4" w:rsidRPr="00EB0CE2" w:rsidRDefault="00820017">
      <w:pPr>
        <w:rPr>
          <w:rFonts w:ascii="Times New Roman" w:hAnsi="Times New Roman" w:cs="Times New Roman"/>
          <w:sz w:val="20"/>
          <w:szCs w:val="20"/>
          <w:lang w:val="en-GB"/>
        </w:rPr>
      </w:pPr>
      <w:r w:rsidRPr="00EB0CE2">
        <w:rPr>
          <w:rFonts w:ascii="Times New Roman" w:hAnsi="Times New Roman" w:cs="Times New Roman"/>
          <w:sz w:val="20"/>
          <w:szCs w:val="20"/>
          <w:lang w:val="en-GB"/>
        </w:rPr>
        <w:t xml:space="preserve">Figure </w:t>
      </w:r>
      <w:r w:rsidR="00634984" w:rsidRPr="00EB0CE2">
        <w:rPr>
          <w:rFonts w:ascii="Times New Roman" w:hAnsi="Times New Roman" w:cs="Times New Roman"/>
          <w:sz w:val="20"/>
          <w:szCs w:val="20"/>
          <w:lang w:val="en-GB"/>
        </w:rPr>
        <w:t>X</w:t>
      </w:r>
      <w:r w:rsidRPr="00EB0CE2">
        <w:rPr>
          <w:rFonts w:ascii="Times New Roman" w:hAnsi="Times New Roman" w:cs="Times New Roman"/>
          <w:sz w:val="20"/>
          <w:szCs w:val="20"/>
          <w:lang w:val="en-GB"/>
        </w:rPr>
        <w:t>. Evaluators’ p</w:t>
      </w:r>
      <w:r w:rsidR="002523C8" w:rsidRPr="00EB0CE2">
        <w:rPr>
          <w:rFonts w:ascii="Times New Roman" w:hAnsi="Times New Roman" w:cs="Times New Roman"/>
          <w:sz w:val="20"/>
          <w:szCs w:val="20"/>
          <w:lang w:val="en-GB"/>
        </w:rPr>
        <w:t>erceived knowledge of the CEFR/C</w:t>
      </w:r>
      <w:r w:rsidRPr="00EB0CE2">
        <w:rPr>
          <w:rFonts w:ascii="Times New Roman" w:hAnsi="Times New Roman" w:cs="Times New Roman"/>
          <w:sz w:val="20"/>
          <w:szCs w:val="20"/>
          <w:lang w:val="en-GB"/>
        </w:rPr>
        <w:t>V descriptors and their use in candidates’ evaluation</w:t>
      </w:r>
    </w:p>
    <w:p w14:paraId="6FA9D6F2" w14:textId="47EBBF86" w:rsidR="00B13626" w:rsidRPr="00EB0CE2" w:rsidRDefault="00B13626" w:rsidP="00EB0CE2">
      <w:pPr>
        <w:spacing w:after="0" w:line="240" w:lineRule="auto"/>
        <w:rPr>
          <w:rFonts w:ascii="Times New Roman" w:hAnsi="Times New Roman" w:cs="Times New Roman"/>
          <w:b/>
          <w:i/>
          <w:sz w:val="24"/>
          <w:szCs w:val="24"/>
          <w:lang w:val="en-GB"/>
        </w:rPr>
      </w:pPr>
      <w:r w:rsidRPr="00EB0CE2">
        <w:rPr>
          <w:rFonts w:ascii="Times New Roman" w:hAnsi="Times New Roman" w:cs="Times New Roman"/>
          <w:b/>
          <w:i/>
          <w:sz w:val="24"/>
          <w:szCs w:val="24"/>
          <w:lang w:val="en-GB"/>
        </w:rPr>
        <w:t>P</w:t>
      </w:r>
      <w:r w:rsidR="00AC550E" w:rsidRPr="00EB0CE2">
        <w:rPr>
          <w:rFonts w:ascii="Times New Roman" w:hAnsi="Times New Roman" w:cs="Times New Roman"/>
          <w:b/>
          <w:i/>
          <w:sz w:val="24"/>
          <w:szCs w:val="24"/>
          <w:lang w:val="en-GB"/>
        </w:rPr>
        <w:t>erceived K</w:t>
      </w:r>
      <w:r w:rsidRPr="00EB0CE2">
        <w:rPr>
          <w:rFonts w:ascii="Times New Roman" w:hAnsi="Times New Roman" w:cs="Times New Roman"/>
          <w:b/>
          <w:i/>
          <w:sz w:val="24"/>
          <w:szCs w:val="24"/>
          <w:lang w:val="en-GB"/>
        </w:rPr>
        <w:t xml:space="preserve">nowledge of </w:t>
      </w:r>
      <w:r w:rsidR="00AC550E" w:rsidRPr="00EB0CE2">
        <w:rPr>
          <w:rFonts w:ascii="Times New Roman" w:hAnsi="Times New Roman" w:cs="Times New Roman"/>
          <w:b/>
          <w:i/>
          <w:sz w:val="24"/>
          <w:szCs w:val="24"/>
          <w:lang w:val="en-GB"/>
        </w:rPr>
        <w:t>C</w:t>
      </w:r>
      <w:r w:rsidRPr="00EB0CE2">
        <w:rPr>
          <w:rFonts w:ascii="Times New Roman" w:hAnsi="Times New Roman" w:cs="Times New Roman"/>
          <w:b/>
          <w:i/>
          <w:sz w:val="24"/>
          <w:szCs w:val="24"/>
          <w:lang w:val="en-GB"/>
        </w:rPr>
        <w:t>ompetences</w:t>
      </w:r>
    </w:p>
    <w:p w14:paraId="0C0C8505" w14:textId="77777777" w:rsidR="006D72F4" w:rsidRDefault="006D72F4" w:rsidP="00EB0CE2">
      <w:pPr>
        <w:spacing w:after="0" w:line="240" w:lineRule="auto"/>
        <w:jc w:val="both"/>
        <w:rPr>
          <w:rFonts w:ascii="Times New Roman" w:hAnsi="Times New Roman" w:cs="Times New Roman"/>
          <w:sz w:val="24"/>
          <w:szCs w:val="24"/>
          <w:lang w:val="en-GB"/>
        </w:rPr>
      </w:pPr>
    </w:p>
    <w:p w14:paraId="2804204B" w14:textId="17A0BA01" w:rsidR="0079345A" w:rsidRPr="00EB0CE2" w:rsidRDefault="00C44950" w:rsidP="00EB0CE2">
      <w:pPr>
        <w:spacing w:after="0" w:line="240" w:lineRule="auto"/>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In addition </w:t>
      </w:r>
      <w:r w:rsidR="00823535" w:rsidRPr="00EB0CE2">
        <w:rPr>
          <w:rFonts w:ascii="Times New Roman" w:hAnsi="Times New Roman" w:cs="Times New Roman"/>
          <w:sz w:val="24"/>
          <w:szCs w:val="24"/>
          <w:lang w:val="en-GB"/>
        </w:rPr>
        <w:t>to their</w:t>
      </w:r>
      <w:r w:rsidRPr="00EB0CE2">
        <w:rPr>
          <w:rFonts w:ascii="Times New Roman" w:hAnsi="Times New Roman" w:cs="Times New Roman"/>
          <w:sz w:val="24"/>
          <w:szCs w:val="24"/>
          <w:lang w:val="en-GB"/>
        </w:rPr>
        <w:t xml:space="preserve"> knowledge on descriptors, Section IV of the questionnaire enquired about </w:t>
      </w:r>
      <w:r w:rsidR="00DE1BEA" w:rsidRPr="00EB0CE2">
        <w:rPr>
          <w:rFonts w:ascii="Times New Roman" w:hAnsi="Times New Roman" w:cs="Times New Roman"/>
          <w:sz w:val="24"/>
          <w:szCs w:val="24"/>
          <w:lang w:val="en-GB"/>
        </w:rPr>
        <w:t>evaluators’ knowledge and use of the</w:t>
      </w:r>
      <w:r w:rsidR="00823535" w:rsidRPr="00EB0CE2">
        <w:rPr>
          <w:rFonts w:ascii="Times New Roman" w:hAnsi="Times New Roman" w:cs="Times New Roman"/>
          <w:sz w:val="24"/>
          <w:szCs w:val="24"/>
          <w:lang w:val="en-GB"/>
        </w:rPr>
        <w:t xml:space="preserve"> different </w:t>
      </w:r>
      <w:r w:rsidRPr="00EB0CE2">
        <w:rPr>
          <w:rFonts w:ascii="Times New Roman" w:hAnsi="Times New Roman" w:cs="Times New Roman"/>
          <w:sz w:val="24"/>
          <w:szCs w:val="24"/>
          <w:lang w:val="en-GB"/>
        </w:rPr>
        <w:t>competences</w:t>
      </w:r>
      <w:r w:rsidR="00DE1BEA" w:rsidRPr="00EB0CE2">
        <w:rPr>
          <w:rFonts w:ascii="Times New Roman" w:hAnsi="Times New Roman" w:cs="Times New Roman"/>
          <w:sz w:val="24"/>
          <w:szCs w:val="24"/>
          <w:lang w:val="en-GB"/>
        </w:rPr>
        <w:t xml:space="preserve"> established in the CV</w:t>
      </w:r>
      <w:r w:rsidR="00823535" w:rsidRPr="00EB0CE2">
        <w:rPr>
          <w:rFonts w:ascii="Times New Roman" w:hAnsi="Times New Roman" w:cs="Times New Roman"/>
          <w:sz w:val="24"/>
          <w:szCs w:val="24"/>
          <w:lang w:val="en-GB"/>
        </w:rPr>
        <w:t xml:space="preserve"> </w:t>
      </w:r>
      <w:r w:rsidR="00F113E4" w:rsidRPr="00EB0CE2">
        <w:rPr>
          <w:rFonts w:ascii="Times New Roman" w:hAnsi="Times New Roman" w:cs="Times New Roman"/>
          <w:sz w:val="24"/>
          <w:szCs w:val="24"/>
          <w:lang w:val="en-GB"/>
        </w:rPr>
        <w:t xml:space="preserve">(see Figure </w:t>
      </w:r>
      <w:r w:rsidR="00821C8A" w:rsidRPr="00EB0CE2">
        <w:rPr>
          <w:rFonts w:ascii="Times New Roman" w:hAnsi="Times New Roman" w:cs="Times New Roman"/>
          <w:sz w:val="24"/>
          <w:szCs w:val="24"/>
          <w:lang w:val="en-GB"/>
        </w:rPr>
        <w:t>X</w:t>
      </w:r>
      <w:r w:rsidR="00F113E4" w:rsidRPr="00EB0CE2">
        <w:rPr>
          <w:rFonts w:ascii="Times New Roman" w:hAnsi="Times New Roman" w:cs="Times New Roman"/>
          <w:sz w:val="24"/>
          <w:szCs w:val="24"/>
          <w:lang w:val="en-GB"/>
        </w:rPr>
        <w:t>)</w:t>
      </w:r>
      <w:r w:rsidR="00DE1BEA" w:rsidRPr="00EB0CE2">
        <w:rPr>
          <w:rFonts w:ascii="Times New Roman" w:hAnsi="Times New Roman" w:cs="Times New Roman"/>
          <w:sz w:val="24"/>
          <w:szCs w:val="24"/>
          <w:lang w:val="en-GB"/>
        </w:rPr>
        <w:t xml:space="preserve"> and the </w:t>
      </w:r>
      <w:r w:rsidR="006365FF" w:rsidRPr="00EB0CE2">
        <w:rPr>
          <w:rFonts w:ascii="Times New Roman" w:hAnsi="Times New Roman" w:cs="Times New Roman"/>
          <w:sz w:val="24"/>
          <w:szCs w:val="24"/>
          <w:lang w:val="en-GB"/>
        </w:rPr>
        <w:t xml:space="preserve">detailed </w:t>
      </w:r>
      <w:r w:rsidR="00DE1BEA" w:rsidRPr="00EB0CE2">
        <w:rPr>
          <w:rFonts w:ascii="Times New Roman" w:hAnsi="Times New Roman" w:cs="Times New Roman"/>
          <w:sz w:val="24"/>
          <w:szCs w:val="24"/>
          <w:lang w:val="en-GB"/>
        </w:rPr>
        <w:t>use of descriptors for the different competences (see Figure X+1, below)</w:t>
      </w:r>
      <w:r w:rsidR="00F13D0C" w:rsidRPr="00EB0CE2">
        <w:rPr>
          <w:rFonts w:ascii="Times New Roman" w:hAnsi="Times New Roman" w:cs="Times New Roman"/>
          <w:sz w:val="24"/>
          <w:szCs w:val="24"/>
          <w:lang w:val="en-GB"/>
        </w:rPr>
        <w:t>.</w:t>
      </w:r>
      <w:r w:rsidR="004125D6" w:rsidRPr="00EB0CE2">
        <w:rPr>
          <w:rFonts w:ascii="Times New Roman" w:hAnsi="Times New Roman" w:cs="Times New Roman"/>
          <w:sz w:val="24"/>
          <w:szCs w:val="24"/>
          <w:lang w:val="en-GB"/>
        </w:rPr>
        <w:t xml:space="preserve"> </w:t>
      </w:r>
      <w:r w:rsidR="00F57147" w:rsidRPr="00EB0CE2">
        <w:rPr>
          <w:rFonts w:ascii="Times New Roman" w:hAnsi="Times New Roman" w:cs="Times New Roman"/>
          <w:sz w:val="24"/>
          <w:szCs w:val="24"/>
          <w:lang w:val="en-GB"/>
        </w:rPr>
        <w:t>T</w:t>
      </w:r>
      <w:r w:rsidR="004125D6" w:rsidRPr="00EB0CE2">
        <w:rPr>
          <w:rFonts w:ascii="Times New Roman" w:hAnsi="Times New Roman" w:cs="Times New Roman"/>
          <w:sz w:val="24"/>
          <w:szCs w:val="24"/>
          <w:lang w:val="en-GB"/>
        </w:rPr>
        <w:t xml:space="preserve">he linguistic competence is the one evaluators </w:t>
      </w:r>
      <w:r w:rsidR="00F57147" w:rsidRPr="00EB0CE2">
        <w:rPr>
          <w:rFonts w:ascii="Times New Roman" w:hAnsi="Times New Roman" w:cs="Times New Roman"/>
          <w:sz w:val="24"/>
          <w:szCs w:val="24"/>
          <w:lang w:val="en-GB"/>
        </w:rPr>
        <w:t xml:space="preserve">report to be more knowledgeable </w:t>
      </w:r>
      <w:r w:rsidR="004125D6" w:rsidRPr="00EB0CE2">
        <w:rPr>
          <w:rFonts w:ascii="Times New Roman" w:hAnsi="Times New Roman" w:cs="Times New Roman"/>
          <w:sz w:val="24"/>
          <w:szCs w:val="24"/>
          <w:lang w:val="en-GB"/>
        </w:rPr>
        <w:t>of (100% of the evaluators</w:t>
      </w:r>
      <w:r w:rsidR="00F57147" w:rsidRPr="00EB0CE2">
        <w:rPr>
          <w:rFonts w:ascii="Times New Roman" w:hAnsi="Times New Roman" w:cs="Times New Roman"/>
          <w:sz w:val="24"/>
          <w:szCs w:val="24"/>
          <w:lang w:val="en-GB"/>
        </w:rPr>
        <w:t>, who rated their knowedge 5 to 10</w:t>
      </w:r>
      <w:r w:rsidR="004125D6" w:rsidRPr="00EB0CE2">
        <w:rPr>
          <w:rFonts w:ascii="Times New Roman" w:hAnsi="Times New Roman" w:cs="Times New Roman"/>
          <w:sz w:val="24"/>
          <w:szCs w:val="24"/>
          <w:lang w:val="en-GB"/>
        </w:rPr>
        <w:t>), followed by the soc</w:t>
      </w:r>
      <w:r w:rsidR="00451252" w:rsidRPr="00EB0CE2">
        <w:rPr>
          <w:rFonts w:ascii="Times New Roman" w:hAnsi="Times New Roman" w:cs="Times New Roman"/>
          <w:sz w:val="24"/>
          <w:szCs w:val="24"/>
          <w:lang w:val="en-GB"/>
        </w:rPr>
        <w:t>iolinguistic competence (97.7%), and</w:t>
      </w:r>
      <w:r w:rsidR="004125D6" w:rsidRPr="00EB0CE2">
        <w:rPr>
          <w:rFonts w:ascii="Times New Roman" w:hAnsi="Times New Roman" w:cs="Times New Roman"/>
          <w:sz w:val="24"/>
          <w:szCs w:val="24"/>
          <w:lang w:val="en-GB"/>
        </w:rPr>
        <w:t xml:space="preserve"> the pragmatic </w:t>
      </w:r>
      <w:r w:rsidR="005D4F72" w:rsidRPr="00EB0CE2">
        <w:rPr>
          <w:rFonts w:ascii="Times New Roman" w:hAnsi="Times New Roman" w:cs="Times New Roman"/>
          <w:sz w:val="24"/>
          <w:szCs w:val="24"/>
          <w:lang w:val="en-GB"/>
        </w:rPr>
        <w:t xml:space="preserve">competence </w:t>
      </w:r>
      <w:r w:rsidR="004125D6" w:rsidRPr="00EB0CE2">
        <w:rPr>
          <w:rFonts w:ascii="Times New Roman" w:hAnsi="Times New Roman" w:cs="Times New Roman"/>
          <w:sz w:val="24"/>
          <w:szCs w:val="24"/>
          <w:lang w:val="en-GB"/>
        </w:rPr>
        <w:t>and</w:t>
      </w:r>
      <w:r w:rsidR="005D4F72" w:rsidRPr="00EB0CE2">
        <w:rPr>
          <w:rFonts w:ascii="Times New Roman" w:hAnsi="Times New Roman" w:cs="Times New Roman"/>
          <w:sz w:val="24"/>
          <w:szCs w:val="24"/>
          <w:lang w:val="en-GB"/>
        </w:rPr>
        <w:t xml:space="preserve"> the</w:t>
      </w:r>
      <w:r w:rsidR="004125D6" w:rsidRPr="00EB0CE2">
        <w:rPr>
          <w:rFonts w:ascii="Times New Roman" w:hAnsi="Times New Roman" w:cs="Times New Roman"/>
          <w:sz w:val="24"/>
          <w:szCs w:val="24"/>
          <w:lang w:val="en-GB"/>
        </w:rPr>
        <w:t xml:space="preserve"> plurilingual and pluricultural ones (77.3% each). </w:t>
      </w:r>
    </w:p>
    <w:p w14:paraId="4FB6703F" w14:textId="2B1D5061" w:rsidR="00942D83" w:rsidRPr="006D72F4" w:rsidRDefault="00B17B32"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As revealed in Figure X, differences are found in some competences regarding the percentage of raters who claim their knowledge is insufficient or excellent. </w:t>
      </w:r>
      <w:r w:rsidR="00406DE5" w:rsidRPr="00EB0CE2">
        <w:rPr>
          <w:rFonts w:ascii="Times New Roman" w:hAnsi="Times New Roman" w:cs="Times New Roman"/>
          <w:sz w:val="24"/>
          <w:szCs w:val="24"/>
          <w:lang w:val="en-GB"/>
        </w:rPr>
        <w:t>Thus, for</w:t>
      </w:r>
      <w:r w:rsidRPr="00EB0CE2">
        <w:rPr>
          <w:rFonts w:ascii="Times New Roman" w:hAnsi="Times New Roman" w:cs="Times New Roman"/>
          <w:sz w:val="24"/>
          <w:szCs w:val="24"/>
          <w:lang w:val="en-GB"/>
        </w:rPr>
        <w:t xml:space="preserve"> </w:t>
      </w:r>
      <w:r w:rsidR="00F113E4" w:rsidRPr="00EB0CE2">
        <w:rPr>
          <w:rFonts w:ascii="Times New Roman" w:hAnsi="Times New Roman" w:cs="Times New Roman"/>
          <w:sz w:val="24"/>
          <w:szCs w:val="24"/>
          <w:lang w:val="en-GB"/>
        </w:rPr>
        <w:t xml:space="preserve">the linguistic and sociolinguistic competences, which are the ones evaluators claim to </w:t>
      </w:r>
      <w:r w:rsidR="00BD7452" w:rsidRPr="00EB0CE2">
        <w:rPr>
          <w:rFonts w:ascii="Times New Roman" w:hAnsi="Times New Roman" w:cs="Times New Roman"/>
          <w:sz w:val="24"/>
          <w:szCs w:val="24"/>
          <w:lang w:val="en-GB"/>
        </w:rPr>
        <w:t>know more, differences can be established regarding insufficient knowledge (4.3% on the sociolinguistic competence and 0 % on the lingu</w:t>
      </w:r>
      <w:r w:rsidR="00965953" w:rsidRPr="00EB0CE2">
        <w:rPr>
          <w:rFonts w:ascii="Times New Roman" w:hAnsi="Times New Roman" w:cs="Times New Roman"/>
          <w:sz w:val="24"/>
          <w:szCs w:val="24"/>
          <w:lang w:val="en-GB"/>
        </w:rPr>
        <w:t>istic) or excellent knowledge (</w:t>
      </w:r>
      <w:r w:rsidR="00BD7452" w:rsidRPr="00EB0CE2">
        <w:rPr>
          <w:rFonts w:ascii="Times New Roman" w:hAnsi="Times New Roman" w:cs="Times New Roman"/>
          <w:sz w:val="24"/>
          <w:szCs w:val="24"/>
          <w:lang w:val="en-GB"/>
        </w:rPr>
        <w:t xml:space="preserve">77.22% on the linguistic competence and only 40.9 % on the sociolinguistic one). </w:t>
      </w:r>
      <w:r w:rsidR="00265AA8" w:rsidRPr="00EB0CE2">
        <w:rPr>
          <w:rFonts w:ascii="Times New Roman" w:hAnsi="Times New Roman" w:cs="Times New Roman"/>
          <w:sz w:val="24"/>
          <w:szCs w:val="24"/>
          <w:lang w:val="en-GB"/>
        </w:rPr>
        <w:t>The</w:t>
      </w:r>
      <w:r w:rsidR="00D3546C" w:rsidRPr="00EB0CE2">
        <w:rPr>
          <w:rFonts w:ascii="Times New Roman" w:hAnsi="Times New Roman" w:cs="Times New Roman"/>
          <w:sz w:val="24"/>
          <w:szCs w:val="24"/>
          <w:lang w:val="en-GB"/>
        </w:rPr>
        <w:t xml:space="preserve"> other two competences, the pragmatic and the plurilingual and pluricultural competence</w:t>
      </w:r>
      <w:r w:rsidR="00B2063C" w:rsidRPr="00EB0CE2">
        <w:rPr>
          <w:rFonts w:ascii="Times New Roman" w:hAnsi="Times New Roman" w:cs="Times New Roman"/>
          <w:sz w:val="24"/>
          <w:szCs w:val="24"/>
          <w:lang w:val="en-GB"/>
        </w:rPr>
        <w:t>,</w:t>
      </w:r>
      <w:r w:rsidR="00D3546C" w:rsidRPr="00EB0CE2">
        <w:rPr>
          <w:rFonts w:ascii="Times New Roman" w:hAnsi="Times New Roman" w:cs="Times New Roman"/>
          <w:sz w:val="24"/>
          <w:szCs w:val="24"/>
          <w:lang w:val="en-GB"/>
        </w:rPr>
        <w:t xml:space="preserve"> show the same percentage of evaluators indicating that their knowledge is insufficient (22.7%), sufficient (13.7%), advanced (34.1%) and excellent (29.5%). </w:t>
      </w:r>
      <w:r w:rsidR="00047B28" w:rsidRPr="00EB0CE2">
        <w:rPr>
          <w:rFonts w:ascii="Times New Roman" w:hAnsi="Times New Roman" w:cs="Times New Roman"/>
          <w:sz w:val="24"/>
          <w:szCs w:val="24"/>
          <w:lang w:val="en-GB"/>
        </w:rPr>
        <w:t xml:space="preserve"> </w:t>
      </w:r>
      <w:r w:rsidR="0036754E" w:rsidRPr="00EB0CE2">
        <w:rPr>
          <w:rFonts w:ascii="Times New Roman" w:hAnsi="Times New Roman" w:cs="Times New Roman"/>
          <w:sz w:val="24"/>
          <w:szCs w:val="24"/>
          <w:lang w:val="en-GB"/>
        </w:rPr>
        <w:t>R</w:t>
      </w:r>
      <w:r w:rsidR="00855DB9" w:rsidRPr="00EB0CE2">
        <w:rPr>
          <w:rFonts w:ascii="Times New Roman" w:hAnsi="Times New Roman" w:cs="Times New Roman"/>
          <w:sz w:val="24"/>
          <w:szCs w:val="24"/>
          <w:lang w:val="en-GB"/>
        </w:rPr>
        <w:t>aters seem not to be conscious of the need to focus on the sociolinguistic, pragmatic and plurilingual and pluricultural competences, as they did not mention them when asked about the contents which were missing in their training or what they would need to improve their evaluation task</w:t>
      </w:r>
      <w:r w:rsidR="0036754E" w:rsidRPr="00EB0CE2">
        <w:rPr>
          <w:rFonts w:ascii="Times New Roman" w:hAnsi="Times New Roman" w:cs="Times New Roman"/>
          <w:sz w:val="24"/>
          <w:szCs w:val="24"/>
          <w:lang w:val="en-GB"/>
        </w:rPr>
        <w:t>.T</w:t>
      </w:r>
      <w:r w:rsidR="00855DB9" w:rsidRPr="00EB0CE2">
        <w:rPr>
          <w:rFonts w:ascii="Times New Roman" w:hAnsi="Times New Roman" w:cs="Times New Roman"/>
          <w:sz w:val="24"/>
          <w:szCs w:val="24"/>
          <w:lang w:val="en-GB"/>
        </w:rPr>
        <w:t>he</w:t>
      </w:r>
      <w:r w:rsidR="0036754E" w:rsidRPr="00EB0CE2">
        <w:rPr>
          <w:rFonts w:ascii="Times New Roman" w:hAnsi="Times New Roman" w:cs="Times New Roman"/>
          <w:sz w:val="24"/>
          <w:szCs w:val="24"/>
          <w:lang w:val="en-GB"/>
        </w:rPr>
        <w:t>se</w:t>
      </w:r>
      <w:r w:rsidR="00855DB9" w:rsidRPr="00EB0CE2">
        <w:rPr>
          <w:rFonts w:ascii="Times New Roman" w:hAnsi="Times New Roman" w:cs="Times New Roman"/>
          <w:sz w:val="24"/>
          <w:szCs w:val="24"/>
          <w:lang w:val="en-GB"/>
        </w:rPr>
        <w:t xml:space="preserve"> low percentages in the excellent knowledge of such competences point to </w:t>
      </w:r>
      <w:r w:rsidR="00942D83" w:rsidRPr="00EB0CE2">
        <w:rPr>
          <w:rFonts w:ascii="Times New Roman" w:hAnsi="Times New Roman" w:cs="Times New Roman"/>
          <w:sz w:val="24"/>
          <w:szCs w:val="24"/>
          <w:lang w:val="en-GB"/>
        </w:rPr>
        <w:t>t</w:t>
      </w:r>
      <w:r w:rsidR="00855DB9" w:rsidRPr="00EB0CE2">
        <w:rPr>
          <w:rFonts w:ascii="Times New Roman" w:hAnsi="Times New Roman" w:cs="Times New Roman"/>
          <w:sz w:val="24"/>
          <w:szCs w:val="24"/>
          <w:lang w:val="en-GB"/>
        </w:rPr>
        <w:t>he need to pay attention to them in raters’ training to improve raters’ knowledge of those competences</w:t>
      </w:r>
      <w:r w:rsidR="00855DB9" w:rsidRPr="006D72F4">
        <w:rPr>
          <w:rFonts w:ascii="Times New Roman" w:hAnsi="Times New Roman" w:cs="Times New Roman"/>
          <w:sz w:val="24"/>
          <w:szCs w:val="24"/>
          <w:lang w:val="en-GB"/>
        </w:rPr>
        <w:t>.</w:t>
      </w:r>
    </w:p>
    <w:p w14:paraId="2AC4451D" w14:textId="07FEA96D" w:rsidR="00F81580" w:rsidRPr="00F15F8D" w:rsidRDefault="004F0988" w:rsidP="00406DE5">
      <w:pPr>
        <w:ind w:firstLine="708"/>
        <w:jc w:val="both"/>
        <w:rPr>
          <w:rFonts w:asciiTheme="majorHAnsi" w:hAnsiTheme="majorHAnsi" w:cstheme="majorHAnsi"/>
          <w:lang w:val="en-GB"/>
        </w:rPr>
      </w:pPr>
      <w:r w:rsidRPr="00F15F8D">
        <w:rPr>
          <w:rFonts w:asciiTheme="majorHAnsi" w:hAnsiTheme="majorHAnsi" w:cstheme="majorHAnsi"/>
          <w:noProof/>
          <w:lang w:eastAsia="es-ES"/>
        </w:rPr>
        <w:drawing>
          <wp:inline distT="0" distB="0" distL="0" distR="0" wp14:anchorId="4669241C" wp14:editId="13CC5005">
            <wp:extent cx="4993420" cy="5860112"/>
            <wp:effectExtent l="0" t="0" r="17145" b="762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69C3896" w14:textId="678ABA4E" w:rsidR="00842557" w:rsidRPr="00EB0CE2" w:rsidRDefault="00451252">
      <w:pPr>
        <w:rPr>
          <w:rFonts w:ascii="Times New Roman" w:hAnsi="Times New Roman" w:cs="Times New Roman"/>
          <w:sz w:val="20"/>
          <w:szCs w:val="20"/>
          <w:lang w:val="en-GB"/>
        </w:rPr>
      </w:pPr>
      <w:r w:rsidRPr="00EB0CE2">
        <w:rPr>
          <w:rFonts w:ascii="Times New Roman" w:hAnsi="Times New Roman" w:cs="Times New Roman"/>
          <w:sz w:val="20"/>
          <w:szCs w:val="20"/>
          <w:lang w:val="en-GB"/>
        </w:rPr>
        <w:t xml:space="preserve">Figure </w:t>
      </w:r>
      <w:r w:rsidR="008E428A" w:rsidRPr="00EB0CE2">
        <w:rPr>
          <w:rFonts w:ascii="Times New Roman" w:hAnsi="Times New Roman" w:cs="Times New Roman"/>
          <w:sz w:val="20"/>
          <w:szCs w:val="20"/>
          <w:lang w:val="en-GB"/>
        </w:rPr>
        <w:t>X</w:t>
      </w:r>
      <w:r w:rsidR="00047B28" w:rsidRPr="00EB0CE2">
        <w:rPr>
          <w:rFonts w:ascii="Times New Roman" w:hAnsi="Times New Roman" w:cs="Times New Roman"/>
          <w:sz w:val="20"/>
          <w:szCs w:val="20"/>
          <w:lang w:val="en-GB"/>
        </w:rPr>
        <w:t>. Evaluators’ perceived knowledge of the four competences</w:t>
      </w:r>
    </w:p>
    <w:p w14:paraId="72339E2B" w14:textId="77777777" w:rsidR="00047B28" w:rsidRPr="00EB0CE2" w:rsidRDefault="00047B28" w:rsidP="00EB0CE2">
      <w:pPr>
        <w:spacing w:after="0" w:line="240" w:lineRule="auto"/>
        <w:rPr>
          <w:rFonts w:ascii="Times New Roman" w:hAnsi="Times New Roman" w:cs="Times New Roman"/>
          <w:sz w:val="24"/>
          <w:szCs w:val="24"/>
          <w:lang w:val="en-GB"/>
        </w:rPr>
      </w:pPr>
    </w:p>
    <w:p w14:paraId="4147C2FE" w14:textId="326B89DA" w:rsidR="00846BC7" w:rsidRPr="00EB0CE2" w:rsidRDefault="00340481"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Evaluators were also asked about the use of the descriptors </w:t>
      </w:r>
      <w:r w:rsidR="00F81580" w:rsidRPr="00EB0CE2">
        <w:rPr>
          <w:rFonts w:ascii="Times New Roman" w:hAnsi="Times New Roman" w:cs="Times New Roman"/>
          <w:sz w:val="24"/>
          <w:szCs w:val="24"/>
          <w:lang w:val="en-GB"/>
        </w:rPr>
        <w:t>for the different competences in th</w:t>
      </w:r>
      <w:r w:rsidR="000E79B5" w:rsidRPr="00EB0CE2">
        <w:rPr>
          <w:rFonts w:ascii="Times New Roman" w:hAnsi="Times New Roman" w:cs="Times New Roman"/>
          <w:sz w:val="24"/>
          <w:szCs w:val="24"/>
          <w:lang w:val="en-GB"/>
        </w:rPr>
        <w:t xml:space="preserve">e rubrics. As seen in Figure </w:t>
      </w:r>
      <w:r w:rsidR="00496CAB" w:rsidRPr="00EB0CE2">
        <w:rPr>
          <w:rFonts w:ascii="Times New Roman" w:hAnsi="Times New Roman" w:cs="Times New Roman"/>
          <w:sz w:val="24"/>
          <w:szCs w:val="24"/>
          <w:lang w:val="en-GB"/>
        </w:rPr>
        <w:t>X</w:t>
      </w:r>
      <w:r w:rsidR="000E79B5" w:rsidRPr="00EB0CE2">
        <w:rPr>
          <w:rFonts w:ascii="Times New Roman" w:hAnsi="Times New Roman" w:cs="Times New Roman"/>
          <w:sz w:val="24"/>
          <w:szCs w:val="24"/>
          <w:lang w:val="en-GB"/>
        </w:rPr>
        <w:t xml:space="preserve">, differences were observed. </w:t>
      </w:r>
      <w:r w:rsidR="00846BC7" w:rsidRPr="00EB0CE2">
        <w:rPr>
          <w:rFonts w:ascii="Times New Roman" w:hAnsi="Times New Roman" w:cs="Times New Roman"/>
          <w:sz w:val="24"/>
          <w:szCs w:val="24"/>
          <w:lang w:val="en-GB"/>
        </w:rPr>
        <w:t xml:space="preserve"> First, the descriptors which</w:t>
      </w:r>
      <w:r w:rsidR="00AE4A8E" w:rsidRPr="00EB0CE2">
        <w:rPr>
          <w:rFonts w:ascii="Times New Roman" w:hAnsi="Times New Roman" w:cs="Times New Roman"/>
          <w:sz w:val="24"/>
          <w:szCs w:val="24"/>
          <w:lang w:val="en-GB"/>
        </w:rPr>
        <w:t xml:space="preserve"> evaluators identify </w:t>
      </w:r>
      <w:r w:rsidR="00F72BF8" w:rsidRPr="00EB0CE2">
        <w:rPr>
          <w:rFonts w:ascii="Times New Roman" w:hAnsi="Times New Roman" w:cs="Times New Roman"/>
          <w:sz w:val="24"/>
          <w:szCs w:val="24"/>
          <w:lang w:val="en-GB"/>
        </w:rPr>
        <w:t>as employed</w:t>
      </w:r>
      <w:r w:rsidR="00846BC7" w:rsidRPr="00EB0CE2">
        <w:rPr>
          <w:rFonts w:ascii="Times New Roman" w:hAnsi="Times New Roman" w:cs="Times New Roman"/>
          <w:sz w:val="24"/>
          <w:szCs w:val="24"/>
          <w:lang w:val="en-GB"/>
        </w:rPr>
        <w:t xml:space="preserve"> in the rubrics (as evaluators ranked their use 5 to 10</w:t>
      </w:r>
      <w:r w:rsidR="007367CD" w:rsidRPr="00EB0CE2">
        <w:rPr>
          <w:rFonts w:ascii="Times New Roman" w:hAnsi="Times New Roman" w:cs="Times New Roman"/>
          <w:sz w:val="24"/>
          <w:szCs w:val="24"/>
          <w:lang w:val="en-GB"/>
        </w:rPr>
        <w:t xml:space="preserve"> on the 10-point Likert scale</w:t>
      </w:r>
      <w:r w:rsidR="00846BC7" w:rsidRPr="00EB0CE2">
        <w:rPr>
          <w:rFonts w:ascii="Times New Roman" w:hAnsi="Times New Roman" w:cs="Times New Roman"/>
          <w:sz w:val="24"/>
          <w:szCs w:val="24"/>
          <w:lang w:val="en-GB"/>
        </w:rPr>
        <w:t xml:space="preserve">) are the linguistic descriptors (97.8%), the sociolinguistic descriptors (81.8%), the pragmatic descriptors (68.1%) and then the plurilingual and pluricultural descriptors (40.8%). </w:t>
      </w:r>
      <w:r w:rsidR="008E428A" w:rsidRPr="00EB0CE2">
        <w:rPr>
          <w:rFonts w:ascii="Times New Roman" w:hAnsi="Times New Roman" w:cs="Times New Roman"/>
          <w:sz w:val="24"/>
          <w:szCs w:val="24"/>
          <w:lang w:val="en-GB"/>
        </w:rPr>
        <w:t xml:space="preserve">The results, therefore, </w:t>
      </w:r>
      <w:r w:rsidR="0094196B" w:rsidRPr="00EB0CE2">
        <w:rPr>
          <w:rFonts w:ascii="Times New Roman" w:hAnsi="Times New Roman" w:cs="Times New Roman"/>
          <w:sz w:val="24"/>
          <w:szCs w:val="24"/>
          <w:lang w:val="en-GB"/>
        </w:rPr>
        <w:t>are in line with the evaluators’ knowledge of the competences analysed above.</w:t>
      </w:r>
    </w:p>
    <w:p w14:paraId="79106F59" w14:textId="3610B133" w:rsidR="0095675A" w:rsidRPr="00EB0CE2" w:rsidRDefault="00DF5380" w:rsidP="00EB0CE2">
      <w:pPr>
        <w:spacing w:after="0" w:line="240" w:lineRule="auto"/>
        <w:ind w:firstLine="708"/>
        <w:jc w:val="both"/>
        <w:rPr>
          <w:rFonts w:ascii="Times New Roman" w:hAnsi="Times New Roman" w:cs="Times New Roman"/>
          <w:sz w:val="24"/>
          <w:szCs w:val="24"/>
          <w:highlight w:val="green"/>
          <w:lang w:val="en-GB"/>
        </w:rPr>
      </w:pPr>
      <w:r w:rsidRPr="00EB0CE2">
        <w:rPr>
          <w:rFonts w:ascii="Times New Roman" w:hAnsi="Times New Roman" w:cs="Times New Roman"/>
          <w:sz w:val="24"/>
          <w:szCs w:val="24"/>
          <w:lang w:val="en-GB"/>
        </w:rPr>
        <w:t xml:space="preserve">Second, </w:t>
      </w:r>
      <w:r w:rsidR="00142D09" w:rsidRPr="00EB0CE2">
        <w:rPr>
          <w:rFonts w:ascii="Times New Roman" w:hAnsi="Times New Roman" w:cs="Times New Roman"/>
          <w:sz w:val="24"/>
          <w:szCs w:val="24"/>
          <w:lang w:val="en-GB"/>
        </w:rPr>
        <w:t>the percentage of evaluators who admitted a very limited use of descriptors</w:t>
      </w:r>
      <w:r w:rsidR="00604E7B" w:rsidRPr="00EB0CE2">
        <w:rPr>
          <w:rFonts w:ascii="Times New Roman" w:hAnsi="Times New Roman" w:cs="Times New Roman"/>
          <w:sz w:val="24"/>
          <w:szCs w:val="24"/>
          <w:lang w:val="en-GB"/>
        </w:rPr>
        <w:t xml:space="preserve"> to evaluate candidates</w:t>
      </w:r>
      <w:r w:rsidR="00142D09" w:rsidRPr="00EB0CE2">
        <w:rPr>
          <w:rFonts w:ascii="Times New Roman" w:hAnsi="Times New Roman" w:cs="Times New Roman"/>
          <w:sz w:val="24"/>
          <w:szCs w:val="24"/>
          <w:lang w:val="en-GB"/>
        </w:rPr>
        <w:t xml:space="preserve">, as rated with 1 on the 1-10 Likert scale, is high in all competences. This is specially striking in the plurilingual and pluricultural competece, with almost two thirds of the evaluators (36.4%) selecting the minimum punctuation </w:t>
      </w:r>
      <w:r w:rsidR="00B2111D" w:rsidRPr="00EB0CE2">
        <w:rPr>
          <w:rFonts w:ascii="Times New Roman" w:hAnsi="Times New Roman" w:cs="Times New Roman"/>
          <w:sz w:val="24"/>
          <w:szCs w:val="24"/>
          <w:lang w:val="en-GB"/>
        </w:rPr>
        <w:t xml:space="preserve">possible. As </w:t>
      </w:r>
      <w:r w:rsidR="00142D09" w:rsidRPr="00EB0CE2">
        <w:rPr>
          <w:rFonts w:ascii="Times New Roman" w:hAnsi="Times New Roman" w:cs="Times New Roman"/>
          <w:sz w:val="24"/>
          <w:szCs w:val="24"/>
          <w:lang w:val="en-GB"/>
        </w:rPr>
        <w:t>seen in Figure</w:t>
      </w:r>
      <w:r w:rsidR="00604E7B" w:rsidRPr="00EB0CE2">
        <w:rPr>
          <w:rFonts w:ascii="Times New Roman" w:hAnsi="Times New Roman" w:cs="Times New Roman"/>
          <w:sz w:val="24"/>
          <w:szCs w:val="24"/>
          <w:lang w:val="en-GB"/>
        </w:rPr>
        <w:t xml:space="preserve"> </w:t>
      </w:r>
      <w:r w:rsidR="002B35C0" w:rsidRPr="00EB0CE2">
        <w:rPr>
          <w:rFonts w:ascii="Times New Roman" w:hAnsi="Times New Roman" w:cs="Times New Roman"/>
          <w:sz w:val="24"/>
          <w:szCs w:val="24"/>
          <w:lang w:val="en-GB"/>
        </w:rPr>
        <w:t>X</w:t>
      </w:r>
      <w:r w:rsidR="00142D09" w:rsidRPr="00EB0CE2">
        <w:rPr>
          <w:rFonts w:ascii="Times New Roman" w:hAnsi="Times New Roman" w:cs="Times New Roman"/>
          <w:sz w:val="24"/>
          <w:szCs w:val="24"/>
          <w:lang w:val="en-GB"/>
        </w:rPr>
        <w:t xml:space="preserve">, </w:t>
      </w:r>
      <w:r w:rsidR="00DB39CA" w:rsidRPr="00EB0CE2">
        <w:rPr>
          <w:rFonts w:ascii="Times New Roman" w:hAnsi="Times New Roman" w:cs="Times New Roman"/>
          <w:sz w:val="24"/>
          <w:szCs w:val="24"/>
          <w:lang w:val="en-GB"/>
        </w:rPr>
        <w:t>18.2% of the evaluators</w:t>
      </w:r>
      <w:r w:rsidR="0095675A" w:rsidRPr="00EB0CE2">
        <w:rPr>
          <w:rFonts w:ascii="Times New Roman" w:hAnsi="Times New Roman" w:cs="Times New Roman"/>
          <w:sz w:val="24"/>
          <w:szCs w:val="24"/>
          <w:lang w:val="en-GB"/>
        </w:rPr>
        <w:t xml:space="preserve"> indicated that they rarely used the descriptors for the </w:t>
      </w:r>
      <w:r w:rsidR="00142D09" w:rsidRPr="00EB0CE2">
        <w:rPr>
          <w:rFonts w:ascii="Times New Roman" w:hAnsi="Times New Roman" w:cs="Times New Roman"/>
          <w:sz w:val="24"/>
          <w:szCs w:val="24"/>
          <w:lang w:val="en-GB"/>
        </w:rPr>
        <w:t xml:space="preserve">pragmatic competence </w:t>
      </w:r>
      <w:r w:rsidR="0095675A" w:rsidRPr="00EB0CE2">
        <w:rPr>
          <w:rFonts w:ascii="Times New Roman" w:hAnsi="Times New Roman" w:cs="Times New Roman"/>
          <w:sz w:val="24"/>
          <w:szCs w:val="24"/>
          <w:lang w:val="en-GB"/>
        </w:rPr>
        <w:t>and 11.4% of the evaluators indicated that this was the case with the ones for the sociolinguistic competence.</w:t>
      </w:r>
    </w:p>
    <w:p w14:paraId="068CAAD0" w14:textId="5757BD53" w:rsidR="00B2111D" w:rsidRDefault="00B2111D"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All in all, it can be claimed that the descriptors which are more present in the evaluation of candidates are the linguistic and the sociolinguistic ones, then followed by the pragmatic descriptors. </w:t>
      </w:r>
      <w:r w:rsidR="00B2063C" w:rsidRPr="00EB0CE2">
        <w:rPr>
          <w:rFonts w:ascii="Times New Roman" w:hAnsi="Times New Roman" w:cs="Times New Roman"/>
          <w:sz w:val="24"/>
          <w:szCs w:val="24"/>
          <w:lang w:val="en-GB"/>
        </w:rPr>
        <w:t>T</w:t>
      </w:r>
      <w:r w:rsidRPr="00EB0CE2">
        <w:rPr>
          <w:rFonts w:ascii="Times New Roman" w:hAnsi="Times New Roman" w:cs="Times New Roman"/>
          <w:sz w:val="24"/>
          <w:szCs w:val="24"/>
          <w:lang w:val="en-GB"/>
        </w:rPr>
        <w:t>he plurilingual and the pluricutural competence</w:t>
      </w:r>
      <w:r w:rsidR="006B0E3A" w:rsidRPr="00EB0CE2">
        <w:rPr>
          <w:rFonts w:ascii="Times New Roman" w:hAnsi="Times New Roman" w:cs="Times New Roman"/>
          <w:sz w:val="24"/>
          <w:szCs w:val="24"/>
          <w:lang w:val="en-GB"/>
        </w:rPr>
        <w:t xml:space="preserve"> is</w:t>
      </w:r>
      <w:r w:rsidRPr="00EB0CE2">
        <w:rPr>
          <w:rFonts w:ascii="Times New Roman" w:hAnsi="Times New Roman" w:cs="Times New Roman"/>
          <w:sz w:val="24"/>
          <w:szCs w:val="24"/>
          <w:lang w:val="en-GB"/>
        </w:rPr>
        <w:t xml:space="preserve"> </w:t>
      </w:r>
      <w:r w:rsidR="002E362E" w:rsidRPr="00EB0CE2">
        <w:rPr>
          <w:rFonts w:ascii="Times New Roman" w:hAnsi="Times New Roman" w:cs="Times New Roman"/>
          <w:sz w:val="24"/>
          <w:szCs w:val="24"/>
          <w:lang w:val="en-GB"/>
        </w:rPr>
        <w:t>identified</w:t>
      </w:r>
      <w:r w:rsidRPr="00EB0CE2">
        <w:rPr>
          <w:rFonts w:ascii="Times New Roman" w:hAnsi="Times New Roman" w:cs="Times New Roman"/>
          <w:sz w:val="24"/>
          <w:szCs w:val="24"/>
          <w:lang w:val="en-GB"/>
        </w:rPr>
        <w:t xml:space="preserve"> as the least used </w:t>
      </w:r>
      <w:r w:rsidR="002E362E" w:rsidRPr="00EB0CE2">
        <w:rPr>
          <w:rFonts w:ascii="Times New Roman" w:hAnsi="Times New Roman" w:cs="Times New Roman"/>
          <w:sz w:val="24"/>
          <w:szCs w:val="24"/>
          <w:lang w:val="en-GB"/>
        </w:rPr>
        <w:t xml:space="preserve">one </w:t>
      </w:r>
      <w:r w:rsidRPr="00EB0CE2">
        <w:rPr>
          <w:rFonts w:ascii="Times New Roman" w:hAnsi="Times New Roman" w:cs="Times New Roman"/>
          <w:sz w:val="24"/>
          <w:szCs w:val="24"/>
          <w:lang w:val="en-GB"/>
        </w:rPr>
        <w:t>in the rubrics.</w:t>
      </w:r>
      <w:r w:rsidR="00AE4A8E" w:rsidRPr="00EB0CE2">
        <w:rPr>
          <w:rFonts w:ascii="Times New Roman" w:hAnsi="Times New Roman" w:cs="Times New Roman"/>
          <w:sz w:val="24"/>
          <w:szCs w:val="24"/>
          <w:lang w:val="en-GB"/>
        </w:rPr>
        <w:t xml:space="preserve"> </w:t>
      </w:r>
      <w:r w:rsidR="005F42E7" w:rsidRPr="00EB0CE2">
        <w:rPr>
          <w:rFonts w:ascii="Times New Roman" w:hAnsi="Times New Roman" w:cs="Times New Roman"/>
          <w:sz w:val="24"/>
          <w:szCs w:val="24"/>
          <w:lang w:val="en-GB"/>
        </w:rPr>
        <w:t xml:space="preserve">Although the use of the descriptors for the plurilingual and pluricultural competence in a hight-stakes language accreditation test may be subject to debate, the results obtained may </w:t>
      </w:r>
      <w:r w:rsidR="00D95706" w:rsidRPr="00EB0CE2">
        <w:rPr>
          <w:rFonts w:ascii="Times New Roman" w:hAnsi="Times New Roman" w:cs="Times New Roman"/>
          <w:sz w:val="24"/>
          <w:szCs w:val="24"/>
          <w:lang w:val="en-GB"/>
        </w:rPr>
        <w:t>indicate that</w:t>
      </w:r>
      <w:r w:rsidR="00AE4A8E" w:rsidRPr="00EB0CE2">
        <w:rPr>
          <w:rFonts w:ascii="Times New Roman" w:hAnsi="Times New Roman" w:cs="Times New Roman"/>
          <w:sz w:val="24"/>
          <w:szCs w:val="24"/>
          <w:lang w:val="en-GB"/>
        </w:rPr>
        <w:t xml:space="preserve"> evaluators </w:t>
      </w:r>
      <w:r w:rsidR="00C67E64" w:rsidRPr="00EB0CE2">
        <w:rPr>
          <w:rFonts w:ascii="Times New Roman" w:hAnsi="Times New Roman" w:cs="Times New Roman"/>
          <w:sz w:val="24"/>
          <w:szCs w:val="24"/>
          <w:lang w:val="en-GB"/>
        </w:rPr>
        <w:t xml:space="preserve">have difficulties when recognising </w:t>
      </w:r>
      <w:r w:rsidR="005F42E7" w:rsidRPr="00EB0CE2">
        <w:rPr>
          <w:rFonts w:ascii="Times New Roman" w:hAnsi="Times New Roman" w:cs="Times New Roman"/>
          <w:sz w:val="24"/>
          <w:szCs w:val="24"/>
          <w:lang w:val="en-GB"/>
        </w:rPr>
        <w:t>these descriptors</w:t>
      </w:r>
      <w:r w:rsidR="00C67E64" w:rsidRPr="00EB0CE2">
        <w:rPr>
          <w:rFonts w:ascii="Times New Roman" w:hAnsi="Times New Roman" w:cs="Times New Roman"/>
          <w:sz w:val="24"/>
          <w:szCs w:val="24"/>
          <w:lang w:val="en-GB"/>
        </w:rPr>
        <w:t xml:space="preserve"> in the rubrics, as they are not familiar with this competence. </w:t>
      </w:r>
      <w:r w:rsidR="00AE4A8E" w:rsidRPr="00EB0CE2">
        <w:rPr>
          <w:rFonts w:ascii="Times New Roman" w:hAnsi="Times New Roman" w:cs="Times New Roman"/>
          <w:sz w:val="24"/>
          <w:szCs w:val="24"/>
          <w:lang w:val="en-GB"/>
        </w:rPr>
        <w:t>However, it may also be the case that those who design the rubrics do so using the descriptors they are more familiar with</w:t>
      </w:r>
      <w:r w:rsidR="00C67E64" w:rsidRPr="00EB0CE2">
        <w:rPr>
          <w:rFonts w:ascii="Times New Roman" w:hAnsi="Times New Roman" w:cs="Times New Roman"/>
          <w:sz w:val="24"/>
          <w:szCs w:val="24"/>
          <w:lang w:val="en-GB"/>
        </w:rPr>
        <w:t xml:space="preserve">, the plurilingual and pluricultural competence not being well-known. </w:t>
      </w:r>
    </w:p>
    <w:p w14:paraId="5C06EEF2" w14:textId="77777777" w:rsidR="006D72F4" w:rsidRPr="00EB0CE2" w:rsidRDefault="006D72F4" w:rsidP="00EB0CE2">
      <w:pPr>
        <w:spacing w:after="0" w:line="240" w:lineRule="auto"/>
        <w:ind w:firstLine="708"/>
        <w:jc w:val="both"/>
        <w:rPr>
          <w:rFonts w:ascii="Times New Roman" w:hAnsi="Times New Roman" w:cs="Times New Roman"/>
          <w:sz w:val="24"/>
          <w:szCs w:val="24"/>
          <w:lang w:val="en-GB"/>
        </w:rPr>
      </w:pPr>
    </w:p>
    <w:p w14:paraId="4FAF23D1" w14:textId="77777777" w:rsidR="00F81580" w:rsidRPr="00F15F8D" w:rsidRDefault="00F81580">
      <w:pPr>
        <w:rPr>
          <w:rFonts w:asciiTheme="majorHAnsi" w:hAnsiTheme="majorHAnsi" w:cstheme="majorHAnsi"/>
          <w:lang w:val="en-GB"/>
        </w:rPr>
      </w:pPr>
      <w:r w:rsidRPr="00F15F8D">
        <w:rPr>
          <w:rFonts w:asciiTheme="majorHAnsi" w:hAnsiTheme="majorHAnsi" w:cstheme="majorHAnsi"/>
          <w:noProof/>
          <w:lang w:eastAsia="es-ES"/>
        </w:rPr>
        <w:drawing>
          <wp:inline distT="0" distB="0" distL="0" distR="0" wp14:anchorId="3CB1DE8E" wp14:editId="651423FE">
            <wp:extent cx="4018915" cy="6599361"/>
            <wp:effectExtent l="0" t="0" r="635" b="1143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CFDF640" w14:textId="6871F4A7" w:rsidR="005105E3" w:rsidRPr="00EB0CE2" w:rsidRDefault="007E0776">
      <w:pPr>
        <w:rPr>
          <w:rFonts w:ascii="Times New Roman" w:hAnsi="Times New Roman" w:cs="Times New Roman"/>
          <w:sz w:val="20"/>
          <w:szCs w:val="20"/>
          <w:lang w:val="en-GB"/>
        </w:rPr>
      </w:pPr>
      <w:r w:rsidRPr="00EB0CE2">
        <w:rPr>
          <w:rFonts w:ascii="Times New Roman" w:hAnsi="Times New Roman" w:cs="Times New Roman"/>
          <w:sz w:val="20"/>
          <w:szCs w:val="20"/>
          <w:lang w:val="en-GB"/>
        </w:rPr>
        <w:t xml:space="preserve">Figure </w:t>
      </w:r>
      <w:r w:rsidR="006B0E3A" w:rsidRPr="00EB0CE2">
        <w:rPr>
          <w:rFonts w:ascii="Times New Roman" w:hAnsi="Times New Roman" w:cs="Times New Roman"/>
          <w:sz w:val="20"/>
          <w:szCs w:val="20"/>
          <w:lang w:val="en-GB"/>
        </w:rPr>
        <w:t>X</w:t>
      </w:r>
      <w:r w:rsidRPr="00EB0CE2">
        <w:rPr>
          <w:rFonts w:ascii="Times New Roman" w:hAnsi="Times New Roman" w:cs="Times New Roman"/>
          <w:sz w:val="20"/>
          <w:szCs w:val="20"/>
          <w:lang w:val="en-GB"/>
        </w:rPr>
        <w:t>. Degree of descriptor use for the different competences: evaluators’ opinions</w:t>
      </w:r>
    </w:p>
    <w:p w14:paraId="440AF0E8" w14:textId="0670A92B" w:rsidR="00C44950" w:rsidRPr="00EB0CE2" w:rsidRDefault="00B13626" w:rsidP="00EB0CE2">
      <w:pPr>
        <w:spacing w:after="0" w:line="240" w:lineRule="auto"/>
        <w:rPr>
          <w:rFonts w:ascii="Times New Roman" w:hAnsi="Times New Roman" w:cs="Times New Roman"/>
          <w:b/>
          <w:i/>
          <w:sz w:val="24"/>
          <w:szCs w:val="24"/>
          <w:lang w:val="en-GB"/>
        </w:rPr>
      </w:pPr>
      <w:r w:rsidRPr="00EB0CE2">
        <w:rPr>
          <w:rFonts w:ascii="Times New Roman" w:hAnsi="Times New Roman" w:cs="Times New Roman"/>
          <w:b/>
          <w:i/>
          <w:sz w:val="24"/>
          <w:szCs w:val="24"/>
          <w:lang w:val="en-GB"/>
        </w:rPr>
        <w:t>P</w:t>
      </w:r>
      <w:r w:rsidR="00AC550E" w:rsidRPr="00EB0CE2">
        <w:rPr>
          <w:rFonts w:ascii="Times New Roman" w:hAnsi="Times New Roman" w:cs="Times New Roman"/>
          <w:b/>
          <w:i/>
          <w:sz w:val="24"/>
          <w:szCs w:val="24"/>
          <w:lang w:val="en-GB"/>
        </w:rPr>
        <w:t>erceived K</w:t>
      </w:r>
      <w:r w:rsidRPr="00EB0CE2">
        <w:rPr>
          <w:rFonts w:ascii="Times New Roman" w:hAnsi="Times New Roman" w:cs="Times New Roman"/>
          <w:b/>
          <w:i/>
          <w:sz w:val="24"/>
          <w:szCs w:val="24"/>
          <w:lang w:val="en-GB"/>
        </w:rPr>
        <w:t xml:space="preserve">nowledge of </w:t>
      </w:r>
      <w:r w:rsidR="00AC550E" w:rsidRPr="00EB0CE2">
        <w:rPr>
          <w:rFonts w:ascii="Times New Roman" w:hAnsi="Times New Roman" w:cs="Times New Roman"/>
          <w:b/>
          <w:i/>
          <w:sz w:val="24"/>
          <w:szCs w:val="24"/>
          <w:lang w:val="en-GB"/>
        </w:rPr>
        <w:t>Mediation and Action-oriented A</w:t>
      </w:r>
      <w:r w:rsidR="00C44950" w:rsidRPr="00EB0CE2">
        <w:rPr>
          <w:rFonts w:ascii="Times New Roman" w:hAnsi="Times New Roman" w:cs="Times New Roman"/>
          <w:b/>
          <w:i/>
          <w:sz w:val="24"/>
          <w:szCs w:val="24"/>
          <w:lang w:val="en-GB"/>
        </w:rPr>
        <w:t>pproach</w:t>
      </w:r>
    </w:p>
    <w:p w14:paraId="0D677F9D" w14:textId="77777777" w:rsidR="006D72F4" w:rsidRDefault="006D72F4" w:rsidP="006D72F4">
      <w:pPr>
        <w:spacing w:after="0" w:line="240" w:lineRule="auto"/>
        <w:jc w:val="both"/>
        <w:rPr>
          <w:rFonts w:ascii="Times New Roman" w:hAnsi="Times New Roman" w:cs="Times New Roman"/>
          <w:sz w:val="24"/>
          <w:szCs w:val="24"/>
          <w:lang w:val="en-GB"/>
        </w:rPr>
      </w:pPr>
    </w:p>
    <w:p w14:paraId="7D55D855" w14:textId="139B15B8" w:rsidR="007E0776" w:rsidRPr="00EB0CE2" w:rsidRDefault="00C44950" w:rsidP="006D72F4">
      <w:pPr>
        <w:spacing w:after="0" w:line="240" w:lineRule="auto"/>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Apart from the </w:t>
      </w:r>
      <w:r w:rsidR="00DE1BEA" w:rsidRPr="00EB0CE2">
        <w:rPr>
          <w:rFonts w:ascii="Times New Roman" w:hAnsi="Times New Roman" w:cs="Times New Roman"/>
          <w:sz w:val="24"/>
          <w:szCs w:val="24"/>
          <w:lang w:val="en-GB"/>
        </w:rPr>
        <w:t xml:space="preserve">detailed information on knowledge and use of </w:t>
      </w:r>
      <w:r w:rsidRPr="00EB0CE2">
        <w:rPr>
          <w:rFonts w:ascii="Times New Roman" w:hAnsi="Times New Roman" w:cs="Times New Roman"/>
          <w:sz w:val="24"/>
          <w:szCs w:val="24"/>
          <w:lang w:val="en-GB"/>
        </w:rPr>
        <w:t>competences</w:t>
      </w:r>
      <w:r w:rsidR="00DE1BEA" w:rsidRPr="00EB0CE2">
        <w:rPr>
          <w:rFonts w:ascii="Times New Roman" w:hAnsi="Times New Roman" w:cs="Times New Roman"/>
          <w:sz w:val="24"/>
          <w:szCs w:val="24"/>
          <w:lang w:val="en-GB"/>
        </w:rPr>
        <w:t xml:space="preserve"> and descriptors</w:t>
      </w:r>
      <w:r w:rsidRPr="00EB0CE2">
        <w:rPr>
          <w:rFonts w:ascii="Times New Roman" w:hAnsi="Times New Roman" w:cs="Times New Roman"/>
          <w:sz w:val="24"/>
          <w:szCs w:val="24"/>
          <w:lang w:val="en-GB"/>
        </w:rPr>
        <w:t>, section IV of</w:t>
      </w:r>
      <w:r w:rsidR="00DE1BEA" w:rsidRPr="00EB0CE2">
        <w:rPr>
          <w:rFonts w:ascii="Times New Roman" w:hAnsi="Times New Roman" w:cs="Times New Roman"/>
          <w:sz w:val="24"/>
          <w:szCs w:val="24"/>
          <w:lang w:val="en-GB"/>
        </w:rPr>
        <w:t xml:space="preserve"> the questionnaire also requested</w:t>
      </w:r>
      <w:r w:rsidRPr="00EB0CE2">
        <w:rPr>
          <w:rFonts w:ascii="Times New Roman" w:hAnsi="Times New Roman" w:cs="Times New Roman"/>
          <w:sz w:val="24"/>
          <w:szCs w:val="24"/>
          <w:lang w:val="en-GB"/>
        </w:rPr>
        <w:t xml:space="preserve"> information </w:t>
      </w:r>
      <w:r w:rsidR="006365FF" w:rsidRPr="00EB0CE2">
        <w:rPr>
          <w:rFonts w:ascii="Times New Roman" w:hAnsi="Times New Roman" w:cs="Times New Roman"/>
          <w:sz w:val="24"/>
          <w:szCs w:val="24"/>
          <w:lang w:val="en-GB"/>
        </w:rPr>
        <w:t xml:space="preserve">concerning </w:t>
      </w:r>
      <w:r w:rsidRPr="00EB0CE2">
        <w:rPr>
          <w:rFonts w:ascii="Times New Roman" w:hAnsi="Times New Roman" w:cs="Times New Roman"/>
          <w:sz w:val="24"/>
          <w:szCs w:val="24"/>
          <w:lang w:val="en-GB"/>
        </w:rPr>
        <w:t xml:space="preserve">mediation and the action-oriented approach. </w:t>
      </w:r>
      <w:r w:rsidR="00B43A98" w:rsidRPr="00EB0CE2">
        <w:rPr>
          <w:rFonts w:ascii="Times New Roman" w:hAnsi="Times New Roman" w:cs="Times New Roman"/>
          <w:sz w:val="24"/>
          <w:szCs w:val="24"/>
          <w:lang w:val="en-GB"/>
        </w:rPr>
        <w:t xml:space="preserve">To do so, evaluators were asked about </w:t>
      </w:r>
      <w:r w:rsidR="0080477C" w:rsidRPr="00EB0CE2">
        <w:rPr>
          <w:rFonts w:ascii="Times New Roman" w:hAnsi="Times New Roman" w:cs="Times New Roman"/>
          <w:sz w:val="24"/>
          <w:szCs w:val="24"/>
          <w:lang w:val="en-GB"/>
        </w:rPr>
        <w:t xml:space="preserve">the knowledge and use of descriptors for mediation as well as </w:t>
      </w:r>
      <w:r w:rsidR="00B43A98" w:rsidRPr="00EB0CE2">
        <w:rPr>
          <w:rFonts w:ascii="Times New Roman" w:hAnsi="Times New Roman" w:cs="Times New Roman"/>
          <w:sz w:val="24"/>
          <w:szCs w:val="24"/>
          <w:lang w:val="en-GB"/>
        </w:rPr>
        <w:t>their</w:t>
      </w:r>
      <w:r w:rsidR="0080477C" w:rsidRPr="00EB0CE2">
        <w:rPr>
          <w:rFonts w:ascii="Times New Roman" w:hAnsi="Times New Roman" w:cs="Times New Roman"/>
          <w:sz w:val="24"/>
          <w:szCs w:val="24"/>
          <w:lang w:val="en-GB"/>
        </w:rPr>
        <w:t xml:space="preserve"> knowledge of the action-oriented approach and the degree to which it was reflected on the candidates’ evaluation. </w:t>
      </w:r>
      <w:r w:rsidR="00E02F43" w:rsidRPr="00EB0CE2">
        <w:rPr>
          <w:rFonts w:ascii="Times New Roman" w:hAnsi="Times New Roman" w:cs="Times New Roman"/>
          <w:sz w:val="24"/>
          <w:szCs w:val="24"/>
          <w:lang w:val="en-GB"/>
        </w:rPr>
        <w:t xml:space="preserve">The data obtained in the </w:t>
      </w:r>
      <w:r w:rsidR="00B43A98" w:rsidRPr="00EB0CE2">
        <w:rPr>
          <w:rFonts w:ascii="Times New Roman" w:hAnsi="Times New Roman" w:cs="Times New Roman"/>
          <w:sz w:val="24"/>
          <w:szCs w:val="24"/>
          <w:lang w:val="en-GB"/>
        </w:rPr>
        <w:t>questionnaire</w:t>
      </w:r>
      <w:r w:rsidR="006B0E3A" w:rsidRPr="00EB0CE2">
        <w:rPr>
          <w:rFonts w:ascii="Times New Roman" w:hAnsi="Times New Roman" w:cs="Times New Roman"/>
          <w:sz w:val="24"/>
          <w:szCs w:val="24"/>
          <w:lang w:val="en-GB"/>
        </w:rPr>
        <w:t xml:space="preserve"> </w:t>
      </w:r>
      <w:r w:rsidR="00E02F43" w:rsidRPr="00EB0CE2">
        <w:rPr>
          <w:rFonts w:ascii="Times New Roman" w:hAnsi="Times New Roman" w:cs="Times New Roman"/>
          <w:sz w:val="24"/>
          <w:szCs w:val="24"/>
          <w:lang w:val="en-GB"/>
        </w:rPr>
        <w:t>reveals that evaluators are more familiar with the concept of mediation than with the action-oriented approach.</w:t>
      </w:r>
      <w:r w:rsidR="00CC61CF" w:rsidRPr="00EB0CE2">
        <w:rPr>
          <w:rFonts w:ascii="Times New Roman" w:hAnsi="Times New Roman" w:cs="Times New Roman"/>
          <w:sz w:val="24"/>
          <w:szCs w:val="24"/>
          <w:lang w:val="en-GB"/>
        </w:rPr>
        <w:t xml:space="preserve"> As seen in Figure </w:t>
      </w:r>
      <w:r w:rsidR="006B0E3A" w:rsidRPr="00EB0CE2">
        <w:rPr>
          <w:rFonts w:ascii="Times New Roman" w:hAnsi="Times New Roman" w:cs="Times New Roman"/>
          <w:sz w:val="24"/>
          <w:szCs w:val="24"/>
          <w:lang w:val="en-GB"/>
        </w:rPr>
        <w:t>X</w:t>
      </w:r>
      <w:r w:rsidR="007E0776" w:rsidRPr="00EB0CE2">
        <w:rPr>
          <w:rFonts w:ascii="Times New Roman" w:hAnsi="Times New Roman" w:cs="Times New Roman"/>
          <w:sz w:val="24"/>
          <w:szCs w:val="24"/>
          <w:lang w:val="en-GB"/>
        </w:rPr>
        <w:t>,</w:t>
      </w:r>
      <w:r w:rsidR="00CC61CF" w:rsidRPr="00EB0CE2">
        <w:rPr>
          <w:rFonts w:ascii="Times New Roman" w:hAnsi="Times New Roman" w:cs="Times New Roman"/>
          <w:sz w:val="24"/>
          <w:szCs w:val="24"/>
          <w:lang w:val="en-GB"/>
        </w:rPr>
        <w:t xml:space="preserve"> 38.6% of the evaluators indicate that their knowledge of the action-oriented approach is insufficient (1 to 4 in the Likert scale), whereas 15.9% of them indicate so for the knowledge of mediation. </w:t>
      </w:r>
    </w:p>
    <w:p w14:paraId="61593E25" w14:textId="0AB4C701" w:rsidR="009D4F48" w:rsidRPr="00EB0CE2" w:rsidRDefault="009D4F48"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Although the action-oriented approach is clearly defined in the CEFR and the CV and should, therefore, be well-known by evaluators, </w:t>
      </w:r>
      <w:r w:rsidR="006B0E3A" w:rsidRPr="00EB0CE2">
        <w:rPr>
          <w:rFonts w:ascii="Times New Roman" w:hAnsi="Times New Roman" w:cs="Times New Roman"/>
          <w:sz w:val="24"/>
          <w:szCs w:val="24"/>
          <w:lang w:val="en-GB"/>
        </w:rPr>
        <w:t xml:space="preserve">38.6% of </w:t>
      </w:r>
      <w:r w:rsidR="003F1F81" w:rsidRPr="00EB0CE2">
        <w:rPr>
          <w:rFonts w:ascii="Times New Roman" w:hAnsi="Times New Roman" w:cs="Times New Roman"/>
          <w:sz w:val="24"/>
          <w:szCs w:val="24"/>
          <w:lang w:val="en-GB"/>
        </w:rPr>
        <w:t>them</w:t>
      </w:r>
      <w:r w:rsidR="006B0E3A" w:rsidRPr="00EB0CE2">
        <w:rPr>
          <w:rFonts w:ascii="Times New Roman" w:hAnsi="Times New Roman" w:cs="Times New Roman"/>
          <w:sz w:val="24"/>
          <w:szCs w:val="24"/>
          <w:lang w:val="en-GB"/>
        </w:rPr>
        <w:t xml:space="preserve"> </w:t>
      </w:r>
      <w:r w:rsidR="00567B39" w:rsidRPr="00EB0CE2">
        <w:rPr>
          <w:rFonts w:ascii="Times New Roman" w:hAnsi="Times New Roman" w:cs="Times New Roman"/>
          <w:sz w:val="24"/>
          <w:szCs w:val="24"/>
          <w:lang w:val="en-GB"/>
        </w:rPr>
        <w:t xml:space="preserve">admit they </w:t>
      </w:r>
      <w:r w:rsidR="00D95706" w:rsidRPr="00EB0CE2">
        <w:rPr>
          <w:rFonts w:ascii="Times New Roman" w:hAnsi="Times New Roman" w:cs="Times New Roman"/>
          <w:sz w:val="24"/>
          <w:szCs w:val="24"/>
          <w:lang w:val="en-GB"/>
        </w:rPr>
        <w:t>are</w:t>
      </w:r>
      <w:r w:rsidR="00567B39" w:rsidRPr="00EB0CE2">
        <w:rPr>
          <w:rFonts w:ascii="Times New Roman" w:hAnsi="Times New Roman" w:cs="Times New Roman"/>
          <w:sz w:val="24"/>
          <w:szCs w:val="24"/>
          <w:lang w:val="en-GB"/>
        </w:rPr>
        <w:t xml:space="preserve"> not.</w:t>
      </w:r>
      <w:r w:rsidRPr="00EB0CE2">
        <w:rPr>
          <w:rFonts w:ascii="Times New Roman" w:hAnsi="Times New Roman" w:cs="Times New Roman"/>
          <w:sz w:val="24"/>
          <w:szCs w:val="24"/>
          <w:lang w:val="en-GB"/>
        </w:rPr>
        <w:t xml:space="preserve"> This fact may stem from the </w:t>
      </w:r>
      <w:r w:rsidR="00612C91" w:rsidRPr="00EB0CE2">
        <w:rPr>
          <w:rFonts w:ascii="Times New Roman" w:hAnsi="Times New Roman" w:cs="Times New Roman"/>
          <w:sz w:val="24"/>
          <w:szCs w:val="24"/>
          <w:lang w:val="en-GB"/>
        </w:rPr>
        <w:t xml:space="preserve">fact that </w:t>
      </w:r>
      <w:r w:rsidR="003F1F81" w:rsidRPr="00EB0CE2">
        <w:rPr>
          <w:rFonts w:ascii="Times New Roman" w:hAnsi="Times New Roman" w:cs="Times New Roman"/>
          <w:sz w:val="24"/>
          <w:szCs w:val="24"/>
          <w:lang w:val="en-GB"/>
        </w:rPr>
        <w:t xml:space="preserve">raters </w:t>
      </w:r>
      <w:r w:rsidRPr="00EB0CE2">
        <w:rPr>
          <w:rFonts w:ascii="Times New Roman" w:hAnsi="Times New Roman" w:cs="Times New Roman"/>
          <w:sz w:val="24"/>
          <w:szCs w:val="24"/>
          <w:lang w:val="en-GB"/>
        </w:rPr>
        <w:t xml:space="preserve">evaluate the action-oriented approach in an exam in which the candidates </w:t>
      </w:r>
      <w:r w:rsidR="007E0776" w:rsidRPr="00EB0CE2">
        <w:rPr>
          <w:rFonts w:ascii="Times New Roman" w:hAnsi="Times New Roman" w:cs="Times New Roman"/>
          <w:sz w:val="24"/>
          <w:szCs w:val="24"/>
          <w:lang w:val="en-GB"/>
        </w:rPr>
        <w:t>take</w:t>
      </w:r>
      <w:r w:rsidR="003F1F81" w:rsidRPr="00EB0CE2">
        <w:rPr>
          <w:rFonts w:ascii="Times New Roman" w:hAnsi="Times New Roman" w:cs="Times New Roman"/>
          <w:sz w:val="24"/>
          <w:szCs w:val="24"/>
          <w:lang w:val="en-GB"/>
        </w:rPr>
        <w:t xml:space="preserve"> tasks which already</w:t>
      </w:r>
      <w:r w:rsidR="007E0776" w:rsidRPr="00EB0CE2">
        <w:rPr>
          <w:rFonts w:ascii="Times New Roman" w:hAnsi="Times New Roman" w:cs="Times New Roman"/>
          <w:sz w:val="24"/>
          <w:szCs w:val="24"/>
          <w:lang w:val="en-GB"/>
        </w:rPr>
        <w:t xml:space="preserve"> follow</w:t>
      </w:r>
      <w:r w:rsidR="00612C91" w:rsidRPr="00EB0CE2">
        <w:rPr>
          <w:rFonts w:ascii="Times New Roman" w:hAnsi="Times New Roman" w:cs="Times New Roman"/>
          <w:sz w:val="24"/>
          <w:szCs w:val="24"/>
          <w:lang w:val="en-GB"/>
        </w:rPr>
        <w:t xml:space="preserve"> the action-oriented approach</w:t>
      </w:r>
      <w:r w:rsidR="007E0776" w:rsidRPr="00EB0CE2">
        <w:rPr>
          <w:rFonts w:ascii="Times New Roman" w:hAnsi="Times New Roman" w:cs="Times New Roman"/>
          <w:sz w:val="24"/>
          <w:szCs w:val="24"/>
          <w:lang w:val="en-GB"/>
        </w:rPr>
        <w:t>,</w:t>
      </w:r>
      <w:r w:rsidR="00612C91" w:rsidRPr="00EB0CE2">
        <w:rPr>
          <w:rFonts w:ascii="Times New Roman" w:hAnsi="Times New Roman" w:cs="Times New Roman"/>
          <w:sz w:val="24"/>
          <w:szCs w:val="24"/>
          <w:lang w:val="en-GB"/>
        </w:rPr>
        <w:t xml:space="preserve"> as</w:t>
      </w:r>
      <w:r w:rsidRPr="00EB0CE2">
        <w:rPr>
          <w:rFonts w:ascii="Times New Roman" w:hAnsi="Times New Roman" w:cs="Times New Roman"/>
          <w:sz w:val="24"/>
          <w:szCs w:val="24"/>
          <w:lang w:val="en-GB"/>
        </w:rPr>
        <w:t xml:space="preserve"> the candidate react</w:t>
      </w:r>
      <w:r w:rsidR="00612C91" w:rsidRPr="00EB0CE2">
        <w:rPr>
          <w:rFonts w:ascii="Times New Roman" w:hAnsi="Times New Roman" w:cs="Times New Roman"/>
          <w:sz w:val="24"/>
          <w:szCs w:val="24"/>
          <w:lang w:val="en-GB"/>
        </w:rPr>
        <w:t>s</w:t>
      </w:r>
      <w:r w:rsidRPr="00EB0CE2">
        <w:rPr>
          <w:rFonts w:ascii="Times New Roman" w:hAnsi="Times New Roman" w:cs="Times New Roman"/>
          <w:sz w:val="24"/>
          <w:szCs w:val="24"/>
          <w:lang w:val="en-GB"/>
        </w:rPr>
        <w:t xml:space="preserve"> in a real life situation in which s/he is a social agent communicating with others to do something, i.e., using the language to do communicative language activities. </w:t>
      </w:r>
      <w:r w:rsidR="00612C91" w:rsidRPr="00EB0CE2">
        <w:rPr>
          <w:rFonts w:ascii="Times New Roman" w:hAnsi="Times New Roman" w:cs="Times New Roman"/>
          <w:sz w:val="24"/>
          <w:szCs w:val="24"/>
          <w:lang w:val="en-GB"/>
        </w:rPr>
        <w:t xml:space="preserve">The action-oriented approach </w:t>
      </w:r>
      <w:r w:rsidR="003F1F81" w:rsidRPr="00EB0CE2">
        <w:rPr>
          <w:rFonts w:ascii="Times New Roman" w:hAnsi="Times New Roman" w:cs="Times New Roman"/>
          <w:sz w:val="24"/>
          <w:szCs w:val="24"/>
          <w:lang w:val="en-GB"/>
        </w:rPr>
        <w:t xml:space="preserve">is likely to </w:t>
      </w:r>
      <w:r w:rsidR="00106BAA" w:rsidRPr="00EB0CE2">
        <w:rPr>
          <w:rFonts w:ascii="Times New Roman" w:hAnsi="Times New Roman" w:cs="Times New Roman"/>
          <w:sz w:val="24"/>
          <w:szCs w:val="24"/>
          <w:lang w:val="en-GB"/>
        </w:rPr>
        <w:t>be so</w:t>
      </w:r>
      <w:r w:rsidR="00612C91" w:rsidRPr="00EB0CE2">
        <w:rPr>
          <w:rFonts w:ascii="Times New Roman" w:hAnsi="Times New Roman" w:cs="Times New Roman"/>
          <w:sz w:val="24"/>
          <w:szCs w:val="24"/>
          <w:lang w:val="en-GB"/>
        </w:rPr>
        <w:t xml:space="preserve"> engrained i</w:t>
      </w:r>
      <w:r w:rsidR="00567B39" w:rsidRPr="00EB0CE2">
        <w:rPr>
          <w:rFonts w:ascii="Times New Roman" w:hAnsi="Times New Roman" w:cs="Times New Roman"/>
          <w:sz w:val="24"/>
          <w:szCs w:val="24"/>
          <w:lang w:val="en-GB"/>
        </w:rPr>
        <w:t>n the exams</w:t>
      </w:r>
      <w:r w:rsidR="00612C91" w:rsidRPr="00EB0CE2">
        <w:rPr>
          <w:rFonts w:ascii="Times New Roman" w:hAnsi="Times New Roman" w:cs="Times New Roman"/>
          <w:sz w:val="24"/>
          <w:szCs w:val="24"/>
          <w:lang w:val="en-GB"/>
        </w:rPr>
        <w:t xml:space="preserve"> that evaluators </w:t>
      </w:r>
      <w:r w:rsidR="003F1F81" w:rsidRPr="00EB0CE2">
        <w:rPr>
          <w:rFonts w:ascii="Times New Roman" w:hAnsi="Times New Roman" w:cs="Times New Roman"/>
          <w:sz w:val="24"/>
          <w:szCs w:val="24"/>
          <w:lang w:val="en-GB"/>
        </w:rPr>
        <w:t xml:space="preserve">take the action-oriented approach for granted in that evaluation situation and </w:t>
      </w:r>
      <w:r w:rsidR="00567B39" w:rsidRPr="00EB0CE2">
        <w:rPr>
          <w:rFonts w:ascii="Times New Roman" w:hAnsi="Times New Roman" w:cs="Times New Roman"/>
          <w:sz w:val="24"/>
          <w:szCs w:val="24"/>
          <w:lang w:val="en-GB"/>
        </w:rPr>
        <w:t>may feel they do not know the main ideas behind the action-oriented approach. It may also be the case that they do not recognise the terminology, even though they are familiar with what it entails.</w:t>
      </w:r>
      <w:r w:rsidR="00887DDA" w:rsidRPr="00EB0CE2">
        <w:rPr>
          <w:rFonts w:ascii="Times New Roman" w:hAnsi="Times New Roman" w:cs="Times New Roman"/>
          <w:sz w:val="24"/>
          <w:szCs w:val="24"/>
          <w:lang w:val="en-GB"/>
        </w:rPr>
        <w:t xml:space="preserve"> Whatever the case, evaluators require further training on the action-oriented approach, as they identify this content when asked what they would need to better evaluate candidates.</w:t>
      </w:r>
      <w:r w:rsidR="00FD51BA" w:rsidRPr="00EB0CE2">
        <w:rPr>
          <w:rFonts w:ascii="Times New Roman" w:hAnsi="Times New Roman" w:cs="Times New Roman"/>
          <w:sz w:val="24"/>
          <w:szCs w:val="24"/>
          <w:lang w:val="en-GB"/>
        </w:rPr>
        <w:t xml:space="preserve"> Publications such as Piccardo and North (20</w:t>
      </w:r>
      <w:r w:rsidR="00A23B9B" w:rsidRPr="00EB0CE2">
        <w:rPr>
          <w:rFonts w:ascii="Times New Roman" w:hAnsi="Times New Roman" w:cs="Times New Roman"/>
          <w:sz w:val="24"/>
          <w:szCs w:val="24"/>
          <w:lang w:val="en-GB"/>
        </w:rPr>
        <w:t>1</w:t>
      </w:r>
      <w:r w:rsidR="00FD51BA" w:rsidRPr="00EB0CE2">
        <w:rPr>
          <w:rFonts w:ascii="Times New Roman" w:hAnsi="Times New Roman" w:cs="Times New Roman"/>
          <w:sz w:val="24"/>
          <w:szCs w:val="24"/>
          <w:lang w:val="en-GB"/>
        </w:rPr>
        <w:t>9) may be useful to show evaluators how the action-oriented approach is integrated in the learning, teaching and evaluation of languages.</w:t>
      </w:r>
    </w:p>
    <w:p w14:paraId="37B208A7" w14:textId="46CCE34F" w:rsidR="00567B39" w:rsidRPr="00EB0CE2" w:rsidRDefault="00567B39"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On the other hand, the concept of mediation was only sketched in the CEFR but was better defined in the CV. Much attention has been paid in recent years </w:t>
      </w:r>
      <w:r w:rsidR="00A23B9B" w:rsidRPr="00EB0CE2">
        <w:rPr>
          <w:rFonts w:ascii="Times New Roman" w:hAnsi="Times New Roman" w:cs="Times New Roman"/>
          <w:sz w:val="24"/>
          <w:szCs w:val="24"/>
          <w:lang w:val="en-GB"/>
        </w:rPr>
        <w:t>to mediation (</w:t>
      </w:r>
      <w:r w:rsidR="00425122" w:rsidRPr="00EB0CE2">
        <w:rPr>
          <w:rFonts w:ascii="Times New Roman" w:eastAsia="Times New Roman" w:hAnsi="Times New Roman" w:cs="Times New Roman"/>
          <w:sz w:val="24"/>
          <w:szCs w:val="24"/>
          <w:lang w:val="en-US"/>
        </w:rPr>
        <w:t xml:space="preserve">Fernandez Alvarez &amp; García Hernández, 2021; Fonseca-Mora &amp; Davies, 2022; Levi &amp; Figueras, 2022; Melo-Pfeifer &amp; Helmchen, 2022; </w:t>
      </w:r>
      <w:r w:rsidR="00D95706" w:rsidRPr="00EB0CE2">
        <w:rPr>
          <w:rFonts w:ascii="Times New Roman" w:eastAsia="Times New Roman" w:hAnsi="Times New Roman" w:cs="Times New Roman"/>
          <w:sz w:val="24"/>
          <w:szCs w:val="24"/>
          <w:lang w:val="en-US"/>
        </w:rPr>
        <w:t xml:space="preserve">Pedregosa &amp; Sánchez Cuadrado, 2022; </w:t>
      </w:r>
      <w:r w:rsidR="00425122" w:rsidRPr="00EB0CE2">
        <w:rPr>
          <w:rFonts w:ascii="Times New Roman" w:eastAsia="Times New Roman" w:hAnsi="Times New Roman" w:cs="Times New Roman"/>
          <w:sz w:val="24"/>
          <w:szCs w:val="24"/>
          <w:lang w:val="en-US"/>
        </w:rPr>
        <w:t>Sánchez Cuadrado</w:t>
      </w:r>
      <w:r w:rsidR="00AC550E" w:rsidRPr="00EB0CE2">
        <w:rPr>
          <w:rFonts w:ascii="Times New Roman" w:eastAsia="Times New Roman" w:hAnsi="Times New Roman" w:cs="Times New Roman"/>
          <w:sz w:val="24"/>
          <w:szCs w:val="24"/>
          <w:lang w:val="en-US"/>
        </w:rPr>
        <w:t xml:space="preserve"> et al.</w:t>
      </w:r>
      <w:r w:rsidR="00425122" w:rsidRPr="00EB0CE2">
        <w:rPr>
          <w:rFonts w:ascii="Times New Roman" w:eastAsia="Times New Roman" w:hAnsi="Times New Roman" w:cs="Times New Roman"/>
          <w:sz w:val="24"/>
          <w:szCs w:val="24"/>
          <w:lang w:val="en-US"/>
        </w:rPr>
        <w:t>,  2022</w:t>
      </w:r>
      <w:r w:rsidR="00A23B9B" w:rsidRPr="00EB0CE2">
        <w:rPr>
          <w:rFonts w:ascii="Times New Roman" w:hAnsi="Times New Roman" w:cs="Times New Roman"/>
          <w:sz w:val="24"/>
          <w:szCs w:val="24"/>
          <w:lang w:val="en-GB"/>
        </w:rPr>
        <w:t xml:space="preserve">) </w:t>
      </w:r>
      <w:r w:rsidR="007E0776" w:rsidRPr="00EB0CE2">
        <w:rPr>
          <w:rFonts w:ascii="Times New Roman" w:hAnsi="Times New Roman" w:cs="Times New Roman"/>
          <w:sz w:val="24"/>
          <w:szCs w:val="24"/>
          <w:lang w:val="en-GB"/>
        </w:rPr>
        <w:t xml:space="preserve">due </w:t>
      </w:r>
      <w:r w:rsidRPr="00EB0CE2">
        <w:rPr>
          <w:rFonts w:ascii="Times New Roman" w:hAnsi="Times New Roman" w:cs="Times New Roman"/>
          <w:sz w:val="24"/>
          <w:szCs w:val="24"/>
          <w:lang w:val="en-GB"/>
        </w:rPr>
        <w:t>to the need to design teaching materials which may help students practise the different types of mediation, and the pressing need in some institutions, such as Official Language Schools in Spain, to evaluate it. As a consequence, much of the new training opportunities regarding the CV have included the teaching and evaluation of mediation, although much more training on this aspect is required, as seen in the evaluators’ demand for further training on this concept. The current focus on mediation has resulted,</w:t>
      </w:r>
      <w:r w:rsidR="00887DDA" w:rsidRPr="00EB0CE2">
        <w:rPr>
          <w:rFonts w:ascii="Times New Roman" w:hAnsi="Times New Roman" w:cs="Times New Roman"/>
          <w:sz w:val="24"/>
          <w:szCs w:val="24"/>
          <w:lang w:val="en-GB"/>
        </w:rPr>
        <w:t xml:space="preserve"> therefore, in the professional</w:t>
      </w:r>
      <w:r w:rsidRPr="00EB0CE2">
        <w:rPr>
          <w:rFonts w:ascii="Times New Roman" w:hAnsi="Times New Roman" w:cs="Times New Roman"/>
          <w:sz w:val="24"/>
          <w:szCs w:val="24"/>
          <w:lang w:val="en-GB"/>
        </w:rPr>
        <w:t>s</w:t>
      </w:r>
      <w:r w:rsidR="00887DDA" w:rsidRPr="00EB0CE2">
        <w:rPr>
          <w:rFonts w:ascii="Times New Roman" w:hAnsi="Times New Roman" w:cs="Times New Roman"/>
          <w:sz w:val="24"/>
          <w:szCs w:val="24"/>
          <w:lang w:val="en-GB"/>
        </w:rPr>
        <w:t>’</w:t>
      </w:r>
      <w:r w:rsidRPr="00EB0CE2">
        <w:rPr>
          <w:rFonts w:ascii="Times New Roman" w:hAnsi="Times New Roman" w:cs="Times New Roman"/>
          <w:sz w:val="24"/>
          <w:szCs w:val="24"/>
          <w:lang w:val="en-GB"/>
        </w:rPr>
        <w:t xml:space="preserve"> perception of their advanced or excellent knowled</w:t>
      </w:r>
      <w:r w:rsidR="006C1F58" w:rsidRPr="00EB0CE2">
        <w:rPr>
          <w:rFonts w:ascii="Times New Roman" w:hAnsi="Times New Roman" w:cs="Times New Roman"/>
          <w:sz w:val="24"/>
          <w:szCs w:val="24"/>
          <w:lang w:val="en-GB"/>
        </w:rPr>
        <w:t xml:space="preserve">ge of the concept of mediation, as seen in Figure </w:t>
      </w:r>
      <w:r w:rsidR="007E0776" w:rsidRPr="00EB0CE2">
        <w:rPr>
          <w:rFonts w:ascii="Times New Roman" w:hAnsi="Times New Roman" w:cs="Times New Roman"/>
          <w:sz w:val="24"/>
          <w:szCs w:val="24"/>
          <w:lang w:val="en-GB"/>
        </w:rPr>
        <w:t>6</w:t>
      </w:r>
      <w:r w:rsidR="003F1F81" w:rsidRPr="00EB0CE2">
        <w:rPr>
          <w:rFonts w:ascii="Times New Roman" w:hAnsi="Times New Roman" w:cs="Times New Roman"/>
          <w:sz w:val="24"/>
          <w:szCs w:val="24"/>
          <w:lang w:val="en-GB"/>
        </w:rPr>
        <w:t xml:space="preserve">, with only 15.9% of the raters considering their knowledge of this concept as insufficient. </w:t>
      </w:r>
    </w:p>
    <w:p w14:paraId="4402C822" w14:textId="77777777" w:rsidR="009D4F48" w:rsidRPr="00F15F8D" w:rsidRDefault="009D4F48" w:rsidP="009D4F48">
      <w:pPr>
        <w:rPr>
          <w:rFonts w:asciiTheme="majorHAnsi" w:hAnsiTheme="majorHAnsi" w:cstheme="majorHAnsi"/>
          <w:lang w:val="en-GB"/>
        </w:rPr>
      </w:pPr>
    </w:p>
    <w:p w14:paraId="39C4958C" w14:textId="77777777" w:rsidR="00F06BE3" w:rsidRPr="00F15F8D" w:rsidRDefault="00F06BE3">
      <w:pPr>
        <w:rPr>
          <w:rFonts w:asciiTheme="majorHAnsi" w:hAnsiTheme="majorHAnsi" w:cstheme="majorHAnsi"/>
          <w:lang w:val="en-GB"/>
        </w:rPr>
      </w:pPr>
      <w:r w:rsidRPr="00F15F8D">
        <w:rPr>
          <w:rFonts w:asciiTheme="majorHAnsi" w:hAnsiTheme="majorHAnsi" w:cstheme="majorHAnsi"/>
          <w:noProof/>
          <w:lang w:eastAsia="es-ES"/>
        </w:rPr>
        <w:drawing>
          <wp:inline distT="0" distB="0" distL="0" distR="0" wp14:anchorId="20FF3D65" wp14:editId="7AE307DB">
            <wp:extent cx="5400040" cy="2431179"/>
            <wp:effectExtent l="0" t="0" r="10160" b="2667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5A9E37E" w14:textId="77777777" w:rsidR="001F473A" w:rsidRPr="00EB0CE2" w:rsidRDefault="007E0776">
      <w:pPr>
        <w:rPr>
          <w:rFonts w:ascii="Times New Roman" w:hAnsi="Times New Roman" w:cs="Times New Roman"/>
          <w:sz w:val="20"/>
          <w:szCs w:val="20"/>
          <w:lang w:val="en-GB"/>
        </w:rPr>
      </w:pPr>
      <w:r w:rsidRPr="00EB0CE2">
        <w:rPr>
          <w:rFonts w:ascii="Times New Roman" w:hAnsi="Times New Roman" w:cs="Times New Roman"/>
          <w:sz w:val="20"/>
          <w:szCs w:val="20"/>
          <w:lang w:val="en-GB"/>
        </w:rPr>
        <w:t>Figure 6. Evaluators’ perceived knowledge of the action-oriented approach and mediation</w:t>
      </w:r>
    </w:p>
    <w:p w14:paraId="54E523C0" w14:textId="77777777" w:rsidR="00021E29" w:rsidRPr="00EB0CE2" w:rsidRDefault="002F0E31" w:rsidP="00EB0CE2">
      <w:pPr>
        <w:spacing w:after="0" w:line="240" w:lineRule="auto"/>
        <w:ind w:firstLine="709"/>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The degree to which these two crucial concepts are applied </w:t>
      </w:r>
      <w:r w:rsidR="000B45A4" w:rsidRPr="00EB0CE2">
        <w:rPr>
          <w:rFonts w:ascii="Times New Roman" w:hAnsi="Times New Roman" w:cs="Times New Roman"/>
          <w:sz w:val="24"/>
          <w:szCs w:val="24"/>
          <w:lang w:val="en-GB"/>
        </w:rPr>
        <w:t>to</w:t>
      </w:r>
      <w:r w:rsidRPr="00EB0CE2">
        <w:rPr>
          <w:rFonts w:ascii="Times New Roman" w:hAnsi="Times New Roman" w:cs="Times New Roman"/>
          <w:sz w:val="24"/>
          <w:szCs w:val="24"/>
          <w:lang w:val="en-GB"/>
        </w:rPr>
        <w:t xml:space="preserve"> the evaluation of languages was also </w:t>
      </w:r>
      <w:r w:rsidR="000B45A4" w:rsidRPr="00EB0CE2">
        <w:rPr>
          <w:rFonts w:ascii="Times New Roman" w:hAnsi="Times New Roman" w:cs="Times New Roman"/>
          <w:sz w:val="24"/>
          <w:szCs w:val="24"/>
          <w:lang w:val="en-GB"/>
        </w:rPr>
        <w:t>looked into</w:t>
      </w:r>
      <w:r w:rsidRPr="00EB0CE2">
        <w:rPr>
          <w:rFonts w:ascii="Times New Roman" w:hAnsi="Times New Roman" w:cs="Times New Roman"/>
          <w:sz w:val="24"/>
          <w:szCs w:val="24"/>
          <w:lang w:val="en-GB"/>
        </w:rPr>
        <w:t xml:space="preserve">. </w:t>
      </w:r>
      <w:r w:rsidR="000B45A4" w:rsidRPr="00EB0CE2">
        <w:rPr>
          <w:rFonts w:ascii="Times New Roman" w:hAnsi="Times New Roman" w:cs="Times New Roman"/>
          <w:sz w:val="24"/>
          <w:szCs w:val="24"/>
          <w:lang w:val="en-GB"/>
        </w:rPr>
        <w:t xml:space="preserve">Figure </w:t>
      </w:r>
      <w:r w:rsidR="007E0776" w:rsidRPr="00EB0CE2">
        <w:rPr>
          <w:rFonts w:ascii="Times New Roman" w:hAnsi="Times New Roman" w:cs="Times New Roman"/>
          <w:sz w:val="24"/>
          <w:szCs w:val="24"/>
          <w:lang w:val="en-GB"/>
        </w:rPr>
        <w:t>7</w:t>
      </w:r>
      <w:r w:rsidR="000B45A4" w:rsidRPr="00EB0CE2">
        <w:rPr>
          <w:rFonts w:ascii="Times New Roman" w:hAnsi="Times New Roman" w:cs="Times New Roman"/>
          <w:sz w:val="24"/>
          <w:szCs w:val="24"/>
          <w:lang w:val="en-GB"/>
        </w:rPr>
        <w:t xml:space="preserve"> shows that</w:t>
      </w:r>
      <w:r w:rsidRPr="00EB0CE2">
        <w:rPr>
          <w:rFonts w:ascii="Times New Roman" w:hAnsi="Times New Roman" w:cs="Times New Roman"/>
          <w:sz w:val="24"/>
          <w:szCs w:val="24"/>
          <w:lang w:val="en-GB"/>
        </w:rPr>
        <w:t xml:space="preserve"> 50% of the evaluators </w:t>
      </w:r>
      <w:r w:rsidR="00B00669" w:rsidRPr="00EB0CE2">
        <w:rPr>
          <w:rFonts w:ascii="Times New Roman" w:hAnsi="Times New Roman" w:cs="Times New Roman"/>
          <w:sz w:val="24"/>
          <w:szCs w:val="24"/>
          <w:lang w:val="en-GB"/>
        </w:rPr>
        <w:t>consider the descriptor</w:t>
      </w:r>
      <w:r w:rsidR="007E0776" w:rsidRPr="00EB0CE2">
        <w:rPr>
          <w:rFonts w:ascii="Times New Roman" w:hAnsi="Times New Roman" w:cs="Times New Roman"/>
          <w:sz w:val="24"/>
          <w:szCs w:val="24"/>
          <w:lang w:val="en-GB"/>
        </w:rPr>
        <w:t>s for</w:t>
      </w:r>
      <w:r w:rsidR="00B00669" w:rsidRPr="00EB0CE2">
        <w:rPr>
          <w:rFonts w:ascii="Times New Roman" w:hAnsi="Times New Roman" w:cs="Times New Roman"/>
          <w:sz w:val="24"/>
          <w:szCs w:val="24"/>
          <w:lang w:val="en-GB"/>
        </w:rPr>
        <w:t xml:space="preserve"> mediation not to be present i</w:t>
      </w:r>
      <w:r w:rsidRPr="00EB0CE2">
        <w:rPr>
          <w:rFonts w:ascii="Times New Roman" w:hAnsi="Times New Roman" w:cs="Times New Roman"/>
          <w:sz w:val="24"/>
          <w:szCs w:val="24"/>
          <w:lang w:val="en-GB"/>
        </w:rPr>
        <w:t xml:space="preserve">n the candidates’ evaluation. </w:t>
      </w:r>
      <w:r w:rsidR="00052DAF" w:rsidRPr="00EB0CE2">
        <w:rPr>
          <w:rFonts w:ascii="Times New Roman" w:hAnsi="Times New Roman" w:cs="Times New Roman"/>
          <w:sz w:val="24"/>
          <w:szCs w:val="24"/>
          <w:lang w:val="en-GB"/>
        </w:rPr>
        <w:t xml:space="preserve"> A lower percentage of evaluators</w:t>
      </w:r>
      <w:r w:rsidR="00630973" w:rsidRPr="00EB0CE2">
        <w:rPr>
          <w:rFonts w:ascii="Times New Roman" w:hAnsi="Times New Roman" w:cs="Times New Roman"/>
          <w:sz w:val="24"/>
          <w:szCs w:val="24"/>
          <w:lang w:val="en-GB"/>
        </w:rPr>
        <w:t xml:space="preserve"> (38.6%)</w:t>
      </w:r>
      <w:r w:rsidR="00E81579" w:rsidRPr="00EB0CE2">
        <w:rPr>
          <w:rFonts w:ascii="Times New Roman" w:hAnsi="Times New Roman" w:cs="Times New Roman"/>
          <w:sz w:val="24"/>
          <w:szCs w:val="24"/>
          <w:lang w:val="en-GB"/>
        </w:rPr>
        <w:t xml:space="preserve"> </w:t>
      </w:r>
      <w:r w:rsidR="00052DAF" w:rsidRPr="00EB0CE2">
        <w:rPr>
          <w:rFonts w:ascii="Times New Roman" w:hAnsi="Times New Roman" w:cs="Times New Roman"/>
          <w:sz w:val="24"/>
          <w:szCs w:val="24"/>
          <w:lang w:val="en-GB"/>
        </w:rPr>
        <w:t xml:space="preserve">indicate that the action-oriented approach is not applied in the evaluation of languages.  </w:t>
      </w:r>
    </w:p>
    <w:p w14:paraId="256219FD" w14:textId="0AF6DB76" w:rsidR="00D5429C" w:rsidRPr="00EB0CE2" w:rsidRDefault="007E60D1" w:rsidP="00EB0CE2">
      <w:pPr>
        <w:spacing w:after="0" w:line="240" w:lineRule="auto"/>
        <w:ind w:firstLine="709"/>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If the data in Figure X and Figure X are compared, </w:t>
      </w:r>
      <w:r w:rsidR="00052DAF" w:rsidRPr="00EB0CE2">
        <w:rPr>
          <w:rFonts w:ascii="Times New Roman" w:hAnsi="Times New Roman" w:cs="Times New Roman"/>
          <w:sz w:val="24"/>
          <w:szCs w:val="24"/>
          <w:lang w:val="en-GB"/>
        </w:rPr>
        <w:t xml:space="preserve">the percentage of evaluators indicating that they are not familiar with the action-oriented approach and </w:t>
      </w:r>
      <w:r w:rsidRPr="00EB0CE2">
        <w:rPr>
          <w:rFonts w:ascii="Times New Roman" w:hAnsi="Times New Roman" w:cs="Times New Roman"/>
          <w:sz w:val="24"/>
          <w:szCs w:val="24"/>
          <w:lang w:val="en-GB"/>
        </w:rPr>
        <w:t xml:space="preserve">that of evaluators </w:t>
      </w:r>
      <w:r w:rsidR="007E0776" w:rsidRPr="00EB0CE2">
        <w:rPr>
          <w:rFonts w:ascii="Times New Roman" w:hAnsi="Times New Roman" w:cs="Times New Roman"/>
          <w:sz w:val="24"/>
          <w:szCs w:val="24"/>
          <w:lang w:val="en-GB"/>
        </w:rPr>
        <w:t>expressing</w:t>
      </w:r>
      <w:r w:rsidR="00052DAF" w:rsidRPr="00EB0CE2">
        <w:rPr>
          <w:rFonts w:ascii="Times New Roman" w:hAnsi="Times New Roman" w:cs="Times New Roman"/>
          <w:sz w:val="24"/>
          <w:szCs w:val="24"/>
          <w:lang w:val="en-GB"/>
        </w:rPr>
        <w:t xml:space="preserve"> that </w:t>
      </w:r>
      <w:r w:rsidRPr="00EB0CE2">
        <w:rPr>
          <w:rFonts w:ascii="Times New Roman" w:hAnsi="Times New Roman" w:cs="Times New Roman"/>
          <w:sz w:val="24"/>
          <w:szCs w:val="24"/>
          <w:lang w:val="en-GB"/>
        </w:rPr>
        <w:t>the action-oriented approach</w:t>
      </w:r>
      <w:r w:rsidR="00052DAF" w:rsidRPr="00EB0CE2">
        <w:rPr>
          <w:rFonts w:ascii="Times New Roman" w:hAnsi="Times New Roman" w:cs="Times New Roman"/>
          <w:sz w:val="24"/>
          <w:szCs w:val="24"/>
          <w:lang w:val="en-GB"/>
        </w:rPr>
        <w:t xml:space="preserve"> is not present in the evaluation of languages in the CertAcles exams coincide. This may point to the fact that evaluators who are not familiar with this concept are unable to recognise</w:t>
      </w:r>
      <w:r w:rsidR="00396CAF" w:rsidRPr="00EB0CE2">
        <w:rPr>
          <w:rFonts w:ascii="Times New Roman" w:hAnsi="Times New Roman" w:cs="Times New Roman"/>
          <w:sz w:val="24"/>
          <w:szCs w:val="24"/>
          <w:lang w:val="en-GB"/>
        </w:rPr>
        <w:t xml:space="preserve"> its use </w:t>
      </w:r>
      <w:r w:rsidR="00CA49D6" w:rsidRPr="00EB0CE2">
        <w:rPr>
          <w:rFonts w:ascii="Times New Roman" w:hAnsi="Times New Roman" w:cs="Times New Roman"/>
          <w:sz w:val="24"/>
          <w:szCs w:val="24"/>
          <w:lang w:val="en-GB"/>
        </w:rPr>
        <w:t xml:space="preserve">in </w:t>
      </w:r>
      <w:r w:rsidR="00052DAF" w:rsidRPr="00EB0CE2">
        <w:rPr>
          <w:rFonts w:ascii="Times New Roman" w:hAnsi="Times New Roman" w:cs="Times New Roman"/>
          <w:sz w:val="24"/>
          <w:szCs w:val="24"/>
          <w:lang w:val="en-GB"/>
        </w:rPr>
        <w:t>the evaluation of languages.</w:t>
      </w:r>
      <w:r w:rsidR="00CA49D6" w:rsidRPr="00EB0CE2">
        <w:rPr>
          <w:rFonts w:ascii="Times New Roman" w:hAnsi="Times New Roman" w:cs="Times New Roman"/>
          <w:sz w:val="24"/>
          <w:szCs w:val="24"/>
          <w:lang w:val="en-GB"/>
        </w:rPr>
        <w:t xml:space="preserve"> It may also imply that rubrics may not include items for the evaluation of the action-oriented approach and mediation due to the test/designers and/or evaluators limited familiarization with these concpets and their application in test design and evaluation.</w:t>
      </w:r>
    </w:p>
    <w:p w14:paraId="3F8BBED3" w14:textId="6E19005A" w:rsidR="002F0E31" w:rsidRPr="00EB0CE2" w:rsidRDefault="00D5429C" w:rsidP="00EB0CE2">
      <w:pPr>
        <w:spacing w:after="0" w:line="240" w:lineRule="auto"/>
        <w:ind w:firstLine="709"/>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In the case of mediation, the evalu</w:t>
      </w:r>
      <w:r w:rsidR="005065B5" w:rsidRPr="00EB0CE2">
        <w:rPr>
          <w:rFonts w:ascii="Times New Roman" w:hAnsi="Times New Roman" w:cs="Times New Roman"/>
          <w:sz w:val="24"/>
          <w:szCs w:val="24"/>
          <w:lang w:val="en-GB"/>
        </w:rPr>
        <w:t xml:space="preserve">ators’ knowledge of the concept, </w:t>
      </w:r>
      <w:r w:rsidRPr="00EB0CE2">
        <w:rPr>
          <w:rFonts w:ascii="Times New Roman" w:hAnsi="Times New Roman" w:cs="Times New Roman"/>
          <w:sz w:val="24"/>
          <w:szCs w:val="24"/>
          <w:lang w:val="en-GB"/>
        </w:rPr>
        <w:t xml:space="preserve">as seen in </w:t>
      </w:r>
      <w:r w:rsidR="007E0776" w:rsidRPr="00EB0CE2">
        <w:rPr>
          <w:rFonts w:ascii="Times New Roman" w:hAnsi="Times New Roman" w:cs="Times New Roman"/>
          <w:sz w:val="24"/>
          <w:szCs w:val="24"/>
          <w:highlight w:val="yellow"/>
          <w:lang w:val="en-GB"/>
        </w:rPr>
        <w:t>F</w:t>
      </w:r>
      <w:r w:rsidRPr="00EB0CE2">
        <w:rPr>
          <w:rFonts w:ascii="Times New Roman" w:hAnsi="Times New Roman" w:cs="Times New Roman"/>
          <w:sz w:val="24"/>
          <w:szCs w:val="24"/>
          <w:highlight w:val="yellow"/>
          <w:lang w:val="en-GB"/>
        </w:rPr>
        <w:t xml:space="preserve">igure </w:t>
      </w:r>
      <w:r w:rsidR="007E0776" w:rsidRPr="00EB0CE2">
        <w:rPr>
          <w:rFonts w:ascii="Times New Roman" w:hAnsi="Times New Roman" w:cs="Times New Roman"/>
          <w:sz w:val="24"/>
          <w:szCs w:val="24"/>
          <w:highlight w:val="yellow"/>
          <w:lang w:val="en-GB"/>
        </w:rPr>
        <w:t>6</w:t>
      </w:r>
      <w:r w:rsidRPr="00EB0CE2">
        <w:rPr>
          <w:rFonts w:ascii="Times New Roman" w:hAnsi="Times New Roman" w:cs="Times New Roman"/>
          <w:sz w:val="24"/>
          <w:szCs w:val="24"/>
          <w:lang w:val="en-GB"/>
        </w:rPr>
        <w:t xml:space="preserve"> above, may make them recognise that </w:t>
      </w:r>
      <w:r w:rsidR="00B2063C" w:rsidRPr="00EB0CE2">
        <w:rPr>
          <w:rFonts w:ascii="Times New Roman" w:hAnsi="Times New Roman" w:cs="Times New Roman"/>
          <w:sz w:val="24"/>
          <w:szCs w:val="24"/>
          <w:lang w:val="en-GB"/>
        </w:rPr>
        <w:t xml:space="preserve">this notion </w:t>
      </w:r>
      <w:r w:rsidRPr="00EB0CE2">
        <w:rPr>
          <w:rFonts w:ascii="Times New Roman" w:hAnsi="Times New Roman" w:cs="Times New Roman"/>
          <w:sz w:val="24"/>
          <w:szCs w:val="24"/>
          <w:lang w:val="en-GB"/>
        </w:rPr>
        <w:t xml:space="preserve">is not considered in the evaluation of languages. </w:t>
      </w:r>
      <w:r w:rsidR="009F532A" w:rsidRPr="00EB0CE2">
        <w:rPr>
          <w:rFonts w:ascii="Times New Roman" w:hAnsi="Times New Roman" w:cs="Times New Roman"/>
          <w:sz w:val="24"/>
          <w:szCs w:val="24"/>
          <w:lang w:val="en-GB"/>
        </w:rPr>
        <w:t xml:space="preserve">The evaluators who recognise that </w:t>
      </w:r>
      <w:r w:rsidRPr="00EB0CE2">
        <w:rPr>
          <w:rFonts w:ascii="Times New Roman" w:hAnsi="Times New Roman" w:cs="Times New Roman"/>
          <w:sz w:val="24"/>
          <w:szCs w:val="24"/>
          <w:lang w:val="en-GB"/>
        </w:rPr>
        <w:t xml:space="preserve">the concept of </w:t>
      </w:r>
      <w:r w:rsidR="009F532A" w:rsidRPr="00EB0CE2">
        <w:rPr>
          <w:rFonts w:ascii="Times New Roman" w:hAnsi="Times New Roman" w:cs="Times New Roman"/>
          <w:sz w:val="24"/>
          <w:szCs w:val="24"/>
          <w:lang w:val="en-GB"/>
        </w:rPr>
        <w:t xml:space="preserve">mediation </w:t>
      </w:r>
      <w:r w:rsidRPr="00EB0CE2">
        <w:rPr>
          <w:rFonts w:ascii="Times New Roman" w:hAnsi="Times New Roman" w:cs="Times New Roman"/>
          <w:sz w:val="24"/>
          <w:szCs w:val="24"/>
          <w:lang w:val="en-GB"/>
        </w:rPr>
        <w:t>is</w:t>
      </w:r>
      <w:r w:rsidR="009F532A" w:rsidRPr="00EB0CE2">
        <w:rPr>
          <w:rFonts w:ascii="Times New Roman" w:hAnsi="Times New Roman" w:cs="Times New Roman"/>
          <w:sz w:val="24"/>
          <w:szCs w:val="24"/>
          <w:lang w:val="en-GB"/>
        </w:rPr>
        <w:t xml:space="preserve"> present in the rubrics specify that their presence is not as frequent as expected (only 13.7% of them rank it 9 or 10 </w:t>
      </w:r>
      <w:r w:rsidRPr="00EB0CE2">
        <w:rPr>
          <w:rFonts w:ascii="Times New Roman" w:hAnsi="Times New Roman" w:cs="Times New Roman"/>
          <w:sz w:val="24"/>
          <w:szCs w:val="24"/>
          <w:lang w:val="en-GB"/>
        </w:rPr>
        <w:t>o</w:t>
      </w:r>
      <w:r w:rsidR="009F532A" w:rsidRPr="00EB0CE2">
        <w:rPr>
          <w:rFonts w:ascii="Times New Roman" w:hAnsi="Times New Roman" w:cs="Times New Roman"/>
          <w:sz w:val="24"/>
          <w:szCs w:val="24"/>
          <w:lang w:val="en-GB"/>
        </w:rPr>
        <w:t xml:space="preserve">n the 10-point Likert scale), </w:t>
      </w:r>
      <w:r w:rsidR="0009581A" w:rsidRPr="00EB0CE2">
        <w:rPr>
          <w:rFonts w:ascii="Times New Roman" w:hAnsi="Times New Roman" w:cs="Times New Roman"/>
          <w:sz w:val="24"/>
          <w:szCs w:val="24"/>
          <w:lang w:val="en-GB"/>
        </w:rPr>
        <w:t xml:space="preserve">with </w:t>
      </w:r>
      <w:r w:rsidR="001616BB" w:rsidRPr="00EB0CE2">
        <w:rPr>
          <w:rFonts w:ascii="Times New Roman" w:hAnsi="Times New Roman" w:cs="Times New Roman"/>
          <w:sz w:val="24"/>
          <w:szCs w:val="24"/>
          <w:lang w:val="en-GB"/>
        </w:rPr>
        <w:t xml:space="preserve">25% of the evaluators </w:t>
      </w:r>
      <w:r w:rsidR="0009581A" w:rsidRPr="00EB0CE2">
        <w:rPr>
          <w:rFonts w:ascii="Times New Roman" w:hAnsi="Times New Roman" w:cs="Times New Roman"/>
          <w:sz w:val="24"/>
          <w:szCs w:val="24"/>
          <w:lang w:val="en-GB"/>
        </w:rPr>
        <w:t xml:space="preserve">indicating that the presence of mediation </w:t>
      </w:r>
      <w:r w:rsidR="001616BB" w:rsidRPr="00EB0CE2">
        <w:rPr>
          <w:rFonts w:ascii="Times New Roman" w:hAnsi="Times New Roman" w:cs="Times New Roman"/>
          <w:sz w:val="24"/>
          <w:szCs w:val="24"/>
          <w:lang w:val="en-GB"/>
        </w:rPr>
        <w:t>is advanced</w:t>
      </w:r>
      <w:r w:rsidR="007E0776" w:rsidRPr="00EB0CE2">
        <w:rPr>
          <w:rFonts w:ascii="Times New Roman" w:hAnsi="Times New Roman" w:cs="Times New Roman"/>
          <w:sz w:val="24"/>
          <w:szCs w:val="24"/>
          <w:lang w:val="en-GB"/>
        </w:rPr>
        <w:t>, as shown in Figure 7.</w:t>
      </w:r>
    </w:p>
    <w:p w14:paraId="6F247C2B" w14:textId="77777777" w:rsidR="002F0E31" w:rsidRPr="00F15F8D" w:rsidRDefault="002F0E31">
      <w:pPr>
        <w:rPr>
          <w:rFonts w:asciiTheme="majorHAnsi" w:hAnsiTheme="majorHAnsi" w:cstheme="majorHAnsi"/>
          <w:lang w:val="en-GB"/>
        </w:rPr>
      </w:pPr>
      <w:r w:rsidRPr="00F15F8D">
        <w:rPr>
          <w:rFonts w:asciiTheme="majorHAnsi" w:hAnsiTheme="majorHAnsi" w:cstheme="majorHAnsi"/>
          <w:noProof/>
          <w:lang w:eastAsia="es-ES"/>
        </w:rPr>
        <w:drawing>
          <wp:inline distT="0" distB="0" distL="0" distR="0" wp14:anchorId="72B1574A" wp14:editId="55CA2C8D">
            <wp:extent cx="5400040" cy="3069677"/>
            <wp:effectExtent l="0" t="0" r="10160" b="1651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5BC5D74" w14:textId="77777777" w:rsidR="00824683" w:rsidRPr="006D72F4" w:rsidRDefault="007E0776">
      <w:pPr>
        <w:rPr>
          <w:rFonts w:ascii="Times New Roman" w:hAnsi="Times New Roman" w:cs="Times New Roman"/>
          <w:sz w:val="20"/>
          <w:szCs w:val="20"/>
          <w:lang w:val="en-GB"/>
        </w:rPr>
      </w:pPr>
      <w:r w:rsidRPr="006D72F4">
        <w:rPr>
          <w:rFonts w:ascii="Times New Roman" w:hAnsi="Times New Roman" w:cs="Times New Roman"/>
          <w:sz w:val="20"/>
          <w:szCs w:val="20"/>
          <w:highlight w:val="yellow"/>
          <w:lang w:val="en-GB"/>
        </w:rPr>
        <w:t>Figure 7</w:t>
      </w:r>
      <w:r w:rsidRPr="006D72F4">
        <w:rPr>
          <w:rFonts w:ascii="Times New Roman" w:hAnsi="Times New Roman" w:cs="Times New Roman"/>
          <w:sz w:val="20"/>
          <w:szCs w:val="20"/>
          <w:lang w:val="en-GB"/>
        </w:rPr>
        <w:t>. Consideration of the action-oriented approach and mediation in the candidates’ evaluation</w:t>
      </w:r>
    </w:p>
    <w:p w14:paraId="065A1146" w14:textId="77777777" w:rsidR="007E0776" w:rsidRPr="00EB0CE2" w:rsidRDefault="007E0776" w:rsidP="00EB0CE2">
      <w:pPr>
        <w:spacing w:after="0" w:line="240" w:lineRule="auto"/>
        <w:rPr>
          <w:rFonts w:ascii="Times New Roman" w:hAnsi="Times New Roman" w:cs="Times New Roman"/>
          <w:sz w:val="24"/>
          <w:szCs w:val="24"/>
          <w:lang w:val="en-GB"/>
        </w:rPr>
      </w:pPr>
    </w:p>
    <w:p w14:paraId="48554DA5" w14:textId="64FADE1A" w:rsidR="00CA544A" w:rsidRPr="00EB0CE2" w:rsidRDefault="00CA544A" w:rsidP="00EB0CE2">
      <w:pPr>
        <w:spacing w:after="0" w:line="240" w:lineRule="auto"/>
        <w:rPr>
          <w:rFonts w:ascii="Times New Roman" w:hAnsi="Times New Roman" w:cs="Times New Roman"/>
          <w:b/>
          <w:sz w:val="24"/>
          <w:szCs w:val="24"/>
          <w:lang w:val="en-GB"/>
        </w:rPr>
      </w:pPr>
      <w:r w:rsidRPr="00EB0CE2">
        <w:rPr>
          <w:rFonts w:ascii="Times New Roman" w:hAnsi="Times New Roman" w:cs="Times New Roman"/>
          <w:b/>
          <w:sz w:val="24"/>
          <w:szCs w:val="24"/>
          <w:lang w:val="en-GB"/>
        </w:rPr>
        <w:t xml:space="preserve">Evaluators’ </w:t>
      </w:r>
      <w:r w:rsidR="0038573E" w:rsidRPr="00EB0CE2">
        <w:rPr>
          <w:rFonts w:ascii="Times New Roman" w:hAnsi="Times New Roman" w:cs="Times New Roman"/>
          <w:b/>
          <w:sz w:val="24"/>
          <w:szCs w:val="24"/>
          <w:lang w:val="en-GB"/>
        </w:rPr>
        <w:t xml:space="preserve">Opinion of </w:t>
      </w:r>
      <w:r w:rsidR="00AC550E" w:rsidRPr="00EB0CE2">
        <w:rPr>
          <w:rFonts w:ascii="Times New Roman" w:hAnsi="Times New Roman" w:cs="Times New Roman"/>
          <w:b/>
          <w:sz w:val="24"/>
          <w:szCs w:val="24"/>
          <w:lang w:val="en-GB"/>
        </w:rPr>
        <w:t>t</w:t>
      </w:r>
      <w:r w:rsidR="0038573E" w:rsidRPr="00EB0CE2">
        <w:rPr>
          <w:rFonts w:ascii="Times New Roman" w:hAnsi="Times New Roman" w:cs="Times New Roman"/>
          <w:b/>
          <w:sz w:val="24"/>
          <w:szCs w:val="24"/>
          <w:lang w:val="en-GB"/>
        </w:rPr>
        <w:t xml:space="preserve">he </w:t>
      </w:r>
      <w:r w:rsidR="00A63278" w:rsidRPr="00EB0CE2">
        <w:rPr>
          <w:rFonts w:ascii="Times New Roman" w:hAnsi="Times New Roman" w:cs="Times New Roman"/>
          <w:b/>
          <w:sz w:val="24"/>
          <w:szCs w:val="24"/>
          <w:lang w:val="en-GB"/>
        </w:rPr>
        <w:t>CEFR</w:t>
      </w:r>
      <w:r w:rsidR="0038573E" w:rsidRPr="00EB0CE2">
        <w:rPr>
          <w:rFonts w:ascii="Times New Roman" w:hAnsi="Times New Roman" w:cs="Times New Roman"/>
          <w:b/>
          <w:sz w:val="24"/>
          <w:szCs w:val="24"/>
          <w:lang w:val="en-GB"/>
        </w:rPr>
        <w:t>/</w:t>
      </w:r>
      <w:r w:rsidR="00A63278" w:rsidRPr="00EB0CE2">
        <w:rPr>
          <w:rFonts w:ascii="Times New Roman" w:hAnsi="Times New Roman" w:cs="Times New Roman"/>
          <w:b/>
          <w:sz w:val="24"/>
          <w:szCs w:val="24"/>
          <w:lang w:val="en-GB"/>
        </w:rPr>
        <w:t>CV</w:t>
      </w:r>
      <w:r w:rsidR="0036754E" w:rsidRPr="00EB0CE2">
        <w:rPr>
          <w:rFonts w:ascii="Times New Roman" w:hAnsi="Times New Roman" w:cs="Times New Roman"/>
          <w:b/>
          <w:sz w:val="24"/>
          <w:szCs w:val="24"/>
          <w:lang w:val="en-GB"/>
        </w:rPr>
        <w:t>:</w:t>
      </w:r>
      <w:r w:rsidR="00A63278" w:rsidRPr="00EB0CE2">
        <w:rPr>
          <w:rFonts w:ascii="Times New Roman" w:hAnsi="Times New Roman" w:cs="Times New Roman"/>
          <w:b/>
          <w:sz w:val="24"/>
          <w:szCs w:val="24"/>
          <w:lang w:val="en-GB"/>
        </w:rPr>
        <w:t xml:space="preserve"> </w:t>
      </w:r>
      <w:r w:rsidR="0038573E" w:rsidRPr="00EB0CE2">
        <w:rPr>
          <w:rFonts w:ascii="Times New Roman" w:hAnsi="Times New Roman" w:cs="Times New Roman"/>
          <w:b/>
          <w:sz w:val="24"/>
          <w:szCs w:val="24"/>
          <w:highlight w:val="yellow"/>
          <w:lang w:val="en-GB"/>
        </w:rPr>
        <w:t>Usefulness, Effectiveness, Implementation, Impact and Limitations</w:t>
      </w:r>
    </w:p>
    <w:p w14:paraId="0B4F5535" w14:textId="77777777" w:rsidR="006D72F4" w:rsidRDefault="006D72F4" w:rsidP="00EB0CE2">
      <w:pPr>
        <w:spacing w:after="0" w:line="240" w:lineRule="auto"/>
        <w:jc w:val="both"/>
        <w:rPr>
          <w:rFonts w:ascii="Times New Roman" w:hAnsi="Times New Roman" w:cs="Times New Roman"/>
          <w:sz w:val="24"/>
          <w:szCs w:val="24"/>
          <w:lang w:val="en-GB"/>
        </w:rPr>
      </w:pPr>
    </w:p>
    <w:p w14:paraId="0BBA5FBE" w14:textId="56977423" w:rsidR="00DC24B8" w:rsidRPr="00EB0CE2" w:rsidRDefault="00DE1BEA" w:rsidP="00EB0CE2">
      <w:pPr>
        <w:spacing w:after="0" w:line="240" w:lineRule="auto"/>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The final block of the questionnaire analysed the evaluators’ </w:t>
      </w:r>
      <w:r w:rsidR="00B13626" w:rsidRPr="00EB0CE2">
        <w:rPr>
          <w:rFonts w:ascii="Times New Roman" w:hAnsi="Times New Roman" w:cs="Times New Roman"/>
          <w:sz w:val="24"/>
          <w:szCs w:val="24"/>
          <w:lang w:val="en-GB"/>
        </w:rPr>
        <w:t>overall</w:t>
      </w:r>
      <w:r w:rsidRPr="00EB0CE2">
        <w:rPr>
          <w:rFonts w:ascii="Times New Roman" w:hAnsi="Times New Roman" w:cs="Times New Roman"/>
          <w:sz w:val="24"/>
          <w:szCs w:val="24"/>
          <w:lang w:val="en-GB"/>
        </w:rPr>
        <w:t xml:space="preserve"> impressions on</w:t>
      </w:r>
      <w:r w:rsidR="006365FF" w:rsidRPr="00EB0CE2">
        <w:rPr>
          <w:rFonts w:ascii="Times New Roman" w:hAnsi="Times New Roman" w:cs="Times New Roman"/>
          <w:sz w:val="24"/>
          <w:szCs w:val="24"/>
          <w:lang w:val="en-GB"/>
        </w:rPr>
        <w:t xml:space="preserve"> the documents, including</w:t>
      </w:r>
      <w:r w:rsidR="009065F6" w:rsidRPr="00EB0CE2">
        <w:rPr>
          <w:rFonts w:ascii="Times New Roman" w:hAnsi="Times New Roman" w:cs="Times New Roman"/>
          <w:sz w:val="24"/>
          <w:szCs w:val="24"/>
          <w:lang w:val="en-GB"/>
        </w:rPr>
        <w:t xml:space="preserve"> perceptions on their usefulness</w:t>
      </w:r>
      <w:r w:rsidRPr="00EB0CE2">
        <w:rPr>
          <w:rFonts w:ascii="Times New Roman" w:hAnsi="Times New Roman" w:cs="Times New Roman"/>
          <w:sz w:val="24"/>
          <w:szCs w:val="24"/>
          <w:lang w:val="en-GB"/>
        </w:rPr>
        <w:t>,</w:t>
      </w:r>
      <w:r w:rsidR="000632C1" w:rsidRPr="00EB0CE2">
        <w:rPr>
          <w:rFonts w:ascii="Times New Roman" w:hAnsi="Times New Roman" w:cs="Times New Roman"/>
          <w:sz w:val="24"/>
          <w:szCs w:val="24"/>
          <w:lang w:val="en-GB"/>
        </w:rPr>
        <w:t xml:space="preserve"> the degree to which they are </w:t>
      </w:r>
      <w:r w:rsidR="00A63278" w:rsidRPr="00EB0CE2">
        <w:rPr>
          <w:rFonts w:ascii="Times New Roman" w:hAnsi="Times New Roman" w:cs="Times New Roman"/>
          <w:sz w:val="24"/>
          <w:szCs w:val="24"/>
          <w:lang w:val="en-GB"/>
        </w:rPr>
        <w:t xml:space="preserve">effective </w:t>
      </w:r>
      <w:r w:rsidR="000632C1" w:rsidRPr="00EB0CE2">
        <w:rPr>
          <w:rFonts w:ascii="Times New Roman" w:hAnsi="Times New Roman" w:cs="Times New Roman"/>
          <w:sz w:val="24"/>
          <w:szCs w:val="24"/>
          <w:lang w:val="en-GB"/>
        </w:rPr>
        <w:t>tools to evaluate the candi</w:t>
      </w:r>
      <w:r w:rsidR="002D4D0D" w:rsidRPr="00EB0CE2">
        <w:rPr>
          <w:rFonts w:ascii="Times New Roman" w:hAnsi="Times New Roman" w:cs="Times New Roman"/>
          <w:sz w:val="24"/>
          <w:szCs w:val="24"/>
          <w:lang w:val="en-GB"/>
        </w:rPr>
        <w:t>dates’ communicative competence</w:t>
      </w:r>
      <w:r w:rsidR="009065F6" w:rsidRPr="00EB0CE2">
        <w:rPr>
          <w:rFonts w:ascii="Times New Roman" w:hAnsi="Times New Roman" w:cs="Times New Roman"/>
          <w:sz w:val="24"/>
          <w:szCs w:val="24"/>
          <w:lang w:val="en-GB"/>
        </w:rPr>
        <w:t xml:space="preserve">, </w:t>
      </w:r>
      <w:r w:rsidR="00B13626" w:rsidRPr="00EB0CE2">
        <w:rPr>
          <w:rFonts w:ascii="Times New Roman" w:hAnsi="Times New Roman" w:cs="Times New Roman"/>
          <w:sz w:val="24"/>
          <w:szCs w:val="24"/>
          <w:lang w:val="en-GB"/>
        </w:rPr>
        <w:t>the</w:t>
      </w:r>
      <w:r w:rsidR="009065F6" w:rsidRPr="00EB0CE2">
        <w:rPr>
          <w:rFonts w:ascii="Times New Roman" w:hAnsi="Times New Roman" w:cs="Times New Roman"/>
          <w:sz w:val="24"/>
          <w:szCs w:val="24"/>
          <w:lang w:val="en-GB"/>
        </w:rPr>
        <w:t xml:space="preserve"> impact </w:t>
      </w:r>
      <w:r w:rsidR="00E61A21" w:rsidRPr="00EB0CE2">
        <w:rPr>
          <w:rFonts w:ascii="Times New Roman" w:hAnsi="Times New Roman" w:cs="Times New Roman"/>
          <w:sz w:val="24"/>
          <w:szCs w:val="24"/>
          <w:lang w:val="en-GB"/>
        </w:rPr>
        <w:t xml:space="preserve">they perceive </w:t>
      </w:r>
      <w:r w:rsidR="009065F6" w:rsidRPr="00EB0CE2">
        <w:rPr>
          <w:rFonts w:ascii="Times New Roman" w:hAnsi="Times New Roman" w:cs="Times New Roman"/>
          <w:sz w:val="24"/>
          <w:szCs w:val="24"/>
          <w:lang w:val="en-GB"/>
        </w:rPr>
        <w:t xml:space="preserve">these documents have in their evaluation and, finally, </w:t>
      </w:r>
      <w:r w:rsidR="00E61A21" w:rsidRPr="00EB0CE2">
        <w:rPr>
          <w:rFonts w:ascii="Times New Roman" w:hAnsi="Times New Roman" w:cs="Times New Roman"/>
          <w:sz w:val="24"/>
          <w:szCs w:val="24"/>
          <w:lang w:val="en-GB"/>
        </w:rPr>
        <w:t>a</w:t>
      </w:r>
      <w:r w:rsidR="009065F6" w:rsidRPr="00EB0CE2">
        <w:rPr>
          <w:rFonts w:ascii="Times New Roman" w:hAnsi="Times New Roman" w:cs="Times New Roman"/>
          <w:sz w:val="24"/>
          <w:szCs w:val="24"/>
          <w:lang w:val="en-GB"/>
        </w:rPr>
        <w:t>spects</w:t>
      </w:r>
      <w:r w:rsidR="00E61A21" w:rsidRPr="00EB0CE2">
        <w:rPr>
          <w:rFonts w:ascii="Times New Roman" w:hAnsi="Times New Roman" w:cs="Times New Roman"/>
          <w:sz w:val="24"/>
          <w:szCs w:val="24"/>
          <w:lang w:val="en-GB"/>
        </w:rPr>
        <w:t xml:space="preserve"> which they believe are missing</w:t>
      </w:r>
      <w:r w:rsidR="00E72C49" w:rsidRPr="00EB0CE2">
        <w:rPr>
          <w:rFonts w:ascii="Times New Roman" w:hAnsi="Times New Roman" w:cs="Times New Roman"/>
          <w:sz w:val="24"/>
          <w:szCs w:val="24"/>
          <w:lang w:val="en-GB"/>
        </w:rPr>
        <w:t>.</w:t>
      </w:r>
      <w:r w:rsidR="00E61A21" w:rsidRPr="00EB0CE2">
        <w:rPr>
          <w:rFonts w:ascii="Times New Roman" w:hAnsi="Times New Roman" w:cs="Times New Roman"/>
          <w:sz w:val="24"/>
          <w:szCs w:val="24"/>
          <w:lang w:val="en-GB"/>
        </w:rPr>
        <w:t xml:space="preserve"> The last two items were open questions, to allow respondents </w:t>
      </w:r>
      <w:r w:rsidR="00B13626" w:rsidRPr="00EB0CE2">
        <w:rPr>
          <w:rFonts w:ascii="Times New Roman" w:hAnsi="Times New Roman" w:cs="Times New Roman"/>
          <w:sz w:val="24"/>
          <w:szCs w:val="24"/>
          <w:lang w:val="en-GB"/>
        </w:rPr>
        <w:t xml:space="preserve">for </w:t>
      </w:r>
      <w:r w:rsidR="00E61A21" w:rsidRPr="00EB0CE2">
        <w:rPr>
          <w:rFonts w:ascii="Times New Roman" w:hAnsi="Times New Roman" w:cs="Times New Roman"/>
          <w:sz w:val="24"/>
          <w:szCs w:val="24"/>
          <w:lang w:val="en-GB"/>
        </w:rPr>
        <w:t xml:space="preserve">a wider range of potential answers. </w:t>
      </w:r>
      <w:r w:rsidR="00315925" w:rsidRPr="00EB0CE2">
        <w:rPr>
          <w:rFonts w:ascii="Times New Roman" w:hAnsi="Times New Roman" w:cs="Times New Roman"/>
          <w:sz w:val="24"/>
          <w:szCs w:val="24"/>
          <w:lang w:val="en-GB"/>
        </w:rPr>
        <w:t xml:space="preserve"> </w:t>
      </w:r>
    </w:p>
    <w:p w14:paraId="58643AE9" w14:textId="77A42739" w:rsidR="00BC5FFF" w:rsidRPr="00EB0CE2" w:rsidRDefault="008762DA"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The data in Figure X shows that </w:t>
      </w:r>
      <w:r w:rsidR="00EC2FD7" w:rsidRPr="00EB0CE2">
        <w:rPr>
          <w:rFonts w:ascii="Times New Roman" w:hAnsi="Times New Roman" w:cs="Times New Roman"/>
          <w:sz w:val="24"/>
          <w:szCs w:val="24"/>
          <w:lang w:val="en-GB"/>
        </w:rPr>
        <w:t xml:space="preserve">the </w:t>
      </w:r>
      <w:r w:rsidRPr="00EB0CE2">
        <w:rPr>
          <w:rFonts w:ascii="Times New Roman" w:hAnsi="Times New Roman" w:cs="Times New Roman"/>
          <w:sz w:val="24"/>
          <w:szCs w:val="24"/>
          <w:lang w:val="en-GB"/>
        </w:rPr>
        <w:t xml:space="preserve">evaluators consider the CEFR/CV as useful documents and useful tools to evaluate candidates’ communicative competence. </w:t>
      </w:r>
      <w:r w:rsidR="00BC5FFF" w:rsidRPr="00EB0CE2">
        <w:rPr>
          <w:rFonts w:ascii="Times New Roman" w:hAnsi="Times New Roman" w:cs="Times New Roman"/>
          <w:sz w:val="24"/>
          <w:szCs w:val="24"/>
          <w:lang w:val="en-GB"/>
        </w:rPr>
        <w:t xml:space="preserve">Attention should be paid, however, to the </w:t>
      </w:r>
      <w:r w:rsidR="002D4D0D" w:rsidRPr="00EB0CE2">
        <w:rPr>
          <w:rFonts w:ascii="Times New Roman" w:hAnsi="Times New Roman" w:cs="Times New Roman"/>
          <w:sz w:val="24"/>
          <w:szCs w:val="24"/>
          <w:lang w:val="en-GB"/>
        </w:rPr>
        <w:t xml:space="preserve">two evaluators (4.6%) </w:t>
      </w:r>
      <w:r w:rsidR="00BC5FFF" w:rsidRPr="00EB0CE2">
        <w:rPr>
          <w:rFonts w:ascii="Times New Roman" w:hAnsi="Times New Roman" w:cs="Times New Roman"/>
          <w:sz w:val="24"/>
          <w:szCs w:val="24"/>
          <w:lang w:val="en-GB"/>
        </w:rPr>
        <w:t xml:space="preserve">who </w:t>
      </w:r>
      <w:r w:rsidR="002D4D0D" w:rsidRPr="00EB0CE2">
        <w:rPr>
          <w:rFonts w:ascii="Times New Roman" w:hAnsi="Times New Roman" w:cs="Times New Roman"/>
          <w:sz w:val="24"/>
          <w:szCs w:val="24"/>
          <w:lang w:val="en-GB"/>
        </w:rPr>
        <w:t>ranked the usefulness of the CEFR/CV and their effectiveness as deficie</w:t>
      </w:r>
      <w:r w:rsidR="003870EE" w:rsidRPr="00EB0CE2">
        <w:rPr>
          <w:rFonts w:ascii="Times New Roman" w:hAnsi="Times New Roman" w:cs="Times New Roman"/>
          <w:sz w:val="24"/>
          <w:szCs w:val="24"/>
          <w:lang w:val="en-GB"/>
        </w:rPr>
        <w:t xml:space="preserve">nt (1 to 4 on </w:t>
      </w:r>
      <w:r w:rsidR="00BC5FFF" w:rsidRPr="00EB0CE2">
        <w:rPr>
          <w:rFonts w:ascii="Times New Roman" w:hAnsi="Times New Roman" w:cs="Times New Roman"/>
          <w:sz w:val="24"/>
          <w:szCs w:val="24"/>
          <w:lang w:val="en-GB"/>
        </w:rPr>
        <w:t>the Likert scale) and the 6 evaluators (13.6%) who considered their usefulness and their effectiveness to evaluate candidates as limited.</w:t>
      </w:r>
    </w:p>
    <w:p w14:paraId="0B909B05" w14:textId="3DADA960" w:rsidR="00F22023" w:rsidRPr="00F15F8D" w:rsidRDefault="003870EE" w:rsidP="00BC5FFF">
      <w:pPr>
        <w:rPr>
          <w:rFonts w:asciiTheme="majorHAnsi" w:hAnsiTheme="majorHAnsi" w:cstheme="majorHAnsi"/>
          <w:lang w:val="en-GB"/>
        </w:rPr>
      </w:pPr>
      <w:r>
        <w:rPr>
          <w:rFonts w:asciiTheme="majorHAnsi" w:hAnsiTheme="majorHAnsi" w:cstheme="majorHAnsi"/>
          <w:lang w:val="en-GB"/>
        </w:rPr>
        <w:t xml:space="preserve"> </w:t>
      </w:r>
    </w:p>
    <w:p w14:paraId="4597CDC2" w14:textId="77777777" w:rsidR="000632C1" w:rsidRPr="00F15F8D" w:rsidRDefault="000632C1">
      <w:pPr>
        <w:rPr>
          <w:rFonts w:asciiTheme="majorHAnsi" w:hAnsiTheme="majorHAnsi" w:cstheme="majorHAnsi"/>
          <w:lang w:val="en-GB"/>
        </w:rPr>
      </w:pPr>
    </w:p>
    <w:p w14:paraId="6BBD5521" w14:textId="77777777" w:rsidR="002F65AC" w:rsidRPr="00F15F8D" w:rsidRDefault="002F65AC">
      <w:pPr>
        <w:rPr>
          <w:rFonts w:asciiTheme="majorHAnsi" w:hAnsiTheme="majorHAnsi" w:cstheme="majorHAnsi"/>
          <w:lang w:val="en-GB"/>
        </w:rPr>
      </w:pPr>
      <w:r w:rsidRPr="00F15F8D">
        <w:rPr>
          <w:rFonts w:asciiTheme="majorHAnsi" w:hAnsiTheme="majorHAnsi" w:cstheme="majorHAnsi"/>
          <w:noProof/>
          <w:lang w:eastAsia="es-ES"/>
        </w:rPr>
        <w:drawing>
          <wp:inline distT="0" distB="0" distL="0" distR="0" wp14:anchorId="6700E6C6" wp14:editId="7B854082">
            <wp:extent cx="4708276" cy="4716117"/>
            <wp:effectExtent l="0" t="0" r="16510" b="889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977C208" w14:textId="77777777" w:rsidR="000632C1" w:rsidRPr="00EB0CE2" w:rsidRDefault="00887DDA">
      <w:pPr>
        <w:rPr>
          <w:rFonts w:ascii="Times New Roman" w:hAnsi="Times New Roman" w:cs="Times New Roman"/>
          <w:sz w:val="20"/>
          <w:szCs w:val="20"/>
          <w:lang w:val="en-GB"/>
        </w:rPr>
      </w:pPr>
      <w:r w:rsidRPr="00EB0CE2">
        <w:rPr>
          <w:rFonts w:ascii="Times New Roman" w:hAnsi="Times New Roman" w:cs="Times New Roman"/>
          <w:sz w:val="20"/>
          <w:szCs w:val="20"/>
          <w:lang w:val="en-GB"/>
        </w:rPr>
        <w:t xml:space="preserve">Figure 8. Usefulness and effectivity of the CEFR/CV </w:t>
      </w:r>
    </w:p>
    <w:p w14:paraId="111C1078" w14:textId="7AAC1751" w:rsidR="000746ED" w:rsidRPr="00EB0CE2" w:rsidRDefault="000746ED"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An open question was </w:t>
      </w:r>
      <w:r w:rsidR="000641A7" w:rsidRPr="00EB0CE2">
        <w:rPr>
          <w:rFonts w:ascii="Times New Roman" w:hAnsi="Times New Roman" w:cs="Times New Roman"/>
          <w:sz w:val="24"/>
          <w:szCs w:val="24"/>
          <w:lang w:val="en-GB"/>
        </w:rPr>
        <w:t xml:space="preserve">then </w:t>
      </w:r>
      <w:r w:rsidRPr="00EB0CE2">
        <w:rPr>
          <w:rFonts w:ascii="Times New Roman" w:hAnsi="Times New Roman" w:cs="Times New Roman"/>
          <w:sz w:val="24"/>
          <w:szCs w:val="24"/>
          <w:lang w:val="en-GB"/>
        </w:rPr>
        <w:t xml:space="preserve">offerered to evaluators </w:t>
      </w:r>
      <w:r w:rsidR="000641A7" w:rsidRPr="00EB0CE2">
        <w:rPr>
          <w:rFonts w:ascii="Times New Roman" w:hAnsi="Times New Roman" w:cs="Times New Roman"/>
          <w:sz w:val="24"/>
          <w:szCs w:val="24"/>
          <w:lang w:val="en-GB"/>
        </w:rPr>
        <w:t xml:space="preserve">for them to </w:t>
      </w:r>
      <w:r w:rsidR="00C87B1B" w:rsidRPr="00EB0CE2">
        <w:rPr>
          <w:rFonts w:ascii="Times New Roman" w:hAnsi="Times New Roman" w:cs="Times New Roman"/>
          <w:sz w:val="24"/>
          <w:szCs w:val="24"/>
          <w:lang w:val="en-GB"/>
        </w:rPr>
        <w:t xml:space="preserve">identify </w:t>
      </w:r>
      <w:r w:rsidRPr="00EB0CE2">
        <w:rPr>
          <w:rFonts w:ascii="Times New Roman" w:hAnsi="Times New Roman" w:cs="Times New Roman"/>
          <w:sz w:val="24"/>
          <w:szCs w:val="24"/>
          <w:lang w:val="en-GB"/>
        </w:rPr>
        <w:t xml:space="preserve">the more </w:t>
      </w:r>
      <w:r w:rsidR="00A63278" w:rsidRPr="00EB0CE2">
        <w:rPr>
          <w:rFonts w:ascii="Times New Roman" w:hAnsi="Times New Roman" w:cs="Times New Roman"/>
          <w:sz w:val="24"/>
          <w:szCs w:val="24"/>
          <w:lang w:val="en-GB"/>
        </w:rPr>
        <w:t xml:space="preserve">effective </w:t>
      </w:r>
      <w:r w:rsidRPr="00EB0CE2">
        <w:rPr>
          <w:rFonts w:ascii="Times New Roman" w:hAnsi="Times New Roman" w:cs="Times New Roman"/>
          <w:sz w:val="24"/>
          <w:szCs w:val="24"/>
          <w:lang w:val="en-GB"/>
        </w:rPr>
        <w:t xml:space="preserve">aspects in the CEFR/CV for </w:t>
      </w:r>
      <w:r w:rsidR="000641A7" w:rsidRPr="00EB0CE2">
        <w:rPr>
          <w:rFonts w:ascii="Times New Roman" w:hAnsi="Times New Roman" w:cs="Times New Roman"/>
          <w:sz w:val="24"/>
          <w:szCs w:val="24"/>
          <w:lang w:val="en-GB"/>
        </w:rPr>
        <w:t>their evaluation practice</w:t>
      </w:r>
      <w:r w:rsidRPr="00EB0CE2">
        <w:rPr>
          <w:rFonts w:ascii="Times New Roman" w:hAnsi="Times New Roman" w:cs="Times New Roman"/>
          <w:sz w:val="24"/>
          <w:szCs w:val="24"/>
          <w:lang w:val="en-GB"/>
        </w:rPr>
        <w:t xml:space="preserve">. As a result, most evaluators pointed to the importance of the establishment of </w:t>
      </w:r>
      <w:r w:rsidR="000641A7" w:rsidRPr="00EB0CE2">
        <w:rPr>
          <w:rFonts w:ascii="Times New Roman" w:hAnsi="Times New Roman" w:cs="Times New Roman"/>
          <w:sz w:val="24"/>
          <w:szCs w:val="24"/>
          <w:lang w:val="en-GB"/>
        </w:rPr>
        <w:t xml:space="preserve">clear </w:t>
      </w:r>
      <w:r w:rsidRPr="00EB0CE2">
        <w:rPr>
          <w:rFonts w:ascii="Times New Roman" w:hAnsi="Times New Roman" w:cs="Times New Roman"/>
          <w:sz w:val="24"/>
          <w:szCs w:val="24"/>
          <w:lang w:val="en-GB"/>
        </w:rPr>
        <w:t>criteria to evaluate candidates at different levels</w:t>
      </w:r>
      <w:r w:rsidR="000641A7" w:rsidRPr="00EB0CE2">
        <w:rPr>
          <w:rFonts w:ascii="Times New Roman" w:hAnsi="Times New Roman" w:cs="Times New Roman"/>
          <w:sz w:val="24"/>
          <w:szCs w:val="24"/>
          <w:lang w:val="en-GB"/>
        </w:rPr>
        <w:t>, the use of descriptors and the definition of the different competences. Other aspects</w:t>
      </w:r>
      <w:r w:rsidR="00C87B1B" w:rsidRPr="00EB0CE2">
        <w:rPr>
          <w:rFonts w:ascii="Times New Roman" w:hAnsi="Times New Roman" w:cs="Times New Roman"/>
          <w:sz w:val="24"/>
          <w:szCs w:val="24"/>
          <w:lang w:val="en-GB"/>
        </w:rPr>
        <w:t>,</w:t>
      </w:r>
      <w:r w:rsidR="000641A7" w:rsidRPr="00EB0CE2">
        <w:rPr>
          <w:rFonts w:ascii="Times New Roman" w:hAnsi="Times New Roman" w:cs="Times New Roman"/>
          <w:sz w:val="24"/>
          <w:szCs w:val="24"/>
          <w:lang w:val="en-GB"/>
        </w:rPr>
        <w:t xml:space="preserve"> which are not included in the CEFR/CV but which derive from their use to enhance the transparency in the evaluation of languages</w:t>
      </w:r>
      <w:r w:rsidR="00C87B1B" w:rsidRPr="00EB0CE2">
        <w:rPr>
          <w:rFonts w:ascii="Times New Roman" w:hAnsi="Times New Roman" w:cs="Times New Roman"/>
          <w:sz w:val="24"/>
          <w:szCs w:val="24"/>
          <w:lang w:val="en-GB"/>
        </w:rPr>
        <w:t>,</w:t>
      </w:r>
      <w:r w:rsidR="000641A7" w:rsidRPr="00EB0CE2">
        <w:rPr>
          <w:rFonts w:ascii="Times New Roman" w:hAnsi="Times New Roman" w:cs="Times New Roman"/>
          <w:sz w:val="24"/>
          <w:szCs w:val="24"/>
          <w:lang w:val="en-GB"/>
        </w:rPr>
        <w:t xml:space="preserve"> were then menti</w:t>
      </w:r>
      <w:r w:rsidR="00C87B1B" w:rsidRPr="00EB0CE2">
        <w:rPr>
          <w:rFonts w:ascii="Times New Roman" w:hAnsi="Times New Roman" w:cs="Times New Roman"/>
          <w:sz w:val="24"/>
          <w:szCs w:val="24"/>
          <w:lang w:val="en-GB"/>
        </w:rPr>
        <w:t xml:space="preserve">oned. These </w:t>
      </w:r>
      <w:r w:rsidR="00E72C49" w:rsidRPr="00EB0CE2">
        <w:rPr>
          <w:rFonts w:ascii="Times New Roman" w:hAnsi="Times New Roman" w:cs="Times New Roman"/>
          <w:sz w:val="24"/>
          <w:szCs w:val="24"/>
          <w:lang w:val="en-GB"/>
        </w:rPr>
        <w:t>were the</w:t>
      </w:r>
      <w:r w:rsidRPr="00EB0CE2">
        <w:rPr>
          <w:rFonts w:ascii="Times New Roman" w:hAnsi="Times New Roman" w:cs="Times New Roman"/>
          <w:sz w:val="24"/>
          <w:szCs w:val="24"/>
          <w:lang w:val="en-GB"/>
        </w:rPr>
        <w:t xml:space="preserve"> importance of rubrics</w:t>
      </w:r>
      <w:r w:rsidR="000641A7" w:rsidRPr="00EB0CE2">
        <w:rPr>
          <w:rFonts w:ascii="Times New Roman" w:hAnsi="Times New Roman" w:cs="Times New Roman"/>
          <w:sz w:val="24"/>
          <w:szCs w:val="24"/>
          <w:lang w:val="en-GB"/>
        </w:rPr>
        <w:t xml:space="preserve"> and</w:t>
      </w:r>
      <w:r w:rsidRPr="00EB0CE2">
        <w:rPr>
          <w:rFonts w:ascii="Times New Roman" w:hAnsi="Times New Roman" w:cs="Times New Roman"/>
          <w:sz w:val="24"/>
          <w:szCs w:val="24"/>
          <w:lang w:val="en-GB"/>
        </w:rPr>
        <w:t xml:space="preserve"> inter-rating agreement</w:t>
      </w:r>
      <w:r w:rsidR="00A13486" w:rsidRPr="00EB0CE2">
        <w:rPr>
          <w:rFonts w:ascii="Times New Roman" w:hAnsi="Times New Roman" w:cs="Times New Roman"/>
          <w:sz w:val="24"/>
          <w:szCs w:val="24"/>
          <w:lang w:val="en-GB"/>
        </w:rPr>
        <w:t xml:space="preserve">, </w:t>
      </w:r>
      <w:r w:rsidRPr="00EB0CE2">
        <w:rPr>
          <w:rFonts w:ascii="Times New Roman" w:hAnsi="Times New Roman" w:cs="Times New Roman"/>
          <w:sz w:val="24"/>
          <w:szCs w:val="24"/>
          <w:lang w:val="en-GB"/>
        </w:rPr>
        <w:t>the importance of the training received and</w:t>
      </w:r>
      <w:r w:rsidR="00C87B1B" w:rsidRPr="00EB0CE2">
        <w:rPr>
          <w:rFonts w:ascii="Times New Roman" w:hAnsi="Times New Roman" w:cs="Times New Roman"/>
          <w:sz w:val="24"/>
          <w:szCs w:val="24"/>
          <w:lang w:val="en-GB"/>
        </w:rPr>
        <w:t xml:space="preserve"> </w:t>
      </w:r>
      <w:r w:rsidRPr="00EB0CE2">
        <w:rPr>
          <w:rFonts w:ascii="Times New Roman" w:hAnsi="Times New Roman" w:cs="Times New Roman"/>
          <w:sz w:val="24"/>
          <w:szCs w:val="24"/>
          <w:lang w:val="en-GB"/>
        </w:rPr>
        <w:t xml:space="preserve">the </w:t>
      </w:r>
      <w:r w:rsidR="00C87B1B" w:rsidRPr="00EB0CE2">
        <w:rPr>
          <w:rFonts w:ascii="Times New Roman" w:hAnsi="Times New Roman" w:cs="Times New Roman"/>
          <w:sz w:val="24"/>
          <w:szCs w:val="24"/>
          <w:lang w:val="en-GB"/>
        </w:rPr>
        <w:t xml:space="preserve">comprehensive </w:t>
      </w:r>
      <w:r w:rsidRPr="00EB0CE2">
        <w:rPr>
          <w:rFonts w:ascii="Times New Roman" w:hAnsi="Times New Roman" w:cs="Times New Roman"/>
          <w:sz w:val="24"/>
          <w:szCs w:val="24"/>
          <w:lang w:val="en-GB"/>
        </w:rPr>
        <w:t>understanding of the evaluation process as a whole.</w:t>
      </w:r>
    </w:p>
    <w:p w14:paraId="6D6C9220" w14:textId="2FC7C2C2" w:rsidR="00F65FBD" w:rsidRPr="00EB0CE2" w:rsidRDefault="000746ED"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Another open question allowed evaluators to specify the </w:t>
      </w:r>
      <w:r w:rsidR="00F65FBD" w:rsidRPr="00EB0CE2">
        <w:rPr>
          <w:rFonts w:ascii="Times New Roman" w:hAnsi="Times New Roman" w:cs="Times New Roman"/>
          <w:sz w:val="24"/>
          <w:szCs w:val="24"/>
          <w:lang w:val="en-GB"/>
        </w:rPr>
        <w:t>way how the CEFR/</w:t>
      </w:r>
      <w:r w:rsidR="00232B60" w:rsidRPr="00EB0CE2">
        <w:rPr>
          <w:rFonts w:ascii="Times New Roman" w:hAnsi="Times New Roman" w:cs="Times New Roman"/>
          <w:sz w:val="24"/>
          <w:szCs w:val="24"/>
          <w:lang w:val="en-GB"/>
        </w:rPr>
        <w:t>C</w:t>
      </w:r>
      <w:r w:rsidR="00F65FBD" w:rsidRPr="00EB0CE2">
        <w:rPr>
          <w:rFonts w:ascii="Times New Roman" w:hAnsi="Times New Roman" w:cs="Times New Roman"/>
          <w:sz w:val="24"/>
          <w:szCs w:val="24"/>
          <w:lang w:val="en-GB"/>
        </w:rPr>
        <w:t xml:space="preserve">V </w:t>
      </w:r>
      <w:r w:rsidR="00F661B3" w:rsidRPr="00EB0CE2">
        <w:rPr>
          <w:rFonts w:ascii="Times New Roman" w:hAnsi="Times New Roman" w:cs="Times New Roman"/>
          <w:sz w:val="24"/>
          <w:szCs w:val="24"/>
          <w:lang w:val="en-GB"/>
        </w:rPr>
        <w:t>are</w:t>
      </w:r>
      <w:r w:rsidR="00F65FBD" w:rsidRPr="00EB0CE2">
        <w:rPr>
          <w:rFonts w:ascii="Times New Roman" w:hAnsi="Times New Roman" w:cs="Times New Roman"/>
          <w:sz w:val="24"/>
          <w:szCs w:val="24"/>
          <w:lang w:val="en-GB"/>
        </w:rPr>
        <w:t xml:space="preserve"> </w:t>
      </w:r>
      <w:r w:rsidR="00685933" w:rsidRPr="00EB0CE2">
        <w:rPr>
          <w:rFonts w:ascii="Times New Roman" w:hAnsi="Times New Roman" w:cs="Times New Roman"/>
          <w:sz w:val="24"/>
          <w:szCs w:val="24"/>
          <w:lang w:val="en-GB"/>
        </w:rPr>
        <w:t xml:space="preserve">implemented </w:t>
      </w:r>
      <w:r w:rsidR="00F65FBD" w:rsidRPr="00EB0CE2">
        <w:rPr>
          <w:rFonts w:ascii="Times New Roman" w:hAnsi="Times New Roman" w:cs="Times New Roman"/>
          <w:sz w:val="24"/>
          <w:szCs w:val="24"/>
          <w:lang w:val="en-GB"/>
        </w:rPr>
        <w:t xml:space="preserve">in </w:t>
      </w:r>
      <w:r w:rsidR="00F661B3" w:rsidRPr="00EB0CE2">
        <w:rPr>
          <w:rFonts w:ascii="Times New Roman" w:hAnsi="Times New Roman" w:cs="Times New Roman"/>
          <w:sz w:val="24"/>
          <w:szCs w:val="24"/>
          <w:lang w:val="en-GB"/>
        </w:rPr>
        <w:t>their evaluation task</w:t>
      </w:r>
      <w:r w:rsidR="00F65FBD" w:rsidRPr="00EB0CE2">
        <w:rPr>
          <w:rFonts w:ascii="Times New Roman" w:hAnsi="Times New Roman" w:cs="Times New Roman"/>
          <w:sz w:val="24"/>
          <w:szCs w:val="24"/>
          <w:lang w:val="en-GB"/>
        </w:rPr>
        <w:t xml:space="preserve">. </w:t>
      </w:r>
      <w:r w:rsidR="00B12E4C" w:rsidRPr="00EB0CE2">
        <w:rPr>
          <w:rFonts w:ascii="Times New Roman" w:hAnsi="Times New Roman" w:cs="Times New Roman"/>
          <w:sz w:val="24"/>
          <w:szCs w:val="24"/>
          <w:lang w:val="en-GB"/>
        </w:rPr>
        <w:t>The</w:t>
      </w:r>
      <w:r w:rsidR="00F65FBD" w:rsidRPr="00EB0CE2">
        <w:rPr>
          <w:rFonts w:ascii="Times New Roman" w:hAnsi="Times New Roman" w:cs="Times New Roman"/>
          <w:sz w:val="24"/>
          <w:szCs w:val="24"/>
          <w:lang w:val="en-GB"/>
        </w:rPr>
        <w:t xml:space="preserve"> </w:t>
      </w:r>
      <w:r w:rsidR="00F661B3" w:rsidRPr="00EB0CE2">
        <w:rPr>
          <w:rFonts w:ascii="Times New Roman" w:hAnsi="Times New Roman" w:cs="Times New Roman"/>
          <w:sz w:val="24"/>
          <w:szCs w:val="24"/>
          <w:lang w:val="en-GB"/>
        </w:rPr>
        <w:t xml:space="preserve">most commonly repeated aspect </w:t>
      </w:r>
      <w:r w:rsidR="00F65FBD" w:rsidRPr="00EB0CE2">
        <w:rPr>
          <w:rFonts w:ascii="Times New Roman" w:hAnsi="Times New Roman" w:cs="Times New Roman"/>
          <w:sz w:val="24"/>
          <w:szCs w:val="24"/>
          <w:lang w:val="en-GB"/>
        </w:rPr>
        <w:t>was the possibility to be objective or effective in the evaluation of candidates. Clearly related to this concept, the importance of the use of rubrics (one of the evaluators indicating the importance of these rubrics being aligned to the tests), the es</w:t>
      </w:r>
      <w:r w:rsidR="00C91789" w:rsidRPr="00EB0CE2">
        <w:rPr>
          <w:rFonts w:ascii="Times New Roman" w:hAnsi="Times New Roman" w:cs="Times New Roman"/>
          <w:sz w:val="24"/>
          <w:szCs w:val="24"/>
          <w:lang w:val="en-GB"/>
        </w:rPr>
        <w:t xml:space="preserve">tablishment of common standards, </w:t>
      </w:r>
      <w:r w:rsidR="00F65FBD" w:rsidRPr="00EB0CE2">
        <w:rPr>
          <w:rFonts w:ascii="Times New Roman" w:hAnsi="Times New Roman" w:cs="Times New Roman"/>
          <w:sz w:val="24"/>
          <w:szCs w:val="24"/>
          <w:lang w:val="en-GB"/>
        </w:rPr>
        <w:t>the use of descriptor</w:t>
      </w:r>
      <w:r w:rsidR="00D94C1B" w:rsidRPr="00EB0CE2">
        <w:rPr>
          <w:rFonts w:ascii="Times New Roman" w:hAnsi="Times New Roman" w:cs="Times New Roman"/>
          <w:sz w:val="24"/>
          <w:szCs w:val="24"/>
          <w:lang w:val="en-GB"/>
        </w:rPr>
        <w:t xml:space="preserve">s to identify the levels, </w:t>
      </w:r>
      <w:r w:rsidR="00C91789" w:rsidRPr="00EB0CE2">
        <w:rPr>
          <w:rFonts w:ascii="Times New Roman" w:hAnsi="Times New Roman" w:cs="Times New Roman"/>
          <w:sz w:val="24"/>
          <w:szCs w:val="24"/>
          <w:lang w:val="en-GB"/>
        </w:rPr>
        <w:t>and test alignment were also repeatedly mentioned.</w:t>
      </w:r>
      <w:r w:rsidR="00F661B3" w:rsidRPr="00EB0CE2">
        <w:rPr>
          <w:rFonts w:ascii="Times New Roman" w:hAnsi="Times New Roman" w:cs="Times New Roman"/>
          <w:sz w:val="24"/>
          <w:szCs w:val="24"/>
          <w:lang w:val="en-GB"/>
        </w:rPr>
        <w:t xml:space="preserve"> </w:t>
      </w:r>
      <w:r w:rsidR="00D94C1B" w:rsidRPr="00EB0CE2">
        <w:rPr>
          <w:rFonts w:ascii="Times New Roman" w:hAnsi="Times New Roman" w:cs="Times New Roman"/>
          <w:sz w:val="24"/>
          <w:szCs w:val="24"/>
          <w:lang w:val="en-GB"/>
        </w:rPr>
        <w:t>Other evaluators indicate</w:t>
      </w:r>
      <w:r w:rsidR="00380D16" w:rsidRPr="00EB0CE2">
        <w:rPr>
          <w:rFonts w:ascii="Times New Roman" w:hAnsi="Times New Roman" w:cs="Times New Roman"/>
          <w:sz w:val="24"/>
          <w:szCs w:val="24"/>
          <w:lang w:val="en-GB"/>
        </w:rPr>
        <w:t>d</w:t>
      </w:r>
      <w:r w:rsidR="00D94C1B" w:rsidRPr="00EB0CE2">
        <w:rPr>
          <w:rFonts w:ascii="Times New Roman" w:hAnsi="Times New Roman" w:cs="Times New Roman"/>
          <w:sz w:val="24"/>
          <w:szCs w:val="24"/>
          <w:lang w:val="en-GB"/>
        </w:rPr>
        <w:t xml:space="preserve"> the importance of the CEFR/CV in their evaluation regarding the evaluation of </w:t>
      </w:r>
      <w:r w:rsidR="00894C87" w:rsidRPr="00EB0CE2">
        <w:rPr>
          <w:rFonts w:ascii="Times New Roman" w:hAnsi="Times New Roman" w:cs="Times New Roman"/>
          <w:sz w:val="24"/>
          <w:szCs w:val="24"/>
          <w:lang w:val="en-GB"/>
        </w:rPr>
        <w:t>competences</w:t>
      </w:r>
      <w:r w:rsidR="00C91789" w:rsidRPr="00EB0CE2">
        <w:rPr>
          <w:rFonts w:ascii="Times New Roman" w:hAnsi="Times New Roman" w:cs="Times New Roman"/>
          <w:sz w:val="24"/>
          <w:szCs w:val="24"/>
          <w:lang w:val="en-GB"/>
        </w:rPr>
        <w:t xml:space="preserve">, </w:t>
      </w:r>
      <w:r w:rsidR="002E4BD2" w:rsidRPr="00EB0CE2">
        <w:rPr>
          <w:rFonts w:ascii="Times New Roman" w:hAnsi="Times New Roman" w:cs="Times New Roman"/>
          <w:sz w:val="24"/>
          <w:szCs w:val="24"/>
          <w:lang w:val="en-GB"/>
        </w:rPr>
        <w:t>the focus on new paramet</w:t>
      </w:r>
      <w:r w:rsidR="00C91789" w:rsidRPr="00EB0CE2">
        <w:rPr>
          <w:rFonts w:ascii="Times New Roman" w:hAnsi="Times New Roman" w:cs="Times New Roman"/>
          <w:sz w:val="24"/>
          <w:szCs w:val="24"/>
          <w:lang w:val="en-GB"/>
        </w:rPr>
        <w:t>ers for correction/evaluation, the</w:t>
      </w:r>
      <w:r w:rsidR="002E4BD2" w:rsidRPr="00EB0CE2">
        <w:rPr>
          <w:rFonts w:ascii="Times New Roman" w:hAnsi="Times New Roman" w:cs="Times New Roman"/>
          <w:sz w:val="24"/>
          <w:szCs w:val="24"/>
          <w:lang w:val="en-GB"/>
        </w:rPr>
        <w:t xml:space="preserve"> evaluation of the oral and writing parts of the exam</w:t>
      </w:r>
      <w:r w:rsidR="00232937" w:rsidRPr="00EB0CE2">
        <w:rPr>
          <w:rFonts w:ascii="Times New Roman" w:hAnsi="Times New Roman" w:cs="Times New Roman"/>
          <w:sz w:val="24"/>
          <w:szCs w:val="24"/>
          <w:lang w:val="en-GB"/>
        </w:rPr>
        <w:t xml:space="preserve"> </w:t>
      </w:r>
      <w:r w:rsidR="00894C87" w:rsidRPr="00EB0CE2">
        <w:rPr>
          <w:rFonts w:ascii="Times New Roman" w:hAnsi="Times New Roman" w:cs="Times New Roman"/>
          <w:sz w:val="24"/>
          <w:szCs w:val="24"/>
          <w:lang w:val="en-GB"/>
        </w:rPr>
        <w:t xml:space="preserve">and </w:t>
      </w:r>
      <w:r w:rsidR="002E4BD2" w:rsidRPr="00EB0CE2">
        <w:rPr>
          <w:rFonts w:ascii="Times New Roman" w:hAnsi="Times New Roman" w:cs="Times New Roman"/>
          <w:sz w:val="24"/>
          <w:szCs w:val="24"/>
          <w:lang w:val="en-GB"/>
        </w:rPr>
        <w:t>test design.</w:t>
      </w:r>
      <w:r w:rsidR="00EC63E6" w:rsidRPr="00EB0CE2">
        <w:rPr>
          <w:rFonts w:ascii="Times New Roman" w:hAnsi="Times New Roman" w:cs="Times New Roman"/>
          <w:sz w:val="24"/>
          <w:szCs w:val="24"/>
          <w:lang w:val="en-GB"/>
        </w:rPr>
        <w:t xml:space="preserve"> </w:t>
      </w:r>
      <w:r w:rsidR="00D13A49" w:rsidRPr="00EB0CE2">
        <w:rPr>
          <w:rFonts w:ascii="Times New Roman" w:hAnsi="Times New Roman" w:cs="Times New Roman"/>
          <w:sz w:val="24"/>
          <w:szCs w:val="24"/>
          <w:lang w:val="en-GB"/>
        </w:rPr>
        <w:t xml:space="preserve">The </w:t>
      </w:r>
      <w:r w:rsidR="00894C87" w:rsidRPr="00EB0CE2">
        <w:rPr>
          <w:rFonts w:ascii="Times New Roman" w:hAnsi="Times New Roman" w:cs="Times New Roman"/>
          <w:sz w:val="24"/>
          <w:szCs w:val="24"/>
          <w:lang w:val="en-GB"/>
        </w:rPr>
        <w:t>crucial</w:t>
      </w:r>
      <w:r w:rsidR="00D13A49" w:rsidRPr="00EB0CE2">
        <w:rPr>
          <w:rFonts w:ascii="Times New Roman" w:hAnsi="Times New Roman" w:cs="Times New Roman"/>
          <w:sz w:val="24"/>
          <w:szCs w:val="24"/>
          <w:lang w:val="en-GB"/>
        </w:rPr>
        <w:t xml:space="preserve"> role of the CEFR/CV on the candidates’ evaluation was highlighted by some evaluators who claimed that t</w:t>
      </w:r>
      <w:r w:rsidR="00F22023" w:rsidRPr="00EB0CE2">
        <w:rPr>
          <w:rFonts w:ascii="Times New Roman" w:hAnsi="Times New Roman" w:cs="Times New Roman"/>
          <w:sz w:val="24"/>
          <w:szCs w:val="24"/>
          <w:lang w:val="en-GB"/>
        </w:rPr>
        <w:t xml:space="preserve">he CEFR/CV impact on every </w:t>
      </w:r>
      <w:r w:rsidR="001439C2" w:rsidRPr="00EB0CE2">
        <w:rPr>
          <w:rFonts w:ascii="Times New Roman" w:hAnsi="Times New Roman" w:cs="Times New Roman"/>
          <w:sz w:val="24"/>
          <w:szCs w:val="24"/>
          <w:lang w:val="en-GB"/>
        </w:rPr>
        <w:t>single aspect in their evaluation process</w:t>
      </w:r>
      <w:r w:rsidR="00F22023" w:rsidRPr="00EB0CE2">
        <w:rPr>
          <w:rFonts w:ascii="Times New Roman" w:hAnsi="Times New Roman" w:cs="Times New Roman"/>
          <w:sz w:val="24"/>
          <w:szCs w:val="24"/>
          <w:lang w:val="en-GB"/>
        </w:rPr>
        <w:t>.</w:t>
      </w:r>
      <w:r w:rsidR="001439C2" w:rsidRPr="00EB0CE2">
        <w:rPr>
          <w:rFonts w:ascii="Times New Roman" w:hAnsi="Times New Roman" w:cs="Times New Roman"/>
          <w:sz w:val="24"/>
          <w:szCs w:val="24"/>
          <w:lang w:val="en-GB"/>
        </w:rPr>
        <w:t xml:space="preserve"> Contrarily, o</w:t>
      </w:r>
      <w:r w:rsidR="00EC63E6" w:rsidRPr="00EB0CE2">
        <w:rPr>
          <w:rFonts w:ascii="Times New Roman" w:hAnsi="Times New Roman" w:cs="Times New Roman"/>
          <w:sz w:val="24"/>
          <w:szCs w:val="24"/>
          <w:lang w:val="en-GB"/>
        </w:rPr>
        <w:t>nly one evaluator indicated that the CEFR/CV does not have any impact on his/her evaluation.</w:t>
      </w:r>
    </w:p>
    <w:p w14:paraId="107869AF" w14:textId="4356A7F7" w:rsidR="00413616" w:rsidRPr="006D72F4" w:rsidRDefault="001439C2" w:rsidP="00EB0CE2">
      <w:pPr>
        <w:spacing w:after="0" w:line="240" w:lineRule="auto"/>
        <w:ind w:firstLine="708"/>
        <w:jc w:val="both"/>
        <w:rPr>
          <w:rFonts w:ascii="Times New Roman" w:hAnsi="Times New Roman" w:cs="Times New Roman"/>
          <w:sz w:val="24"/>
          <w:szCs w:val="24"/>
          <w:lang w:val="en-GB"/>
        </w:rPr>
      </w:pPr>
      <w:r w:rsidRPr="00EB0CE2">
        <w:rPr>
          <w:rFonts w:ascii="Times New Roman" w:hAnsi="Times New Roman" w:cs="Times New Roman"/>
          <w:sz w:val="24"/>
          <w:szCs w:val="24"/>
          <w:lang w:val="en-GB"/>
        </w:rPr>
        <w:t xml:space="preserve">The implementation of the CEFR/CV in the raters’ evaluation practice has consequently had </w:t>
      </w:r>
      <w:r w:rsidR="0025542A" w:rsidRPr="00EB0CE2">
        <w:rPr>
          <w:rFonts w:ascii="Times New Roman" w:hAnsi="Times New Roman" w:cs="Times New Roman"/>
          <w:sz w:val="24"/>
          <w:szCs w:val="24"/>
          <w:lang w:val="en-GB"/>
        </w:rPr>
        <w:t>an impact</w:t>
      </w:r>
      <w:r w:rsidR="00503A28" w:rsidRPr="00EB0CE2">
        <w:rPr>
          <w:rFonts w:ascii="Times New Roman" w:hAnsi="Times New Roman" w:cs="Times New Roman"/>
          <w:sz w:val="24"/>
          <w:szCs w:val="24"/>
          <w:lang w:val="en-GB"/>
        </w:rPr>
        <w:t xml:space="preserve"> on the University Language Centres where they work</w:t>
      </w:r>
      <w:r w:rsidRPr="00EB0CE2">
        <w:rPr>
          <w:rFonts w:ascii="Times New Roman" w:hAnsi="Times New Roman" w:cs="Times New Roman"/>
          <w:sz w:val="24"/>
          <w:szCs w:val="24"/>
          <w:lang w:val="en-GB"/>
        </w:rPr>
        <w:t>. This impact is perceived by raters in their evaluation, highlighting</w:t>
      </w:r>
      <w:r w:rsidR="003F0DB6" w:rsidRPr="00EB0CE2">
        <w:rPr>
          <w:rFonts w:ascii="Times New Roman" w:hAnsi="Times New Roman" w:cs="Times New Roman"/>
          <w:sz w:val="24"/>
          <w:szCs w:val="24"/>
          <w:lang w:val="en-GB"/>
        </w:rPr>
        <w:t xml:space="preserve"> </w:t>
      </w:r>
      <w:r w:rsidR="00413616" w:rsidRPr="00EB0CE2">
        <w:rPr>
          <w:rFonts w:ascii="Times New Roman" w:hAnsi="Times New Roman" w:cs="Times New Roman"/>
          <w:sz w:val="24"/>
          <w:szCs w:val="24"/>
          <w:lang w:val="en-GB"/>
        </w:rPr>
        <w:t xml:space="preserve">the </w:t>
      </w:r>
      <w:r w:rsidR="00C81E1B" w:rsidRPr="00EB0CE2">
        <w:rPr>
          <w:rFonts w:ascii="Times New Roman" w:hAnsi="Times New Roman" w:cs="Times New Roman"/>
          <w:sz w:val="24"/>
          <w:szCs w:val="24"/>
          <w:lang w:val="en-GB"/>
        </w:rPr>
        <w:t>improved quality of candidates’ evaluation</w:t>
      </w:r>
      <w:r w:rsidRPr="00EB0CE2">
        <w:rPr>
          <w:rFonts w:ascii="Times New Roman" w:hAnsi="Times New Roman" w:cs="Times New Roman"/>
          <w:sz w:val="24"/>
          <w:szCs w:val="24"/>
          <w:lang w:val="en-GB"/>
        </w:rPr>
        <w:t xml:space="preserve">, which is now more objective thanks to the transparency of the process, </w:t>
      </w:r>
      <w:r w:rsidR="00C81E1B" w:rsidRPr="00EB0CE2">
        <w:rPr>
          <w:rFonts w:ascii="Times New Roman" w:hAnsi="Times New Roman" w:cs="Times New Roman"/>
          <w:sz w:val="24"/>
          <w:szCs w:val="24"/>
          <w:lang w:val="en-GB"/>
        </w:rPr>
        <w:t xml:space="preserve">the use of rubrics, </w:t>
      </w:r>
      <w:r w:rsidR="00413616" w:rsidRPr="00EB0CE2">
        <w:rPr>
          <w:rFonts w:ascii="Times New Roman" w:hAnsi="Times New Roman" w:cs="Times New Roman"/>
          <w:sz w:val="24"/>
          <w:szCs w:val="24"/>
          <w:lang w:val="en-GB"/>
        </w:rPr>
        <w:t>the improved inter-rater agreement</w:t>
      </w:r>
      <w:r w:rsidR="00C81E1B" w:rsidRPr="00EB0CE2">
        <w:rPr>
          <w:rFonts w:ascii="Times New Roman" w:hAnsi="Times New Roman" w:cs="Times New Roman"/>
          <w:sz w:val="24"/>
          <w:szCs w:val="24"/>
          <w:lang w:val="en-GB"/>
        </w:rPr>
        <w:t>and</w:t>
      </w:r>
      <w:r w:rsidR="00413616" w:rsidRPr="00EB0CE2">
        <w:rPr>
          <w:rFonts w:ascii="Times New Roman" w:hAnsi="Times New Roman" w:cs="Times New Roman"/>
          <w:sz w:val="24"/>
          <w:szCs w:val="24"/>
          <w:lang w:val="en-GB"/>
        </w:rPr>
        <w:t xml:space="preserve"> the definition of levels</w:t>
      </w:r>
      <w:r w:rsidR="00C81E1B" w:rsidRPr="00EB0CE2">
        <w:rPr>
          <w:rFonts w:ascii="Times New Roman" w:hAnsi="Times New Roman" w:cs="Times New Roman"/>
          <w:sz w:val="24"/>
          <w:szCs w:val="24"/>
          <w:lang w:val="en-GB"/>
        </w:rPr>
        <w:t>.</w:t>
      </w:r>
      <w:r w:rsidR="00413616" w:rsidRPr="00EB0CE2">
        <w:rPr>
          <w:rFonts w:ascii="Times New Roman" w:hAnsi="Times New Roman" w:cs="Times New Roman"/>
          <w:sz w:val="24"/>
          <w:szCs w:val="24"/>
          <w:lang w:val="en-GB"/>
        </w:rPr>
        <w:t xml:space="preserve"> </w:t>
      </w:r>
      <w:r w:rsidRPr="00EB0CE2">
        <w:rPr>
          <w:rFonts w:ascii="Times New Roman" w:hAnsi="Times New Roman" w:cs="Times New Roman"/>
          <w:sz w:val="24"/>
          <w:szCs w:val="24"/>
          <w:lang w:val="en-GB"/>
        </w:rPr>
        <w:t xml:space="preserve">Furthermore, </w:t>
      </w:r>
      <w:r w:rsidR="00413616" w:rsidRPr="00EB0CE2">
        <w:rPr>
          <w:rFonts w:ascii="Times New Roman" w:hAnsi="Times New Roman" w:cs="Times New Roman"/>
          <w:sz w:val="24"/>
          <w:szCs w:val="24"/>
          <w:lang w:val="en-GB"/>
        </w:rPr>
        <w:t>the observance of the CEFR/CV has helped their University Language Centres to be CertAcles accredited centers</w:t>
      </w:r>
      <w:r w:rsidR="00894C87" w:rsidRPr="00EB0CE2">
        <w:rPr>
          <w:rFonts w:ascii="Times New Roman" w:hAnsi="Times New Roman" w:cs="Times New Roman"/>
          <w:sz w:val="24"/>
          <w:szCs w:val="24"/>
          <w:lang w:val="en-GB"/>
        </w:rPr>
        <w:t>, which entails the design, administration and evaluation of</w:t>
      </w:r>
      <w:r w:rsidR="00413616" w:rsidRPr="00EB0CE2">
        <w:rPr>
          <w:rFonts w:ascii="Times New Roman" w:hAnsi="Times New Roman" w:cs="Times New Roman"/>
          <w:sz w:val="24"/>
          <w:szCs w:val="24"/>
          <w:lang w:val="en-GB"/>
        </w:rPr>
        <w:t xml:space="preserve"> candidates of the CertAcles exam for different languages and levels.  </w:t>
      </w:r>
      <w:r w:rsidR="007B4093" w:rsidRPr="00EB0CE2">
        <w:rPr>
          <w:rFonts w:ascii="Times New Roman" w:hAnsi="Times New Roman" w:cs="Times New Roman"/>
          <w:sz w:val="24"/>
          <w:szCs w:val="24"/>
          <w:lang w:val="en-GB"/>
        </w:rPr>
        <w:t xml:space="preserve">These raters, who may also teach the foreign language they specialise at in the University Language Centres, also perceive that </w:t>
      </w:r>
      <w:r w:rsidR="00413616" w:rsidRPr="00EB0CE2">
        <w:rPr>
          <w:rFonts w:ascii="Times New Roman" w:hAnsi="Times New Roman" w:cs="Times New Roman"/>
          <w:sz w:val="24"/>
          <w:szCs w:val="24"/>
          <w:lang w:val="en-GB"/>
        </w:rPr>
        <w:t xml:space="preserve">the teaching </w:t>
      </w:r>
      <w:r w:rsidR="0025542A" w:rsidRPr="00EB0CE2">
        <w:rPr>
          <w:rFonts w:ascii="Times New Roman" w:hAnsi="Times New Roman" w:cs="Times New Roman"/>
          <w:sz w:val="24"/>
          <w:szCs w:val="24"/>
          <w:lang w:val="en-GB"/>
        </w:rPr>
        <w:t>in the</w:t>
      </w:r>
      <w:r w:rsidR="00413616" w:rsidRPr="00EB0CE2">
        <w:rPr>
          <w:rFonts w:ascii="Times New Roman" w:hAnsi="Times New Roman" w:cs="Times New Roman"/>
          <w:sz w:val="24"/>
          <w:szCs w:val="24"/>
          <w:lang w:val="en-GB"/>
        </w:rPr>
        <w:t xml:space="preserve"> </w:t>
      </w:r>
      <w:r w:rsidR="00C81E1B" w:rsidRPr="00EB0CE2">
        <w:rPr>
          <w:rFonts w:ascii="Times New Roman" w:hAnsi="Times New Roman" w:cs="Times New Roman"/>
          <w:sz w:val="24"/>
          <w:szCs w:val="24"/>
          <w:lang w:val="en-GB"/>
        </w:rPr>
        <w:t>different</w:t>
      </w:r>
      <w:r w:rsidR="00413616" w:rsidRPr="00EB0CE2">
        <w:rPr>
          <w:rFonts w:ascii="Times New Roman" w:hAnsi="Times New Roman" w:cs="Times New Roman"/>
          <w:sz w:val="24"/>
          <w:szCs w:val="24"/>
          <w:lang w:val="en-GB"/>
        </w:rPr>
        <w:t xml:space="preserve"> University Language Centers </w:t>
      </w:r>
      <w:r w:rsidR="00675146" w:rsidRPr="00EB0CE2">
        <w:rPr>
          <w:rFonts w:ascii="Times New Roman" w:hAnsi="Times New Roman" w:cs="Times New Roman"/>
          <w:sz w:val="24"/>
          <w:szCs w:val="24"/>
          <w:lang w:val="en-GB"/>
        </w:rPr>
        <w:t>has</w:t>
      </w:r>
      <w:r w:rsidR="00413616" w:rsidRPr="00EB0CE2">
        <w:rPr>
          <w:rFonts w:ascii="Times New Roman" w:hAnsi="Times New Roman" w:cs="Times New Roman"/>
          <w:sz w:val="24"/>
          <w:szCs w:val="24"/>
          <w:lang w:val="en-GB"/>
        </w:rPr>
        <w:t xml:space="preserve"> also been </w:t>
      </w:r>
      <w:r w:rsidR="00894C87" w:rsidRPr="00EB0CE2">
        <w:rPr>
          <w:rFonts w:ascii="Times New Roman" w:hAnsi="Times New Roman" w:cs="Times New Roman"/>
          <w:sz w:val="24"/>
          <w:szCs w:val="24"/>
          <w:lang w:val="en-GB"/>
        </w:rPr>
        <w:t xml:space="preserve">positively </w:t>
      </w:r>
      <w:r w:rsidR="00413616" w:rsidRPr="00EB0CE2">
        <w:rPr>
          <w:rFonts w:ascii="Times New Roman" w:hAnsi="Times New Roman" w:cs="Times New Roman"/>
          <w:sz w:val="24"/>
          <w:szCs w:val="24"/>
          <w:lang w:val="en-GB"/>
        </w:rPr>
        <w:t xml:space="preserve">affected, as seen in the evaluators’ claims that the CEFR/CV has </w:t>
      </w:r>
      <w:r w:rsidR="00675146" w:rsidRPr="00EB0CE2">
        <w:rPr>
          <w:rFonts w:ascii="Times New Roman" w:hAnsi="Times New Roman" w:cs="Times New Roman"/>
          <w:sz w:val="24"/>
          <w:szCs w:val="24"/>
          <w:lang w:val="en-GB"/>
        </w:rPr>
        <w:t>influenced</w:t>
      </w:r>
      <w:r w:rsidR="00413616" w:rsidRPr="00EB0CE2">
        <w:rPr>
          <w:rFonts w:ascii="Times New Roman" w:hAnsi="Times New Roman" w:cs="Times New Roman"/>
          <w:sz w:val="24"/>
          <w:szCs w:val="24"/>
          <w:lang w:val="en-GB"/>
        </w:rPr>
        <w:t xml:space="preserve"> curriculum design, course planning (set</w:t>
      </w:r>
      <w:r w:rsidR="00675146" w:rsidRPr="00EB0CE2">
        <w:rPr>
          <w:rFonts w:ascii="Times New Roman" w:hAnsi="Times New Roman" w:cs="Times New Roman"/>
          <w:sz w:val="24"/>
          <w:szCs w:val="24"/>
          <w:lang w:val="en-GB"/>
        </w:rPr>
        <w:t>ting</w:t>
      </w:r>
      <w:r w:rsidR="00413616" w:rsidRPr="00EB0CE2">
        <w:rPr>
          <w:rFonts w:ascii="Times New Roman" w:hAnsi="Times New Roman" w:cs="Times New Roman"/>
          <w:sz w:val="24"/>
          <w:szCs w:val="24"/>
          <w:lang w:val="en-GB"/>
        </w:rPr>
        <w:t xml:space="preserve"> of objectives), materials design and selection. </w:t>
      </w:r>
      <w:r w:rsidR="00EC4A1B" w:rsidRPr="00EB0CE2">
        <w:rPr>
          <w:rFonts w:ascii="Times New Roman" w:hAnsi="Times New Roman" w:cs="Times New Roman"/>
          <w:sz w:val="24"/>
          <w:szCs w:val="24"/>
          <w:lang w:val="en-GB"/>
        </w:rPr>
        <w:t>As can be seen, the data provided by the raters show that the tryad in the CEFR/CV, learning, teaching and assessment, has been positively affected by the implementation of the CEFR/CV in the language centres</w:t>
      </w:r>
      <w:r w:rsidR="00EC4A1B" w:rsidRPr="006D72F4">
        <w:rPr>
          <w:rFonts w:ascii="Times New Roman" w:hAnsi="Times New Roman" w:cs="Times New Roman"/>
          <w:sz w:val="24"/>
          <w:szCs w:val="24"/>
          <w:lang w:val="en-GB"/>
        </w:rPr>
        <w:t xml:space="preserve">. </w:t>
      </w:r>
    </w:p>
    <w:p w14:paraId="767B2A79" w14:textId="3403B4BC" w:rsidR="00F872FD" w:rsidRPr="006D72F4" w:rsidRDefault="00F872FD" w:rsidP="00EB0CE2">
      <w:pPr>
        <w:spacing w:after="0" w:line="240" w:lineRule="auto"/>
        <w:ind w:firstLine="708"/>
        <w:jc w:val="both"/>
        <w:rPr>
          <w:rFonts w:ascii="Times New Roman" w:hAnsi="Times New Roman" w:cs="Times New Roman"/>
          <w:sz w:val="24"/>
          <w:szCs w:val="24"/>
          <w:lang w:val="en-GB"/>
        </w:rPr>
      </w:pPr>
      <w:r w:rsidRPr="006D72F4">
        <w:rPr>
          <w:rFonts w:ascii="Times New Roman" w:hAnsi="Times New Roman" w:cs="Times New Roman"/>
          <w:sz w:val="24"/>
          <w:szCs w:val="24"/>
          <w:lang w:val="en-GB"/>
        </w:rPr>
        <w:t xml:space="preserve">To finish with, evaluators were also </w:t>
      </w:r>
      <w:r w:rsidR="00C166A6" w:rsidRPr="006D72F4">
        <w:rPr>
          <w:rFonts w:ascii="Times New Roman" w:hAnsi="Times New Roman" w:cs="Times New Roman"/>
          <w:sz w:val="24"/>
          <w:szCs w:val="24"/>
          <w:lang w:val="en-GB"/>
        </w:rPr>
        <w:t xml:space="preserve">given the opportunity to specify </w:t>
      </w:r>
      <w:r w:rsidRPr="006D72F4">
        <w:rPr>
          <w:rFonts w:ascii="Times New Roman" w:hAnsi="Times New Roman" w:cs="Times New Roman"/>
          <w:sz w:val="24"/>
          <w:szCs w:val="24"/>
          <w:lang w:val="en-GB"/>
        </w:rPr>
        <w:t xml:space="preserve">what they felt is </w:t>
      </w:r>
      <w:r w:rsidRPr="006D72F4">
        <w:rPr>
          <w:rFonts w:ascii="Times New Roman" w:hAnsi="Times New Roman" w:cs="Times New Roman"/>
          <w:sz w:val="24"/>
          <w:szCs w:val="24"/>
          <w:highlight w:val="yellow"/>
          <w:lang w:val="en-GB"/>
        </w:rPr>
        <w:t>missing</w:t>
      </w:r>
      <w:r w:rsidRPr="006D72F4">
        <w:rPr>
          <w:rFonts w:ascii="Times New Roman" w:hAnsi="Times New Roman" w:cs="Times New Roman"/>
          <w:sz w:val="24"/>
          <w:szCs w:val="24"/>
          <w:lang w:val="en-GB"/>
        </w:rPr>
        <w:t xml:space="preserve"> in the CEFR/CV. </w:t>
      </w:r>
      <w:r w:rsidR="003C0C11" w:rsidRPr="006D72F4">
        <w:rPr>
          <w:rFonts w:ascii="Times New Roman" w:hAnsi="Times New Roman" w:cs="Times New Roman"/>
          <w:sz w:val="24"/>
          <w:szCs w:val="24"/>
          <w:lang w:val="en-GB"/>
        </w:rPr>
        <w:t>Many of the evaluators point</w:t>
      </w:r>
      <w:r w:rsidR="00C166A6" w:rsidRPr="006D72F4">
        <w:rPr>
          <w:rFonts w:ascii="Times New Roman" w:hAnsi="Times New Roman" w:cs="Times New Roman"/>
          <w:sz w:val="24"/>
          <w:szCs w:val="24"/>
          <w:lang w:val="en-GB"/>
        </w:rPr>
        <w:t>ed</w:t>
      </w:r>
      <w:r w:rsidR="003C0C11" w:rsidRPr="006D72F4">
        <w:rPr>
          <w:rFonts w:ascii="Times New Roman" w:hAnsi="Times New Roman" w:cs="Times New Roman"/>
          <w:sz w:val="24"/>
          <w:szCs w:val="24"/>
          <w:lang w:val="en-GB"/>
        </w:rPr>
        <w:t xml:space="preserve"> to the need to </w:t>
      </w:r>
      <w:r w:rsidR="00423835" w:rsidRPr="006D72F4">
        <w:rPr>
          <w:rFonts w:ascii="Times New Roman" w:hAnsi="Times New Roman" w:cs="Times New Roman"/>
          <w:sz w:val="24"/>
          <w:szCs w:val="24"/>
          <w:lang w:val="en-GB"/>
        </w:rPr>
        <w:t xml:space="preserve">have </w:t>
      </w:r>
      <w:r w:rsidR="00E27B50" w:rsidRPr="006D72F4">
        <w:rPr>
          <w:rFonts w:ascii="Times New Roman" w:hAnsi="Times New Roman" w:cs="Times New Roman"/>
          <w:sz w:val="24"/>
          <w:szCs w:val="24"/>
          <w:lang w:val="en-GB"/>
        </w:rPr>
        <w:t xml:space="preserve">more user-friendly </w:t>
      </w:r>
      <w:r w:rsidR="008B1C10" w:rsidRPr="006D72F4">
        <w:rPr>
          <w:rFonts w:ascii="Times New Roman" w:hAnsi="Times New Roman" w:cs="Times New Roman"/>
          <w:sz w:val="24"/>
          <w:szCs w:val="24"/>
          <w:lang w:val="en-GB"/>
        </w:rPr>
        <w:t xml:space="preserve">and </w:t>
      </w:r>
      <w:r w:rsidR="00423835" w:rsidRPr="006D72F4">
        <w:rPr>
          <w:rFonts w:ascii="Times New Roman" w:hAnsi="Times New Roman" w:cs="Times New Roman"/>
          <w:sz w:val="24"/>
          <w:szCs w:val="24"/>
          <w:lang w:val="en-GB"/>
        </w:rPr>
        <w:t>clearer</w:t>
      </w:r>
      <w:r w:rsidR="00894C87" w:rsidRPr="006D72F4">
        <w:rPr>
          <w:rFonts w:ascii="Times New Roman" w:hAnsi="Times New Roman" w:cs="Times New Roman"/>
          <w:sz w:val="24"/>
          <w:szCs w:val="24"/>
          <w:lang w:val="en-GB"/>
        </w:rPr>
        <w:t xml:space="preserve"> descriptors</w:t>
      </w:r>
      <w:r w:rsidR="008B1C10" w:rsidRPr="006D72F4">
        <w:rPr>
          <w:rFonts w:ascii="Times New Roman" w:hAnsi="Times New Roman" w:cs="Times New Roman"/>
          <w:sz w:val="24"/>
          <w:szCs w:val="24"/>
          <w:lang w:val="en-GB"/>
        </w:rPr>
        <w:t xml:space="preserve"> as well </w:t>
      </w:r>
      <w:r w:rsidR="0025542A" w:rsidRPr="006D72F4">
        <w:rPr>
          <w:rFonts w:ascii="Times New Roman" w:hAnsi="Times New Roman" w:cs="Times New Roman"/>
          <w:sz w:val="24"/>
          <w:szCs w:val="24"/>
          <w:lang w:val="en-GB"/>
        </w:rPr>
        <w:t>as a</w:t>
      </w:r>
      <w:r w:rsidR="00423835" w:rsidRPr="006D72F4">
        <w:rPr>
          <w:rFonts w:ascii="Times New Roman" w:hAnsi="Times New Roman" w:cs="Times New Roman"/>
          <w:sz w:val="24"/>
          <w:szCs w:val="24"/>
          <w:lang w:val="en-GB"/>
        </w:rPr>
        <w:t xml:space="preserve"> summary of descriptors for C1 and C2 </w:t>
      </w:r>
      <w:r w:rsidR="00140517" w:rsidRPr="006D72F4">
        <w:rPr>
          <w:rFonts w:ascii="Times New Roman" w:hAnsi="Times New Roman" w:cs="Times New Roman"/>
          <w:sz w:val="24"/>
          <w:szCs w:val="24"/>
          <w:lang w:val="en-GB"/>
        </w:rPr>
        <w:t>levels</w:t>
      </w:r>
      <w:r w:rsidR="008B1C10" w:rsidRPr="006D72F4">
        <w:rPr>
          <w:rFonts w:ascii="Times New Roman" w:hAnsi="Times New Roman" w:cs="Times New Roman"/>
          <w:sz w:val="24"/>
          <w:szCs w:val="24"/>
          <w:lang w:val="en-GB"/>
        </w:rPr>
        <w:t xml:space="preserve">. </w:t>
      </w:r>
      <w:r w:rsidR="00140517" w:rsidRPr="006D72F4">
        <w:rPr>
          <w:rFonts w:ascii="Times New Roman" w:hAnsi="Times New Roman" w:cs="Times New Roman"/>
          <w:sz w:val="24"/>
          <w:szCs w:val="24"/>
          <w:lang w:val="en-GB"/>
        </w:rPr>
        <w:t xml:space="preserve"> </w:t>
      </w:r>
      <w:r w:rsidR="008B1C10" w:rsidRPr="006D72F4">
        <w:rPr>
          <w:rFonts w:ascii="Times New Roman" w:hAnsi="Times New Roman" w:cs="Times New Roman"/>
          <w:sz w:val="24"/>
          <w:szCs w:val="24"/>
          <w:lang w:val="en-GB"/>
        </w:rPr>
        <w:t xml:space="preserve">Apart from that, evaluators specify aspects which are not included in the CEFR/CV but are closely related to the evaluation of languages, such as the need to have more rubrics, specifications for </w:t>
      </w:r>
      <w:r w:rsidR="00B13626" w:rsidRPr="006D72F4">
        <w:rPr>
          <w:rFonts w:ascii="Times New Roman" w:hAnsi="Times New Roman" w:cs="Times New Roman"/>
          <w:sz w:val="24"/>
          <w:szCs w:val="24"/>
          <w:lang w:val="en-GB"/>
        </w:rPr>
        <w:t>the evaluation</w:t>
      </w:r>
      <w:r w:rsidR="008B1C10" w:rsidRPr="006D72F4">
        <w:rPr>
          <w:rFonts w:ascii="Times New Roman" w:hAnsi="Times New Roman" w:cs="Times New Roman"/>
          <w:sz w:val="24"/>
          <w:szCs w:val="24"/>
          <w:lang w:val="en-GB"/>
        </w:rPr>
        <w:t xml:space="preserve"> of</w:t>
      </w:r>
      <w:r w:rsidR="0025542A" w:rsidRPr="006D72F4">
        <w:rPr>
          <w:rFonts w:ascii="Times New Roman" w:hAnsi="Times New Roman" w:cs="Times New Roman"/>
          <w:sz w:val="24"/>
          <w:szCs w:val="24"/>
          <w:lang w:val="en-GB"/>
        </w:rPr>
        <w:t xml:space="preserve"> </w:t>
      </w:r>
      <w:r w:rsidR="008B1C10" w:rsidRPr="006D72F4">
        <w:rPr>
          <w:rFonts w:ascii="Times New Roman" w:hAnsi="Times New Roman" w:cs="Times New Roman"/>
          <w:sz w:val="24"/>
          <w:szCs w:val="24"/>
          <w:lang w:val="en-GB"/>
        </w:rPr>
        <w:t>mediation and resources to design good tests. As was the ase when they were asked what they needed to evaluate better the candidates, raters demand further t</w:t>
      </w:r>
      <w:r w:rsidR="00423835" w:rsidRPr="006D72F4">
        <w:rPr>
          <w:rFonts w:ascii="Times New Roman" w:hAnsi="Times New Roman" w:cs="Times New Roman"/>
          <w:sz w:val="24"/>
          <w:szCs w:val="24"/>
          <w:lang w:val="en-GB"/>
        </w:rPr>
        <w:t xml:space="preserve">raining </w:t>
      </w:r>
      <w:r w:rsidR="00E11679" w:rsidRPr="006D72F4">
        <w:rPr>
          <w:rFonts w:ascii="Times New Roman" w:hAnsi="Times New Roman" w:cs="Times New Roman"/>
          <w:sz w:val="24"/>
          <w:szCs w:val="24"/>
          <w:lang w:val="en-GB"/>
        </w:rPr>
        <w:t>to continue on improving their crucial task in the evaluation of languages in a high-stakes language accreditation test.</w:t>
      </w:r>
    </w:p>
    <w:p w14:paraId="6E19643B" w14:textId="77777777" w:rsidR="00F22023" w:rsidRPr="006D72F4" w:rsidRDefault="00F22023" w:rsidP="00EB0CE2">
      <w:pPr>
        <w:spacing w:after="0" w:line="240" w:lineRule="auto"/>
        <w:rPr>
          <w:rFonts w:ascii="Times New Roman" w:hAnsi="Times New Roman" w:cs="Times New Roman"/>
          <w:sz w:val="24"/>
          <w:szCs w:val="24"/>
          <w:lang w:val="en-GB"/>
        </w:rPr>
      </w:pPr>
    </w:p>
    <w:p w14:paraId="7C93E007" w14:textId="60ACF877" w:rsidR="00D7293F" w:rsidRPr="006D72F4" w:rsidRDefault="00D7293F" w:rsidP="00EB0CE2">
      <w:pPr>
        <w:spacing w:after="0" w:line="240" w:lineRule="auto"/>
        <w:jc w:val="center"/>
        <w:rPr>
          <w:rFonts w:ascii="Times New Roman" w:eastAsia="Times New Roman" w:hAnsi="Times New Roman" w:cs="Times New Roman"/>
          <w:b/>
          <w:sz w:val="24"/>
          <w:szCs w:val="24"/>
          <w:lang w:val="en-US"/>
        </w:rPr>
      </w:pPr>
      <w:r w:rsidRPr="006D72F4">
        <w:rPr>
          <w:rFonts w:ascii="Times New Roman" w:eastAsia="Times New Roman" w:hAnsi="Times New Roman" w:cs="Times New Roman"/>
          <w:b/>
          <w:sz w:val="24"/>
          <w:szCs w:val="24"/>
          <w:lang w:val="en-US"/>
        </w:rPr>
        <w:t>Conclusions</w:t>
      </w:r>
    </w:p>
    <w:p w14:paraId="536045EC" w14:textId="78F46F09" w:rsidR="00543F29" w:rsidRPr="006D72F4" w:rsidRDefault="0071315A" w:rsidP="00EB0CE2">
      <w:pPr>
        <w:spacing w:after="0" w:line="240" w:lineRule="auto"/>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Thanks to the distribution of the 44 raters who participated in this study into 14 different University Language Centres accredited with the CertAcles stamp, t</w:t>
      </w:r>
      <w:r w:rsidR="00543F29" w:rsidRPr="006D72F4">
        <w:rPr>
          <w:rFonts w:ascii="Times New Roman" w:eastAsia="Times New Roman" w:hAnsi="Times New Roman" w:cs="Times New Roman"/>
          <w:sz w:val="24"/>
          <w:szCs w:val="24"/>
          <w:lang w:val="en-US"/>
        </w:rPr>
        <w:t xml:space="preserve">his chapter has provided a bird-eye view of </w:t>
      </w:r>
      <w:r w:rsidRPr="006D72F4">
        <w:rPr>
          <w:rFonts w:ascii="Times New Roman" w:eastAsia="Times New Roman" w:hAnsi="Times New Roman" w:cs="Times New Roman"/>
          <w:sz w:val="24"/>
          <w:szCs w:val="24"/>
          <w:lang w:val="en-US"/>
        </w:rPr>
        <w:t xml:space="preserve">raters’ </w:t>
      </w:r>
      <w:r w:rsidR="00543F29" w:rsidRPr="006D72F4">
        <w:rPr>
          <w:rFonts w:ascii="Times New Roman" w:eastAsia="Times New Roman" w:hAnsi="Times New Roman" w:cs="Times New Roman"/>
          <w:sz w:val="24"/>
          <w:szCs w:val="24"/>
          <w:lang w:val="en-US"/>
        </w:rPr>
        <w:t>perceived knowledge</w:t>
      </w:r>
      <w:r w:rsidRPr="006D72F4">
        <w:rPr>
          <w:rFonts w:ascii="Times New Roman" w:eastAsia="Times New Roman" w:hAnsi="Times New Roman" w:cs="Times New Roman"/>
          <w:sz w:val="24"/>
          <w:szCs w:val="24"/>
          <w:lang w:val="en-US"/>
        </w:rPr>
        <w:t xml:space="preserve"> of the CEFR/CV</w:t>
      </w:r>
      <w:r w:rsidR="00543F29" w:rsidRPr="006D72F4">
        <w:rPr>
          <w:rFonts w:ascii="Times New Roman" w:eastAsia="Times New Roman" w:hAnsi="Times New Roman" w:cs="Times New Roman"/>
          <w:sz w:val="24"/>
          <w:szCs w:val="24"/>
          <w:lang w:val="en-US"/>
        </w:rPr>
        <w:t xml:space="preserve">, experience </w:t>
      </w:r>
      <w:r w:rsidRPr="006D72F4">
        <w:rPr>
          <w:rFonts w:ascii="Times New Roman" w:eastAsia="Times New Roman" w:hAnsi="Times New Roman" w:cs="Times New Roman"/>
          <w:sz w:val="24"/>
          <w:szCs w:val="24"/>
          <w:lang w:val="en-US"/>
        </w:rPr>
        <w:t>in their use to evaluate candidates as well as</w:t>
      </w:r>
      <w:r w:rsidR="00543F29" w:rsidRPr="006D72F4">
        <w:rPr>
          <w:rFonts w:ascii="Times New Roman" w:eastAsia="Times New Roman" w:hAnsi="Times New Roman" w:cs="Times New Roman"/>
          <w:sz w:val="24"/>
          <w:szCs w:val="24"/>
          <w:lang w:val="en-US"/>
        </w:rPr>
        <w:t xml:space="preserve"> </w:t>
      </w:r>
      <w:r w:rsidRPr="006D72F4">
        <w:rPr>
          <w:rFonts w:ascii="Times New Roman" w:eastAsia="Times New Roman" w:hAnsi="Times New Roman" w:cs="Times New Roman"/>
          <w:sz w:val="24"/>
          <w:szCs w:val="24"/>
          <w:lang w:val="en-US"/>
        </w:rPr>
        <w:t xml:space="preserve">their </w:t>
      </w:r>
      <w:r w:rsidR="00543F29" w:rsidRPr="006D72F4">
        <w:rPr>
          <w:rFonts w:ascii="Times New Roman" w:eastAsia="Times New Roman" w:hAnsi="Times New Roman" w:cs="Times New Roman"/>
          <w:sz w:val="24"/>
          <w:szCs w:val="24"/>
          <w:lang w:val="en-US"/>
        </w:rPr>
        <w:t>needs</w:t>
      </w:r>
      <w:r w:rsidRPr="006D72F4">
        <w:rPr>
          <w:rFonts w:ascii="Times New Roman" w:eastAsia="Times New Roman" w:hAnsi="Times New Roman" w:cs="Times New Roman"/>
          <w:sz w:val="24"/>
          <w:szCs w:val="24"/>
          <w:lang w:val="en-US"/>
        </w:rPr>
        <w:t xml:space="preserve"> regarding further training on the use of the CEFR/CV in the evaluation process.</w:t>
      </w:r>
    </w:p>
    <w:p w14:paraId="378F8B88" w14:textId="2D413394" w:rsidR="001A2CB1" w:rsidRPr="006D72F4" w:rsidRDefault="00D7293F" w:rsidP="00EB0CE2">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The main conclusion of this chapter is that raters who evaluate the CertAcles exam in University Language Centres and participated in this study </w:t>
      </w:r>
      <w:r w:rsidR="003B7031" w:rsidRPr="006D72F4">
        <w:rPr>
          <w:rFonts w:ascii="Times New Roman" w:eastAsia="Times New Roman" w:hAnsi="Times New Roman" w:cs="Times New Roman"/>
          <w:sz w:val="24"/>
          <w:szCs w:val="24"/>
          <w:lang w:val="en-US"/>
        </w:rPr>
        <w:t xml:space="preserve">are experienced raters who </w:t>
      </w:r>
      <w:r w:rsidR="00F34288" w:rsidRPr="006D72F4">
        <w:rPr>
          <w:rFonts w:ascii="Times New Roman" w:eastAsia="Times New Roman" w:hAnsi="Times New Roman" w:cs="Times New Roman"/>
          <w:sz w:val="24"/>
          <w:szCs w:val="24"/>
          <w:lang w:val="en-US"/>
        </w:rPr>
        <w:t>have received training on the CEFR/CV and</w:t>
      </w:r>
      <w:r w:rsidR="003B7031" w:rsidRPr="006D72F4">
        <w:rPr>
          <w:rFonts w:ascii="Times New Roman" w:eastAsia="Times New Roman" w:hAnsi="Times New Roman" w:cs="Times New Roman"/>
          <w:sz w:val="24"/>
          <w:szCs w:val="24"/>
          <w:lang w:val="en-US"/>
        </w:rPr>
        <w:t xml:space="preserve"> are</w:t>
      </w:r>
      <w:r w:rsidR="00F34288" w:rsidRPr="006D72F4">
        <w:rPr>
          <w:rFonts w:ascii="Times New Roman" w:eastAsia="Times New Roman" w:hAnsi="Times New Roman" w:cs="Times New Roman"/>
          <w:sz w:val="24"/>
          <w:szCs w:val="24"/>
          <w:lang w:val="en-US"/>
        </w:rPr>
        <w:t xml:space="preserve">, therefore, </w:t>
      </w:r>
      <w:r w:rsidRPr="006D72F4">
        <w:rPr>
          <w:rFonts w:ascii="Times New Roman" w:eastAsia="Times New Roman" w:hAnsi="Times New Roman" w:cs="Times New Roman"/>
          <w:sz w:val="24"/>
          <w:szCs w:val="24"/>
          <w:lang w:val="en-US"/>
        </w:rPr>
        <w:t xml:space="preserve">familiar with </w:t>
      </w:r>
      <w:r w:rsidR="00F34288" w:rsidRPr="006D72F4">
        <w:rPr>
          <w:rFonts w:ascii="Times New Roman" w:eastAsia="Times New Roman" w:hAnsi="Times New Roman" w:cs="Times New Roman"/>
          <w:sz w:val="24"/>
          <w:szCs w:val="24"/>
          <w:lang w:val="en-US"/>
        </w:rPr>
        <w:t>the documents and th</w:t>
      </w:r>
      <w:r w:rsidR="00EB6BD5" w:rsidRPr="006D72F4">
        <w:rPr>
          <w:rFonts w:ascii="Times New Roman" w:eastAsia="Times New Roman" w:hAnsi="Times New Roman" w:cs="Times New Roman"/>
          <w:sz w:val="24"/>
          <w:szCs w:val="24"/>
          <w:lang w:val="en-US"/>
        </w:rPr>
        <w:t xml:space="preserve">eir use in language evaluation. </w:t>
      </w:r>
      <w:r w:rsidR="00AA0FEC" w:rsidRPr="006D72F4">
        <w:rPr>
          <w:rFonts w:ascii="Times New Roman" w:eastAsia="Times New Roman" w:hAnsi="Times New Roman" w:cs="Times New Roman"/>
          <w:sz w:val="24"/>
          <w:szCs w:val="24"/>
          <w:lang w:val="en-US"/>
        </w:rPr>
        <w:t>Due to the recent nature of the CV, raters recognize they are not as familiar with this document as with the CEFR</w:t>
      </w:r>
      <w:r w:rsidR="0071315A" w:rsidRPr="006D72F4">
        <w:rPr>
          <w:rFonts w:ascii="Times New Roman" w:eastAsia="Times New Roman" w:hAnsi="Times New Roman" w:cs="Times New Roman"/>
          <w:sz w:val="24"/>
          <w:szCs w:val="24"/>
          <w:lang w:val="en-US"/>
        </w:rPr>
        <w:t xml:space="preserve">, which leads them to demand training in the novelties in the CV </w:t>
      </w:r>
      <w:r w:rsidR="00846F85" w:rsidRPr="006D72F4">
        <w:rPr>
          <w:rFonts w:ascii="Times New Roman" w:eastAsia="Times New Roman" w:hAnsi="Times New Roman" w:cs="Times New Roman"/>
          <w:sz w:val="24"/>
          <w:szCs w:val="24"/>
          <w:lang w:val="en-US"/>
        </w:rPr>
        <w:t xml:space="preserve">and their application to the </w:t>
      </w:r>
      <w:r w:rsidR="0071315A" w:rsidRPr="006D72F4">
        <w:rPr>
          <w:rFonts w:ascii="Times New Roman" w:eastAsia="Times New Roman" w:hAnsi="Times New Roman" w:cs="Times New Roman"/>
          <w:sz w:val="24"/>
          <w:szCs w:val="24"/>
          <w:lang w:val="en-US"/>
        </w:rPr>
        <w:t>evaluation of languages</w:t>
      </w:r>
      <w:r w:rsidR="00557C28" w:rsidRPr="006D72F4">
        <w:rPr>
          <w:rFonts w:ascii="Times New Roman" w:eastAsia="Times New Roman" w:hAnsi="Times New Roman" w:cs="Times New Roman"/>
          <w:sz w:val="24"/>
          <w:szCs w:val="24"/>
          <w:lang w:val="en-US"/>
        </w:rPr>
        <w:t>, in line with other studies</w:t>
      </w:r>
      <w:r w:rsidR="0071315A" w:rsidRPr="006D72F4">
        <w:rPr>
          <w:rFonts w:ascii="Times New Roman" w:eastAsia="Times New Roman" w:hAnsi="Times New Roman" w:cs="Times New Roman"/>
          <w:sz w:val="24"/>
          <w:szCs w:val="24"/>
          <w:lang w:val="en-US"/>
        </w:rPr>
        <w:t xml:space="preserve"> </w:t>
      </w:r>
      <w:r w:rsidR="00557C28" w:rsidRPr="006D72F4">
        <w:rPr>
          <w:rFonts w:ascii="Times New Roman" w:hAnsi="Times New Roman" w:cs="Times New Roman"/>
          <w:sz w:val="24"/>
          <w:szCs w:val="24"/>
          <w:lang w:val="en-GB"/>
        </w:rPr>
        <w:t>(Díez-Bedmar &amp; Byram, 2019; Díez-Bedmar &amp; Luque-Agulló, 2022; Fernández-Álvarez &amp; García-Hernández, 2022).</w:t>
      </w:r>
    </w:p>
    <w:p w14:paraId="340D33E5" w14:textId="5BE91C5C" w:rsidR="008831CD" w:rsidRPr="006D72F4" w:rsidRDefault="00846F85" w:rsidP="00EB0CE2">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Although knowledgeable of the descriptors in the CEFR/CV, raters show varying degrees of knowledge of the descriptors, which are reported to be quite frequently used to evaluate candidates. Their degree of knowledge of the competences also differs, with the pragmatic and the plurilingual and pluricultural competences being the ones raters are less familiar with. </w:t>
      </w:r>
      <w:r w:rsidR="007370AB" w:rsidRPr="006D72F4">
        <w:rPr>
          <w:rFonts w:ascii="Times New Roman" w:eastAsia="Times New Roman" w:hAnsi="Times New Roman" w:cs="Times New Roman"/>
          <w:sz w:val="24"/>
          <w:szCs w:val="24"/>
          <w:lang w:val="en-US"/>
        </w:rPr>
        <w:t>The descriptors of these competences are also identified as the least frequently used to evaluate candidates.</w:t>
      </w:r>
      <w:r w:rsidR="001176F3" w:rsidRPr="006D72F4">
        <w:rPr>
          <w:rFonts w:ascii="Times New Roman" w:eastAsia="Times New Roman" w:hAnsi="Times New Roman" w:cs="Times New Roman"/>
          <w:sz w:val="24"/>
          <w:szCs w:val="24"/>
          <w:lang w:val="en-US"/>
        </w:rPr>
        <w:t xml:space="preserve"> </w:t>
      </w:r>
    </w:p>
    <w:p w14:paraId="10D8498D" w14:textId="6F45357B" w:rsidR="00673624" w:rsidRPr="006D72F4" w:rsidRDefault="00137CA9" w:rsidP="00EB0CE2">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Raters seem to </w:t>
      </w:r>
      <w:r w:rsidR="00673624" w:rsidRPr="006D72F4">
        <w:rPr>
          <w:rFonts w:ascii="Times New Roman" w:eastAsia="Times New Roman" w:hAnsi="Times New Roman" w:cs="Times New Roman"/>
          <w:sz w:val="24"/>
          <w:szCs w:val="24"/>
          <w:lang w:val="en-US"/>
        </w:rPr>
        <w:t xml:space="preserve">have difficulties with the </w:t>
      </w:r>
      <w:r w:rsidR="007370AB" w:rsidRPr="006D72F4">
        <w:rPr>
          <w:rFonts w:ascii="Times New Roman" w:eastAsia="Times New Roman" w:hAnsi="Times New Roman" w:cs="Times New Roman"/>
          <w:sz w:val="24"/>
          <w:szCs w:val="24"/>
          <w:lang w:val="en-US"/>
        </w:rPr>
        <w:t>action-oriented approach and</w:t>
      </w:r>
      <w:r w:rsidR="00673624" w:rsidRPr="006D72F4">
        <w:rPr>
          <w:rFonts w:ascii="Times New Roman" w:eastAsia="Times New Roman" w:hAnsi="Times New Roman" w:cs="Times New Roman"/>
          <w:sz w:val="24"/>
          <w:szCs w:val="24"/>
          <w:lang w:val="en-US"/>
        </w:rPr>
        <w:t xml:space="preserve"> mediation </w:t>
      </w:r>
      <w:r w:rsidRPr="006D72F4">
        <w:rPr>
          <w:rFonts w:ascii="Times New Roman" w:eastAsia="Times New Roman" w:hAnsi="Times New Roman" w:cs="Times New Roman"/>
          <w:sz w:val="24"/>
          <w:szCs w:val="24"/>
          <w:lang w:val="en-US"/>
        </w:rPr>
        <w:t xml:space="preserve">concepts </w:t>
      </w:r>
      <w:r w:rsidR="00673624" w:rsidRPr="006D72F4">
        <w:rPr>
          <w:rFonts w:ascii="Times New Roman" w:eastAsia="Times New Roman" w:hAnsi="Times New Roman" w:cs="Times New Roman"/>
          <w:sz w:val="24"/>
          <w:szCs w:val="24"/>
          <w:lang w:val="en-US"/>
        </w:rPr>
        <w:t>as well as with their evaluation</w:t>
      </w:r>
      <w:r w:rsidR="00557C28" w:rsidRPr="006D72F4">
        <w:rPr>
          <w:rFonts w:ascii="Times New Roman" w:eastAsia="Times New Roman" w:hAnsi="Times New Roman" w:cs="Times New Roman"/>
          <w:sz w:val="24"/>
          <w:szCs w:val="24"/>
          <w:lang w:val="en-US"/>
        </w:rPr>
        <w:t>, as reported in other studies (de Jong, 2022)</w:t>
      </w:r>
      <w:r w:rsidR="00673624" w:rsidRPr="006D72F4">
        <w:rPr>
          <w:rFonts w:ascii="Times New Roman" w:eastAsia="Times New Roman" w:hAnsi="Times New Roman" w:cs="Times New Roman"/>
          <w:sz w:val="24"/>
          <w:szCs w:val="24"/>
          <w:lang w:val="en-US"/>
        </w:rPr>
        <w:t>. The results show that this is specially the case with the action-oriented approach, despite the fact that most raters are also language teachers in the University Language Centres where, following the CEFR/CV, this approach may have been progressivel</w:t>
      </w:r>
      <w:r w:rsidR="003B733E" w:rsidRPr="006D72F4">
        <w:rPr>
          <w:rFonts w:ascii="Times New Roman" w:eastAsia="Times New Roman" w:hAnsi="Times New Roman" w:cs="Times New Roman"/>
          <w:sz w:val="24"/>
          <w:szCs w:val="24"/>
          <w:lang w:val="en-US"/>
        </w:rPr>
        <w:t>y introduced in their teaching</w:t>
      </w:r>
      <w:r w:rsidR="00221D4E" w:rsidRPr="006D72F4">
        <w:rPr>
          <w:rFonts w:ascii="Times New Roman" w:eastAsia="Times New Roman" w:hAnsi="Times New Roman" w:cs="Times New Roman"/>
          <w:sz w:val="24"/>
          <w:szCs w:val="24"/>
          <w:lang w:val="en-US"/>
        </w:rPr>
        <w:t>.</w:t>
      </w:r>
    </w:p>
    <w:p w14:paraId="4534FCB3" w14:textId="3FB83221" w:rsidR="001864DD" w:rsidRPr="006D72F4" w:rsidRDefault="00221D4E" w:rsidP="00EB0CE2">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The training that raters and test designers receive in University Language Centres permeates the teaching and learning of languages in such centres, since </w:t>
      </w:r>
      <w:r w:rsidR="001E4932" w:rsidRPr="006D72F4">
        <w:rPr>
          <w:rFonts w:ascii="Times New Roman" w:eastAsia="Times New Roman" w:hAnsi="Times New Roman" w:cs="Times New Roman"/>
          <w:sz w:val="24"/>
          <w:szCs w:val="24"/>
          <w:lang w:val="en-US"/>
        </w:rPr>
        <w:t>raters and test designers</w:t>
      </w:r>
      <w:r w:rsidRPr="006D72F4">
        <w:rPr>
          <w:rFonts w:ascii="Times New Roman" w:eastAsia="Times New Roman" w:hAnsi="Times New Roman" w:cs="Times New Roman"/>
          <w:sz w:val="24"/>
          <w:szCs w:val="24"/>
          <w:lang w:val="en-US"/>
        </w:rPr>
        <w:t xml:space="preserve"> may also be language teachers in the Univeristy Language Centres. As a result, the transparency advocated in the CEFR/CV is a fact, as can be seen in the use of descriptors and the different competences to design rubrics but also, as stated by the raters</w:t>
      </w:r>
      <w:r w:rsidR="001E4932" w:rsidRPr="006D72F4">
        <w:rPr>
          <w:rFonts w:ascii="Times New Roman" w:eastAsia="Times New Roman" w:hAnsi="Times New Roman" w:cs="Times New Roman"/>
          <w:sz w:val="24"/>
          <w:szCs w:val="24"/>
          <w:lang w:val="en-US"/>
        </w:rPr>
        <w:t xml:space="preserve">, </w:t>
      </w:r>
      <w:r w:rsidR="001864DD" w:rsidRPr="006D72F4">
        <w:rPr>
          <w:rFonts w:ascii="Times New Roman" w:eastAsia="Times New Roman" w:hAnsi="Times New Roman" w:cs="Times New Roman"/>
          <w:sz w:val="24"/>
          <w:szCs w:val="24"/>
          <w:lang w:val="en-US"/>
        </w:rPr>
        <w:t>to design curricula, set objectives in the</w:t>
      </w:r>
      <w:r w:rsidRPr="006D72F4">
        <w:rPr>
          <w:rFonts w:ascii="Times New Roman" w:eastAsia="Times New Roman" w:hAnsi="Times New Roman" w:cs="Times New Roman"/>
          <w:sz w:val="24"/>
          <w:szCs w:val="24"/>
          <w:lang w:val="en-US"/>
        </w:rPr>
        <w:t xml:space="preserve"> language</w:t>
      </w:r>
      <w:r w:rsidR="001864DD" w:rsidRPr="006D72F4">
        <w:rPr>
          <w:rFonts w:ascii="Times New Roman" w:eastAsia="Times New Roman" w:hAnsi="Times New Roman" w:cs="Times New Roman"/>
          <w:sz w:val="24"/>
          <w:szCs w:val="24"/>
          <w:lang w:val="en-US"/>
        </w:rPr>
        <w:t xml:space="preserve"> courses, design and select mater</w:t>
      </w:r>
      <w:r w:rsidR="001E4932" w:rsidRPr="006D72F4">
        <w:rPr>
          <w:rFonts w:ascii="Times New Roman" w:eastAsia="Times New Roman" w:hAnsi="Times New Roman" w:cs="Times New Roman"/>
          <w:sz w:val="24"/>
          <w:szCs w:val="24"/>
          <w:lang w:val="en-US"/>
        </w:rPr>
        <w:t>ials in the University Language Centres.</w:t>
      </w:r>
      <w:r w:rsidR="00557C28" w:rsidRPr="006D72F4">
        <w:rPr>
          <w:rFonts w:ascii="Times New Roman" w:eastAsia="Times New Roman" w:hAnsi="Times New Roman" w:cs="Times New Roman"/>
          <w:sz w:val="24"/>
          <w:szCs w:val="24"/>
          <w:lang w:val="en-US"/>
        </w:rPr>
        <w:t xml:space="preserve"> </w:t>
      </w:r>
    </w:p>
    <w:p w14:paraId="50B66428" w14:textId="535DDF43" w:rsidR="00543F29" w:rsidRPr="006D72F4" w:rsidRDefault="001E4932" w:rsidP="00EB0CE2">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Raters’ professional commitment to their crucial task in the evaluation of high-stakes language examinations makes them demand further training on the CEFR/CV to improve their evaluation practice</w:t>
      </w:r>
      <w:r w:rsidR="00557C28" w:rsidRPr="006D72F4">
        <w:rPr>
          <w:rFonts w:ascii="Times New Roman" w:eastAsia="Times New Roman" w:hAnsi="Times New Roman" w:cs="Times New Roman"/>
          <w:sz w:val="24"/>
          <w:szCs w:val="24"/>
          <w:lang w:val="en-US"/>
        </w:rPr>
        <w:t xml:space="preserve">, even though a number of reading publications related to evaluation are currently available (see </w:t>
      </w:r>
      <w:r w:rsidR="00557C28" w:rsidRPr="006D72F4">
        <w:rPr>
          <w:rFonts w:ascii="Times New Roman" w:eastAsia="Times New Roman" w:hAnsi="Times New Roman" w:cs="Times New Roman"/>
          <w:color w:val="231F20"/>
          <w:sz w:val="24"/>
          <w:szCs w:val="24"/>
          <w:lang w:val="en-US"/>
        </w:rPr>
        <w:t xml:space="preserve">British Council, UKALTA, EALTA &amp; ALTE, 2022; </w:t>
      </w:r>
      <w:r w:rsidR="00557C28" w:rsidRPr="006D72F4">
        <w:rPr>
          <w:rFonts w:ascii="Times New Roman" w:hAnsi="Times New Roman" w:cs="Times New Roman"/>
          <w:sz w:val="24"/>
          <w:szCs w:val="24"/>
          <w:lang w:val="en-GB"/>
        </w:rPr>
        <w:t>Council of Europe, 2011; Little, 2018; Nagai et al., 2020).</w:t>
      </w:r>
      <w:r w:rsidR="00557C28" w:rsidRPr="006D72F4">
        <w:rPr>
          <w:rFonts w:ascii="Times New Roman" w:eastAsia="Times New Roman" w:hAnsi="Times New Roman" w:cs="Times New Roman"/>
          <w:sz w:val="24"/>
          <w:szCs w:val="24"/>
          <w:lang w:val="en-US"/>
        </w:rPr>
        <w:t xml:space="preserve"> </w:t>
      </w:r>
      <w:r w:rsidR="00AB0AF5" w:rsidRPr="006D72F4">
        <w:rPr>
          <w:rFonts w:ascii="Times New Roman" w:eastAsia="Times New Roman" w:hAnsi="Times New Roman" w:cs="Times New Roman"/>
          <w:sz w:val="24"/>
          <w:szCs w:val="24"/>
          <w:lang w:val="en-US"/>
        </w:rPr>
        <w:t xml:space="preserve">Their answers have now allowed the identification of the main aspects which should be included in their training, namely the focus on communicative language competences they feel less confident with (i.e., the pragmatic and the plurilingual and pluricultural ones), </w:t>
      </w:r>
      <w:r w:rsidR="001176F3" w:rsidRPr="006D72F4">
        <w:rPr>
          <w:rFonts w:ascii="Times New Roman" w:eastAsia="Times New Roman" w:hAnsi="Times New Roman" w:cs="Times New Roman"/>
          <w:sz w:val="24"/>
          <w:szCs w:val="24"/>
          <w:lang w:val="en-US"/>
        </w:rPr>
        <w:t xml:space="preserve">further information on the new descriptors in the CV, </w:t>
      </w:r>
      <w:r w:rsidR="00AB0AF5" w:rsidRPr="006D72F4">
        <w:rPr>
          <w:rFonts w:ascii="Times New Roman" w:eastAsia="Times New Roman" w:hAnsi="Times New Roman" w:cs="Times New Roman"/>
          <w:sz w:val="24"/>
          <w:szCs w:val="24"/>
          <w:lang w:val="en-US"/>
        </w:rPr>
        <w:t>the use of descriptors to design rubrics, the concepts of mediation and the action-oriented approach and their inclusion in rubrics. Hands-on evaluation practice with experienced raters is repeatedly mentioned as crucial in training programmes.</w:t>
      </w:r>
      <w:r w:rsidR="00693EE8" w:rsidRPr="006D72F4">
        <w:rPr>
          <w:rFonts w:ascii="Times New Roman" w:eastAsia="Times New Roman" w:hAnsi="Times New Roman" w:cs="Times New Roman"/>
          <w:sz w:val="24"/>
          <w:szCs w:val="24"/>
          <w:lang w:val="en-US"/>
        </w:rPr>
        <w:t xml:space="preserve"> </w:t>
      </w:r>
    </w:p>
    <w:p w14:paraId="6BA8A7DF" w14:textId="32D06026" w:rsidR="00693EE8" w:rsidRPr="006D72F4" w:rsidRDefault="00693EE8" w:rsidP="00EB0CE2">
      <w:pPr>
        <w:spacing w:after="0" w:line="240" w:lineRule="auto"/>
        <w:ind w:firstLine="708"/>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 xml:space="preserve">The raters’ responses </w:t>
      </w:r>
      <w:r w:rsidR="00B16CAF" w:rsidRPr="006D72F4">
        <w:rPr>
          <w:rFonts w:ascii="Times New Roman" w:eastAsia="Times New Roman" w:hAnsi="Times New Roman" w:cs="Times New Roman"/>
          <w:sz w:val="24"/>
          <w:szCs w:val="24"/>
          <w:lang w:val="en-US"/>
        </w:rPr>
        <w:t xml:space="preserve">to different questions in this study </w:t>
      </w:r>
      <w:r w:rsidRPr="006D72F4">
        <w:rPr>
          <w:rFonts w:ascii="Times New Roman" w:eastAsia="Times New Roman" w:hAnsi="Times New Roman" w:cs="Times New Roman"/>
          <w:sz w:val="24"/>
          <w:szCs w:val="24"/>
          <w:lang w:val="en-US"/>
        </w:rPr>
        <w:t xml:space="preserve">also </w:t>
      </w:r>
      <w:r w:rsidR="00B16CAF" w:rsidRPr="006D72F4">
        <w:rPr>
          <w:rFonts w:ascii="Times New Roman" w:eastAsia="Times New Roman" w:hAnsi="Times New Roman" w:cs="Times New Roman"/>
          <w:sz w:val="24"/>
          <w:szCs w:val="24"/>
          <w:lang w:val="en-US"/>
        </w:rPr>
        <w:t xml:space="preserve">reveal their need to have </w:t>
      </w:r>
      <w:r w:rsidRPr="006D72F4">
        <w:rPr>
          <w:rFonts w:ascii="Times New Roman" w:eastAsia="Times New Roman" w:hAnsi="Times New Roman" w:cs="Times New Roman"/>
          <w:sz w:val="24"/>
          <w:szCs w:val="24"/>
          <w:lang w:val="en-US"/>
        </w:rPr>
        <w:t xml:space="preserve">rubrics </w:t>
      </w:r>
      <w:r w:rsidR="00B16CAF" w:rsidRPr="006D72F4">
        <w:rPr>
          <w:rFonts w:ascii="Times New Roman" w:eastAsia="Times New Roman" w:hAnsi="Times New Roman" w:cs="Times New Roman"/>
          <w:sz w:val="24"/>
          <w:szCs w:val="24"/>
          <w:lang w:val="en-US"/>
        </w:rPr>
        <w:t>for the</w:t>
      </w:r>
      <w:r w:rsidRPr="006D72F4">
        <w:rPr>
          <w:rFonts w:ascii="Times New Roman" w:eastAsia="Times New Roman" w:hAnsi="Times New Roman" w:cs="Times New Roman"/>
          <w:sz w:val="24"/>
          <w:szCs w:val="24"/>
          <w:lang w:val="en-US"/>
        </w:rPr>
        <w:t xml:space="preserve"> different text types </w:t>
      </w:r>
      <w:r w:rsidR="00B16CAF" w:rsidRPr="006D72F4">
        <w:rPr>
          <w:rFonts w:ascii="Times New Roman" w:eastAsia="Times New Roman" w:hAnsi="Times New Roman" w:cs="Times New Roman"/>
          <w:sz w:val="24"/>
          <w:szCs w:val="24"/>
          <w:lang w:val="en-US"/>
        </w:rPr>
        <w:t xml:space="preserve">as well as </w:t>
      </w:r>
      <w:r w:rsidRPr="006D72F4">
        <w:rPr>
          <w:rFonts w:ascii="Times New Roman" w:eastAsia="Times New Roman" w:hAnsi="Times New Roman" w:cs="Times New Roman"/>
          <w:sz w:val="24"/>
          <w:szCs w:val="24"/>
          <w:lang w:val="en-US"/>
        </w:rPr>
        <w:t xml:space="preserve">and offer CEFR/CV users descriptors which may include more specific information on what the </w:t>
      </w:r>
      <w:r w:rsidR="00B16CAF" w:rsidRPr="006D72F4">
        <w:rPr>
          <w:rFonts w:ascii="Times New Roman" w:eastAsia="Times New Roman" w:hAnsi="Times New Roman" w:cs="Times New Roman"/>
          <w:sz w:val="24"/>
          <w:szCs w:val="24"/>
          <w:lang w:val="en-US"/>
        </w:rPr>
        <w:t xml:space="preserve">language user can do with the language at the different CEFR/CV levels. </w:t>
      </w:r>
    </w:p>
    <w:p w14:paraId="20E2D495" w14:textId="1E6226BB" w:rsidR="00D7293F" w:rsidRPr="006D72F4" w:rsidRDefault="00D7293F" w:rsidP="00EB0CE2">
      <w:pPr>
        <w:spacing w:after="0" w:line="240" w:lineRule="auto"/>
        <w:ind w:firstLine="720"/>
        <w:jc w:val="both"/>
        <w:rPr>
          <w:rFonts w:ascii="Times New Roman" w:eastAsia="Times New Roman" w:hAnsi="Times New Roman" w:cs="Times New Roman"/>
          <w:sz w:val="24"/>
          <w:szCs w:val="24"/>
          <w:lang w:val="en-US"/>
        </w:rPr>
      </w:pPr>
      <w:r w:rsidRPr="006D72F4">
        <w:rPr>
          <w:rFonts w:ascii="Times New Roman" w:eastAsia="Times New Roman" w:hAnsi="Times New Roman" w:cs="Times New Roman"/>
          <w:sz w:val="24"/>
          <w:szCs w:val="24"/>
          <w:lang w:val="en-US"/>
        </w:rPr>
        <w:t>The number of raters who participated in this survey is limited, which prevents the generalization of the results obtained. Furthermore, it may be the case that only motivated raters who considered themselves familiar with the CEFR/CV decided to participate. A larger study with more raters, including more participants who evaluate languages other than English is necessary</w:t>
      </w:r>
      <w:r w:rsidR="00AB0AF5" w:rsidRPr="006D72F4">
        <w:rPr>
          <w:rFonts w:ascii="Times New Roman" w:eastAsia="Times New Roman" w:hAnsi="Times New Roman" w:cs="Times New Roman"/>
          <w:sz w:val="24"/>
          <w:szCs w:val="24"/>
          <w:lang w:val="en-US"/>
        </w:rPr>
        <w:t xml:space="preserve"> to validate the results obtained in this study. Further studies which analyse the students’ and teachers’ perceptions of the use of the CEFR/CV in their University Language Centres may also be helpful to triangulate results and describe the real implementation of such crucial documents in the learning, teaching and assessment of languages. </w:t>
      </w:r>
      <w:r w:rsidRPr="006D72F4">
        <w:rPr>
          <w:rFonts w:ascii="Times New Roman" w:eastAsia="Times New Roman" w:hAnsi="Times New Roman" w:cs="Times New Roman"/>
          <w:sz w:val="24"/>
          <w:szCs w:val="24"/>
          <w:lang w:val="en-US"/>
        </w:rPr>
        <w:t xml:space="preserve"> </w:t>
      </w:r>
    </w:p>
    <w:p w14:paraId="39021DD0" w14:textId="77777777" w:rsidR="00D7293F" w:rsidRPr="00894C24" w:rsidRDefault="00D7293F" w:rsidP="00D7293F">
      <w:pPr>
        <w:spacing w:line="240" w:lineRule="auto"/>
        <w:jc w:val="both"/>
        <w:rPr>
          <w:rFonts w:asciiTheme="majorHAnsi" w:eastAsia="Times New Roman" w:hAnsiTheme="majorHAnsi" w:cstheme="majorHAnsi"/>
          <w:color w:val="222222"/>
          <w:highlight w:val="white"/>
          <w:lang w:val="en-US"/>
        </w:rPr>
      </w:pPr>
    </w:p>
    <w:p w14:paraId="213E8B8E" w14:textId="77777777" w:rsidR="00D7293F" w:rsidRPr="00CD7490" w:rsidRDefault="00D7293F" w:rsidP="00CD7490">
      <w:pPr>
        <w:spacing w:line="240" w:lineRule="auto"/>
        <w:ind w:hanging="709"/>
        <w:jc w:val="center"/>
        <w:rPr>
          <w:rFonts w:ascii="Times New Roman" w:eastAsia="Times New Roman" w:hAnsi="Times New Roman" w:cs="Times New Roman"/>
          <w:sz w:val="24"/>
          <w:szCs w:val="24"/>
          <w:lang w:val="en-US"/>
        </w:rPr>
      </w:pPr>
      <w:r w:rsidRPr="00CD7490">
        <w:rPr>
          <w:rFonts w:ascii="Times New Roman" w:eastAsia="Times New Roman" w:hAnsi="Times New Roman" w:cs="Times New Roman"/>
          <w:b/>
          <w:color w:val="222222"/>
          <w:sz w:val="24"/>
          <w:szCs w:val="24"/>
          <w:highlight w:val="white"/>
          <w:lang w:val="en-US"/>
        </w:rPr>
        <w:t>References</w:t>
      </w:r>
    </w:p>
    <w:p w14:paraId="0279AEE7" w14:textId="1B9CE81C" w:rsidR="00D7293F" w:rsidRPr="00CD7490" w:rsidRDefault="00D7293F" w:rsidP="00CD7490">
      <w:pPr>
        <w:spacing w:line="240" w:lineRule="auto"/>
        <w:ind w:left="720" w:hanging="709"/>
        <w:jc w:val="both"/>
        <w:rPr>
          <w:rFonts w:ascii="Times New Roman" w:eastAsia="Times New Roman" w:hAnsi="Times New Roman" w:cs="Times New Roman"/>
          <w:color w:val="232323"/>
          <w:sz w:val="24"/>
          <w:szCs w:val="24"/>
          <w:highlight w:val="white"/>
          <w:lang w:val="en-US"/>
        </w:rPr>
      </w:pPr>
      <w:r w:rsidRPr="00CD7490">
        <w:rPr>
          <w:rFonts w:ascii="Times New Roman" w:eastAsia="Times New Roman" w:hAnsi="Times New Roman" w:cs="Times New Roman"/>
          <w:color w:val="232323"/>
          <w:sz w:val="24"/>
          <w:szCs w:val="24"/>
          <w:highlight w:val="white"/>
          <w:lang w:val="en-US"/>
        </w:rPr>
        <w:t xml:space="preserve">Abidin, N. &amp; Hashim, H. (2021) Common European Framework of Reference (CEFR): A Review on Teachers’ Perception &amp; Plurilingualism. </w:t>
      </w:r>
      <w:r w:rsidRPr="00CD7490">
        <w:rPr>
          <w:rFonts w:ascii="Times New Roman" w:eastAsia="Times New Roman" w:hAnsi="Times New Roman" w:cs="Times New Roman"/>
          <w:i/>
          <w:color w:val="232323"/>
          <w:sz w:val="24"/>
          <w:szCs w:val="24"/>
          <w:highlight w:val="white"/>
          <w:lang w:val="en-US"/>
        </w:rPr>
        <w:t>Creative Education</w:t>
      </w:r>
      <w:r w:rsidRPr="00CD7490">
        <w:rPr>
          <w:rFonts w:ascii="Times New Roman" w:eastAsia="Times New Roman" w:hAnsi="Times New Roman" w:cs="Times New Roman"/>
          <w:color w:val="232323"/>
          <w:sz w:val="24"/>
          <w:szCs w:val="24"/>
          <w:highlight w:val="white"/>
          <w:lang w:val="en-US"/>
        </w:rPr>
        <w:t xml:space="preserve">, </w:t>
      </w:r>
      <w:r w:rsidRPr="00CD7490">
        <w:rPr>
          <w:rFonts w:ascii="Times New Roman" w:eastAsia="Times New Roman" w:hAnsi="Times New Roman" w:cs="Times New Roman"/>
          <w:i/>
          <w:color w:val="232323"/>
          <w:sz w:val="24"/>
          <w:szCs w:val="24"/>
          <w:highlight w:val="white"/>
          <w:lang w:val="en-US"/>
        </w:rPr>
        <w:t>12</w:t>
      </w:r>
      <w:r w:rsidRPr="00CD7490">
        <w:rPr>
          <w:rFonts w:ascii="Times New Roman" w:eastAsia="Times New Roman" w:hAnsi="Times New Roman" w:cs="Times New Roman"/>
          <w:color w:val="232323"/>
          <w:sz w:val="24"/>
          <w:szCs w:val="24"/>
          <w:highlight w:val="white"/>
          <w:lang w:val="en-US"/>
        </w:rPr>
        <w:t xml:space="preserve">, 727-736. </w:t>
      </w:r>
      <w:r w:rsidR="00206031"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color w:val="232323"/>
          <w:sz w:val="24"/>
          <w:szCs w:val="24"/>
          <w:highlight w:val="white"/>
          <w:lang w:val="en-US"/>
        </w:rPr>
        <w:t>10.4236/ce.2021.124051</w:t>
      </w:r>
    </w:p>
    <w:p w14:paraId="7F269F91" w14:textId="1FE681CA" w:rsidR="00230161" w:rsidRPr="00CD7490" w:rsidRDefault="007E04E5" w:rsidP="00CD7490">
      <w:pPr>
        <w:spacing w:line="240" w:lineRule="auto"/>
        <w:ind w:left="720" w:hanging="709"/>
        <w:jc w:val="both"/>
        <w:rPr>
          <w:rFonts w:ascii="Times New Roman" w:eastAsia="Times New Roman" w:hAnsi="Times New Roman" w:cs="Times New Roman"/>
          <w:color w:val="222222"/>
          <w:sz w:val="24"/>
          <w:szCs w:val="24"/>
          <w:lang w:val="en-US"/>
        </w:rPr>
      </w:pPr>
      <w:r w:rsidRPr="00CD7490">
        <w:rPr>
          <w:rFonts w:ascii="Times New Roman" w:eastAsia="Times New Roman" w:hAnsi="Times New Roman" w:cs="Times New Roman"/>
          <w:color w:val="222222"/>
          <w:sz w:val="24"/>
          <w:szCs w:val="24"/>
          <w:lang w:val="en-US"/>
        </w:rPr>
        <w:t xml:space="preserve">British Council, UKALTA, EALTA </w:t>
      </w:r>
      <w:r w:rsidR="00095C48" w:rsidRPr="00CD7490">
        <w:rPr>
          <w:rFonts w:ascii="Times New Roman" w:eastAsia="Times New Roman" w:hAnsi="Times New Roman" w:cs="Times New Roman"/>
          <w:color w:val="222222"/>
          <w:sz w:val="24"/>
          <w:szCs w:val="24"/>
          <w:lang w:val="en-US"/>
        </w:rPr>
        <w:t>&amp;</w:t>
      </w:r>
      <w:r w:rsidRPr="00CD7490">
        <w:rPr>
          <w:rFonts w:ascii="Times New Roman" w:eastAsia="Times New Roman" w:hAnsi="Times New Roman" w:cs="Times New Roman"/>
          <w:color w:val="222222"/>
          <w:sz w:val="24"/>
          <w:szCs w:val="24"/>
          <w:lang w:val="en-US"/>
        </w:rPr>
        <w:t xml:space="preserve"> ALTE. (2022). Aligning Language Education with the CEFR: A Handbook. https://www.alte.org/resources/Documents/CEFR%20alignment%20handbook%20layout.pd </w:t>
      </w:r>
    </w:p>
    <w:p w14:paraId="113793FC" w14:textId="27FBBA4B" w:rsidR="00D7293F" w:rsidRPr="00CD7490" w:rsidRDefault="00D7293F" w:rsidP="00CD7490">
      <w:pPr>
        <w:spacing w:line="240" w:lineRule="auto"/>
        <w:ind w:left="720" w:hanging="709"/>
        <w:jc w:val="both"/>
        <w:rPr>
          <w:rFonts w:ascii="Times New Roman" w:eastAsia="Times New Roman" w:hAnsi="Times New Roman" w:cs="Times New Roman"/>
          <w:color w:val="FFFFFF"/>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Cephe, P. &amp; Toprak, E. (2014). The common European framework of reference for languages: Insights for language testing. </w:t>
      </w:r>
      <w:r w:rsidRPr="00CD7490">
        <w:rPr>
          <w:rFonts w:ascii="Times New Roman" w:eastAsia="Times New Roman" w:hAnsi="Times New Roman" w:cs="Times New Roman"/>
          <w:i/>
          <w:color w:val="222222"/>
          <w:sz w:val="24"/>
          <w:szCs w:val="24"/>
          <w:highlight w:val="white"/>
          <w:lang w:val="en-US"/>
        </w:rPr>
        <w:t>Journal of Language and Linguistic Studies</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10</w:t>
      </w:r>
      <w:r w:rsidRPr="00CD7490">
        <w:rPr>
          <w:rFonts w:ascii="Times New Roman" w:eastAsia="Times New Roman" w:hAnsi="Times New Roman" w:cs="Times New Roman"/>
          <w:color w:val="222222"/>
          <w:sz w:val="24"/>
          <w:szCs w:val="24"/>
          <w:highlight w:val="white"/>
          <w:lang w:val="en-US"/>
        </w:rPr>
        <w:t>(1), 79-88. https://www.jlls.org/index.php/jlls/article/view/183/163</w:t>
      </w:r>
    </w:p>
    <w:p w14:paraId="1C34E9A4" w14:textId="77777777"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Council of Europe (2001). </w:t>
      </w:r>
      <w:r w:rsidRPr="00CD7490">
        <w:rPr>
          <w:rFonts w:ascii="Times New Roman" w:eastAsia="Times New Roman" w:hAnsi="Times New Roman" w:cs="Times New Roman"/>
          <w:i/>
          <w:sz w:val="24"/>
          <w:szCs w:val="24"/>
          <w:lang w:val="en-US"/>
        </w:rPr>
        <w:t xml:space="preserve">Common European framework of reference for languages. </w:t>
      </w:r>
      <w:r w:rsidRPr="00CD7490">
        <w:rPr>
          <w:rFonts w:ascii="Times New Roman" w:eastAsia="Times New Roman" w:hAnsi="Times New Roman" w:cs="Times New Roman"/>
          <w:sz w:val="24"/>
          <w:szCs w:val="24"/>
          <w:lang w:val="en-US"/>
        </w:rPr>
        <w:t>Cambridge University Press.</w:t>
      </w:r>
    </w:p>
    <w:p w14:paraId="1A98BCAE" w14:textId="3F9CFCD3" w:rsidR="00B040FF" w:rsidRPr="00CD7490" w:rsidRDefault="00B040F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Council of Europe (2011). </w:t>
      </w:r>
      <w:r w:rsidRPr="00CD7490">
        <w:rPr>
          <w:rFonts w:ascii="Times New Roman" w:eastAsia="Times New Roman" w:hAnsi="Times New Roman" w:cs="Times New Roman"/>
          <w:i/>
          <w:sz w:val="24"/>
          <w:szCs w:val="24"/>
          <w:lang w:val="en-US"/>
        </w:rPr>
        <w:t>Manual for Language Test Development and Examining</w:t>
      </w:r>
      <w:r w:rsidRPr="00CD7490">
        <w:rPr>
          <w:rFonts w:ascii="Times New Roman" w:eastAsia="Times New Roman" w:hAnsi="Times New Roman" w:cs="Times New Roman"/>
          <w:sz w:val="24"/>
          <w:szCs w:val="24"/>
          <w:lang w:val="en-US"/>
        </w:rPr>
        <w:t xml:space="preserve">. For Use with the CEFR. Council of Europe. </w:t>
      </w:r>
    </w:p>
    <w:p w14:paraId="34F400CF" w14:textId="049C0159"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Council of Europe (2020). </w:t>
      </w:r>
      <w:r w:rsidRPr="00CD7490">
        <w:rPr>
          <w:rFonts w:ascii="Times New Roman" w:eastAsia="Times New Roman" w:hAnsi="Times New Roman" w:cs="Times New Roman"/>
          <w:i/>
          <w:sz w:val="24"/>
          <w:szCs w:val="24"/>
          <w:lang w:val="en-US"/>
        </w:rPr>
        <w:t>The Common European Framework of Reference for Languages: Learning, teaching, assessment. Companion volume with new descriptors.</w:t>
      </w:r>
      <w:r w:rsidR="00B040FF" w:rsidRPr="00CD7490">
        <w:rPr>
          <w:rFonts w:ascii="Times New Roman" w:eastAsia="Times New Roman" w:hAnsi="Times New Roman" w:cs="Times New Roman"/>
          <w:i/>
          <w:sz w:val="24"/>
          <w:szCs w:val="24"/>
          <w:lang w:val="en-US"/>
        </w:rPr>
        <w:t xml:space="preserve"> </w:t>
      </w:r>
      <w:r w:rsidRPr="00CD7490">
        <w:rPr>
          <w:rFonts w:ascii="Times New Roman" w:eastAsia="Times New Roman" w:hAnsi="Times New Roman" w:cs="Times New Roman"/>
          <w:sz w:val="24"/>
          <w:szCs w:val="24"/>
          <w:lang w:val="en-US"/>
        </w:rPr>
        <w:t>Council of Europe.</w:t>
      </w:r>
    </w:p>
    <w:p w14:paraId="0FCFE2F0" w14:textId="55DCD48F"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lang w:val="en-US"/>
        </w:rPr>
      </w:pPr>
      <w:r w:rsidRPr="00CD7490">
        <w:rPr>
          <w:rFonts w:ascii="Times New Roman" w:eastAsia="Times New Roman" w:hAnsi="Times New Roman" w:cs="Times New Roman"/>
          <w:color w:val="222222"/>
          <w:sz w:val="24"/>
          <w:szCs w:val="24"/>
          <w:lang w:val="en-US"/>
        </w:rPr>
        <w:t xml:space="preserve">De Jong, J. (2022). The Action-oriented approach and language testing: A critical view. In D. Little &amp; N. Figueras (Eds.) </w:t>
      </w:r>
      <w:r w:rsidRPr="00CD7490">
        <w:rPr>
          <w:rFonts w:ascii="Times New Roman" w:eastAsia="Times New Roman" w:hAnsi="Times New Roman" w:cs="Times New Roman"/>
          <w:i/>
          <w:color w:val="222222"/>
          <w:sz w:val="24"/>
          <w:szCs w:val="24"/>
          <w:lang w:val="en-US"/>
        </w:rPr>
        <w:t>Reflecting on the Common European Framework of Reference for Languages and its Companion Volume.</w:t>
      </w:r>
      <w:r w:rsidRPr="00CD7490">
        <w:rPr>
          <w:rFonts w:ascii="Times New Roman" w:eastAsia="Times New Roman" w:hAnsi="Times New Roman" w:cs="Times New Roman"/>
          <w:color w:val="222222"/>
          <w:sz w:val="24"/>
          <w:szCs w:val="24"/>
          <w:lang w:val="en-US"/>
        </w:rPr>
        <w:t xml:space="preserve"> (pp. 53-63). Multilingual Matters. </w:t>
      </w:r>
      <w:r w:rsidR="00206031" w:rsidRPr="00CD7490">
        <w:rPr>
          <w:rFonts w:ascii="Times New Roman" w:eastAsia="Times New Roman" w:hAnsi="Times New Roman" w:cs="Times New Roman"/>
          <w:color w:val="232323"/>
          <w:sz w:val="24"/>
          <w:szCs w:val="24"/>
          <w:highlight w:val="white"/>
          <w:lang w:val="en-US"/>
        </w:rPr>
        <w:t>https://doi.org/</w:t>
      </w:r>
      <w:r w:rsidR="00206031" w:rsidRPr="00CD7490">
        <w:rPr>
          <w:rFonts w:ascii="Times New Roman" w:eastAsia="Times New Roman" w:hAnsi="Times New Roman" w:cs="Times New Roman"/>
          <w:color w:val="222222"/>
          <w:sz w:val="24"/>
          <w:szCs w:val="24"/>
          <w:lang w:val="en-US"/>
        </w:rPr>
        <w:t>1</w:t>
      </w:r>
      <w:r w:rsidRPr="00CD7490">
        <w:rPr>
          <w:rFonts w:ascii="Times New Roman" w:eastAsia="Times New Roman" w:hAnsi="Times New Roman" w:cs="Times New Roman"/>
          <w:color w:val="222222"/>
          <w:sz w:val="24"/>
          <w:szCs w:val="24"/>
          <w:lang w:val="en-US"/>
        </w:rPr>
        <w:t>0.21832/LITTLE0190</w:t>
      </w:r>
    </w:p>
    <w:p w14:paraId="3541CD95" w14:textId="31AF1957"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color w:val="222222"/>
          <w:sz w:val="24"/>
          <w:szCs w:val="24"/>
          <w:lang w:val="en-US"/>
        </w:rPr>
        <w:t xml:space="preserve">Díez-Bedmar, M. B., &amp; Byram, M. (2019). The current influence of the CEFR in secondary education: </w:t>
      </w:r>
      <w:r w:rsidR="00B729E6" w:rsidRPr="00CD7490">
        <w:rPr>
          <w:rFonts w:ascii="Times New Roman" w:eastAsia="Times New Roman" w:hAnsi="Times New Roman" w:cs="Times New Roman"/>
          <w:color w:val="222222"/>
          <w:sz w:val="24"/>
          <w:szCs w:val="24"/>
          <w:highlight w:val="yellow"/>
          <w:lang w:val="en-US"/>
        </w:rPr>
        <w:t>T</w:t>
      </w:r>
      <w:r w:rsidRPr="00CD7490">
        <w:rPr>
          <w:rFonts w:ascii="Times New Roman" w:eastAsia="Times New Roman" w:hAnsi="Times New Roman" w:cs="Times New Roman"/>
          <w:color w:val="222222"/>
          <w:sz w:val="24"/>
          <w:szCs w:val="24"/>
          <w:lang w:val="en-US"/>
        </w:rPr>
        <w:t xml:space="preserve">eachers’ perceptions. </w:t>
      </w:r>
      <w:r w:rsidRPr="00CD7490">
        <w:rPr>
          <w:rFonts w:ascii="Times New Roman" w:eastAsia="Times New Roman" w:hAnsi="Times New Roman" w:cs="Times New Roman"/>
          <w:i/>
          <w:color w:val="222222"/>
          <w:sz w:val="24"/>
          <w:szCs w:val="24"/>
          <w:lang w:val="en-US"/>
        </w:rPr>
        <w:t>Language, Culture and Curriculum</w:t>
      </w:r>
      <w:r w:rsidRPr="00CD7490">
        <w:rPr>
          <w:rFonts w:ascii="Times New Roman" w:eastAsia="Times New Roman" w:hAnsi="Times New Roman" w:cs="Times New Roman"/>
          <w:color w:val="222222"/>
          <w:sz w:val="24"/>
          <w:szCs w:val="24"/>
          <w:lang w:val="en-US"/>
        </w:rPr>
        <w:t xml:space="preserve">, </w:t>
      </w:r>
      <w:r w:rsidRPr="00CD7490">
        <w:rPr>
          <w:rFonts w:ascii="Times New Roman" w:eastAsia="Times New Roman" w:hAnsi="Times New Roman" w:cs="Times New Roman"/>
          <w:i/>
          <w:color w:val="222222"/>
          <w:sz w:val="24"/>
          <w:szCs w:val="24"/>
          <w:lang w:val="en-US"/>
        </w:rPr>
        <w:t>32</w:t>
      </w:r>
      <w:r w:rsidRPr="00CD7490">
        <w:rPr>
          <w:rFonts w:ascii="Times New Roman" w:eastAsia="Times New Roman" w:hAnsi="Times New Roman" w:cs="Times New Roman"/>
          <w:color w:val="222222"/>
          <w:sz w:val="24"/>
          <w:szCs w:val="24"/>
          <w:lang w:val="en-US"/>
        </w:rPr>
        <w:t xml:space="preserve">(1), 1-15. </w:t>
      </w:r>
      <w:r w:rsidR="00B262D8"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color w:val="222222"/>
          <w:sz w:val="24"/>
          <w:szCs w:val="24"/>
          <w:lang w:val="en-US"/>
        </w:rPr>
        <w:t>10.1080/07908318.2018.1493492</w:t>
      </w:r>
    </w:p>
    <w:p w14:paraId="3878900A" w14:textId="77777777"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Díez-Bedmar, M.B., Luque-Agulló, G. (2022). The Knowledge and Implementation of the CEFR/CV in University Language Centres: Students’ Perceptions. </w:t>
      </w:r>
      <w:r w:rsidRPr="00CD7490">
        <w:rPr>
          <w:rFonts w:ascii="Times New Roman" w:eastAsia="Times New Roman" w:hAnsi="Times New Roman" w:cs="Times New Roman"/>
          <w:sz w:val="24"/>
          <w:szCs w:val="24"/>
        </w:rPr>
        <w:t xml:space="preserve">IV Congreso Internacional de Innovación Docente e Investigación en Educación Superior. </w:t>
      </w:r>
      <w:r w:rsidRPr="00CD7490">
        <w:rPr>
          <w:rFonts w:ascii="Times New Roman" w:eastAsia="Times New Roman" w:hAnsi="Times New Roman" w:cs="Times New Roman"/>
          <w:sz w:val="24"/>
          <w:szCs w:val="24"/>
          <w:lang w:val="en-US"/>
        </w:rPr>
        <w:t>Madrid.</w:t>
      </w:r>
    </w:p>
    <w:p w14:paraId="043AB158" w14:textId="77777777"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lang w:val="en-US"/>
        </w:rPr>
      </w:pPr>
      <w:r w:rsidRPr="00CD7490">
        <w:rPr>
          <w:rFonts w:ascii="Times New Roman" w:eastAsia="Times New Roman" w:hAnsi="Times New Roman" w:cs="Times New Roman"/>
          <w:color w:val="222222"/>
          <w:sz w:val="24"/>
          <w:szCs w:val="24"/>
          <w:lang w:val="en-US"/>
        </w:rPr>
        <w:t xml:space="preserve">Luque-Agulló, G. &amp; Díez Bedmar, M.B. (2022). </w:t>
      </w:r>
      <w:r w:rsidRPr="00CD7490">
        <w:rPr>
          <w:rFonts w:ascii="Times New Roman" w:eastAsia="Times New Roman" w:hAnsi="Times New Roman" w:cs="Times New Roman"/>
          <w:i/>
          <w:color w:val="222222"/>
          <w:sz w:val="24"/>
          <w:szCs w:val="24"/>
          <w:lang w:val="en-US"/>
        </w:rPr>
        <w:t>Learning about Language Learners’ Perceptions of the Implementation of the CEFR/CV in University Language Centres: Questionnaire Design and Validation.</w:t>
      </w:r>
      <w:r w:rsidRPr="00CD7490">
        <w:rPr>
          <w:rFonts w:ascii="Times New Roman" w:eastAsia="Times New Roman" w:hAnsi="Times New Roman" w:cs="Times New Roman"/>
          <w:color w:val="222222"/>
          <w:sz w:val="24"/>
          <w:szCs w:val="24"/>
          <w:lang w:val="en-US"/>
        </w:rPr>
        <w:t xml:space="preserve"> </w:t>
      </w:r>
      <w:r w:rsidRPr="00CD7490">
        <w:rPr>
          <w:rFonts w:ascii="Times New Roman" w:eastAsia="Times New Roman" w:hAnsi="Times New Roman" w:cs="Times New Roman"/>
          <w:color w:val="222222"/>
          <w:sz w:val="24"/>
          <w:szCs w:val="24"/>
        </w:rPr>
        <w:t xml:space="preserve">IV Congreso Internacional de Innovación Docente e Investigación en Educación Superior. </w:t>
      </w:r>
      <w:r w:rsidRPr="00CD7490">
        <w:rPr>
          <w:rFonts w:ascii="Times New Roman" w:eastAsia="Times New Roman" w:hAnsi="Times New Roman" w:cs="Times New Roman"/>
          <w:color w:val="222222"/>
          <w:sz w:val="24"/>
          <w:szCs w:val="24"/>
          <w:lang w:val="en-US"/>
        </w:rPr>
        <w:t>Madrid.</w:t>
      </w:r>
    </w:p>
    <w:p w14:paraId="5AB22B0C" w14:textId="77777777"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Fennelly, M. G. (2016). The influence of CEFR on English language education in Japan. </w:t>
      </w:r>
      <w:r w:rsidRPr="00CD7490">
        <w:rPr>
          <w:rFonts w:ascii="Times New Roman" w:eastAsia="Times New Roman" w:hAnsi="Times New Roman" w:cs="Times New Roman"/>
          <w:i/>
          <w:color w:val="222222"/>
          <w:sz w:val="24"/>
          <w:szCs w:val="24"/>
          <w:highlight w:val="white"/>
          <w:lang w:val="en-US"/>
        </w:rPr>
        <w:t>Bull Shikoku University Online Repository</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46</w:t>
      </w:r>
      <w:r w:rsidRPr="00CD7490">
        <w:rPr>
          <w:rFonts w:ascii="Times New Roman" w:eastAsia="Times New Roman" w:hAnsi="Times New Roman" w:cs="Times New Roman"/>
          <w:color w:val="222222"/>
          <w:sz w:val="24"/>
          <w:szCs w:val="24"/>
          <w:highlight w:val="white"/>
          <w:lang w:val="en-US"/>
        </w:rPr>
        <w:t>, 109-122.</w:t>
      </w:r>
    </w:p>
    <w:p w14:paraId="74C0F840" w14:textId="0C043E20"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Fernandez-Alvarez, M., &amp; García-Hernández, S. (2021). Teachers’ perceptions of linguistic mediation in the curriculum for advanced English in Madrid secondary schools</w:t>
      </w:r>
      <w:r w:rsidRPr="00CD7490">
        <w:rPr>
          <w:rFonts w:ascii="Times New Roman" w:eastAsia="Times New Roman" w:hAnsi="Times New Roman" w:cs="Times New Roman"/>
          <w:color w:val="222222"/>
          <w:sz w:val="24"/>
          <w:szCs w:val="24"/>
          <w:lang w:val="en-US"/>
        </w:rPr>
        <w:t xml:space="preserve">. </w:t>
      </w:r>
      <w:r w:rsidRPr="00CD7490">
        <w:rPr>
          <w:rFonts w:ascii="Times New Roman" w:eastAsia="Times New Roman" w:hAnsi="Times New Roman" w:cs="Times New Roman"/>
          <w:i/>
          <w:color w:val="222222"/>
          <w:sz w:val="24"/>
          <w:szCs w:val="24"/>
          <w:lang w:val="en-US"/>
        </w:rPr>
        <w:t>Language Teaching Research</w:t>
      </w:r>
      <w:r w:rsidRPr="00CD7490">
        <w:rPr>
          <w:rFonts w:ascii="Times New Roman" w:eastAsia="Times New Roman" w:hAnsi="Times New Roman" w:cs="Times New Roman"/>
          <w:color w:val="222222"/>
          <w:sz w:val="24"/>
          <w:szCs w:val="24"/>
          <w:lang w:val="en-US"/>
        </w:rPr>
        <w:t xml:space="preserve">, 1-24. </w:t>
      </w:r>
      <w:r w:rsidR="00B262D8"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color w:val="222222"/>
          <w:sz w:val="24"/>
          <w:szCs w:val="24"/>
          <w:highlight w:val="white"/>
          <w:lang w:val="en-US"/>
        </w:rPr>
        <w:t>10.1177/13621688211005602</w:t>
      </w:r>
    </w:p>
    <w:p w14:paraId="2A00AF3B" w14:textId="300F9FD0"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Fischer, J. &amp; Wolder, N. (2022). Implementation of the CEFR Companion Volume in the UNICERT and NULTE Networks. In B. North, E. Piccardo, T. Goodier, D. Fasoglio, R. Margonis-Pasinetti, &amp; B. Rüschoff (Eds.), </w:t>
      </w:r>
      <w:r w:rsidRPr="00CD7490">
        <w:rPr>
          <w:rFonts w:ascii="Times New Roman" w:eastAsia="Times New Roman" w:hAnsi="Times New Roman" w:cs="Times New Roman"/>
          <w:i/>
          <w:sz w:val="24"/>
          <w:szCs w:val="24"/>
          <w:lang w:val="en-US"/>
        </w:rPr>
        <w:t>Enriching 21st Century Education. The C</w:t>
      </w:r>
      <w:r w:rsidRPr="00CD7490">
        <w:rPr>
          <w:rFonts w:ascii="Times New Roman" w:eastAsia="Times New Roman" w:hAnsi="Times New Roman" w:cs="Times New Roman"/>
          <w:i/>
          <w:sz w:val="24"/>
          <w:szCs w:val="24"/>
          <w:highlight w:val="white"/>
          <w:lang w:val="en-US"/>
        </w:rPr>
        <w:t>EFR Companion Volume in practice</w:t>
      </w:r>
      <w:r w:rsidRPr="00CD7490">
        <w:rPr>
          <w:rFonts w:ascii="Times New Roman" w:eastAsia="Times New Roman" w:hAnsi="Times New Roman" w:cs="Times New Roman"/>
          <w:sz w:val="24"/>
          <w:szCs w:val="24"/>
          <w:highlight w:val="white"/>
          <w:lang w:val="en-US"/>
        </w:rPr>
        <w:t xml:space="preserve"> (pp. 185-201). Council of Europe</w:t>
      </w:r>
      <w:r w:rsidR="0036754E" w:rsidRPr="00CD7490">
        <w:rPr>
          <w:rFonts w:ascii="Times New Roman" w:eastAsia="Times New Roman" w:hAnsi="Times New Roman" w:cs="Times New Roman"/>
          <w:sz w:val="24"/>
          <w:szCs w:val="24"/>
          <w:lang w:val="en-US"/>
        </w:rPr>
        <w:t>. http://hdl.handle.net/20.500.12162/5760</w:t>
      </w:r>
    </w:p>
    <w:p w14:paraId="774F3595" w14:textId="142311AF" w:rsidR="00D7293F" w:rsidRPr="00CD7490" w:rsidRDefault="00D7293F" w:rsidP="00CD7490">
      <w:pPr>
        <w:spacing w:line="240" w:lineRule="auto"/>
        <w:ind w:left="720" w:hanging="709"/>
        <w:jc w:val="both"/>
        <w:rPr>
          <w:rFonts w:ascii="Times New Roman" w:eastAsia="Times New Roman" w:hAnsi="Times New Roman" w:cs="Times New Roman"/>
          <w:color w:val="333333"/>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Figueras, N. (2012). The impact of the CEFR. </w:t>
      </w:r>
      <w:r w:rsidRPr="00CD7490">
        <w:rPr>
          <w:rFonts w:ascii="Times New Roman" w:eastAsia="Times New Roman" w:hAnsi="Times New Roman" w:cs="Times New Roman"/>
          <w:i/>
          <w:color w:val="222222"/>
          <w:sz w:val="24"/>
          <w:szCs w:val="24"/>
          <w:highlight w:val="white"/>
          <w:lang w:val="en-US"/>
        </w:rPr>
        <w:t>English Language Teaching Journal</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66</w:t>
      </w:r>
      <w:r w:rsidRPr="00CD7490">
        <w:rPr>
          <w:rFonts w:ascii="Times New Roman" w:eastAsia="Times New Roman" w:hAnsi="Times New Roman" w:cs="Times New Roman"/>
          <w:color w:val="222222"/>
          <w:sz w:val="24"/>
          <w:szCs w:val="24"/>
          <w:highlight w:val="white"/>
          <w:lang w:val="en-US"/>
        </w:rPr>
        <w:t xml:space="preserve">(4), 477-485. </w:t>
      </w:r>
      <w:r w:rsidR="00B262D8"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color w:val="222222"/>
          <w:sz w:val="24"/>
          <w:szCs w:val="24"/>
          <w:highlight w:val="white"/>
          <w:lang w:val="en-US"/>
        </w:rPr>
        <w:t>10.1093/elt/ccs037</w:t>
      </w:r>
    </w:p>
    <w:p w14:paraId="34C79C73" w14:textId="0E5F7FC6" w:rsidR="00D7293F" w:rsidRPr="00CD7490" w:rsidRDefault="00D7293F" w:rsidP="00CD7490">
      <w:pPr>
        <w:spacing w:line="240" w:lineRule="auto"/>
        <w:ind w:left="720" w:hanging="709"/>
        <w:jc w:val="both"/>
        <w:rPr>
          <w:rFonts w:ascii="Times New Roman" w:eastAsia="Times New Roman" w:hAnsi="Times New Roman" w:cs="Times New Roman"/>
          <w:color w:val="333333"/>
          <w:sz w:val="24"/>
          <w:szCs w:val="24"/>
          <w:shd w:val="clear" w:color="auto" w:fill="F9FBFB"/>
          <w:lang w:val="en-US"/>
        </w:rPr>
      </w:pPr>
      <w:r w:rsidRPr="00CD7490">
        <w:rPr>
          <w:rFonts w:ascii="Times New Roman" w:eastAsia="Times New Roman" w:hAnsi="Times New Roman" w:cs="Times New Roman"/>
          <w:color w:val="333333"/>
          <w:sz w:val="24"/>
          <w:szCs w:val="24"/>
          <w:highlight w:val="white"/>
          <w:lang w:val="en-US"/>
        </w:rPr>
        <w:t xml:space="preserve">Fleckenstein, J. Leucht, M. &amp; Köller, O. (2018) Teachers’ Judgement Accuracy Concerning CEFR Levels of Prospective University Students, </w:t>
      </w:r>
      <w:r w:rsidRPr="00CD7490">
        <w:rPr>
          <w:rFonts w:ascii="Times New Roman" w:eastAsia="Times New Roman" w:hAnsi="Times New Roman" w:cs="Times New Roman"/>
          <w:i/>
          <w:color w:val="333333"/>
          <w:sz w:val="24"/>
          <w:szCs w:val="24"/>
          <w:highlight w:val="white"/>
          <w:lang w:val="en-US"/>
        </w:rPr>
        <w:t>Language Assessment Quarterly</w:t>
      </w:r>
      <w:r w:rsidRPr="00CD7490">
        <w:rPr>
          <w:rFonts w:ascii="Times New Roman" w:eastAsia="Times New Roman" w:hAnsi="Times New Roman" w:cs="Times New Roman"/>
          <w:color w:val="333333"/>
          <w:sz w:val="24"/>
          <w:szCs w:val="24"/>
          <w:highlight w:val="white"/>
          <w:lang w:val="en-US"/>
        </w:rPr>
        <w:t xml:space="preserve">, </w:t>
      </w:r>
      <w:r w:rsidRPr="00CD7490">
        <w:rPr>
          <w:rFonts w:ascii="Times New Roman" w:eastAsia="Times New Roman" w:hAnsi="Times New Roman" w:cs="Times New Roman"/>
          <w:i/>
          <w:color w:val="333333"/>
          <w:sz w:val="24"/>
          <w:szCs w:val="24"/>
          <w:highlight w:val="white"/>
          <w:lang w:val="en-US"/>
        </w:rPr>
        <w:t>15</w:t>
      </w:r>
      <w:r w:rsidRPr="00CD7490">
        <w:rPr>
          <w:rFonts w:ascii="Times New Roman" w:eastAsia="Times New Roman" w:hAnsi="Times New Roman" w:cs="Times New Roman"/>
          <w:color w:val="333333"/>
          <w:sz w:val="24"/>
          <w:szCs w:val="24"/>
          <w:highlight w:val="white"/>
          <w:lang w:val="en-US"/>
        </w:rPr>
        <w:t xml:space="preserve">(1), 90-101. </w:t>
      </w:r>
      <w:r w:rsidR="00B262D8"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color w:val="333333"/>
          <w:sz w:val="24"/>
          <w:szCs w:val="24"/>
          <w:highlight w:val="white"/>
          <w:lang w:val="en-US"/>
        </w:rPr>
        <w:t>10.1080/15434303.2017.1421956</w:t>
      </w:r>
    </w:p>
    <w:p w14:paraId="68C9C36A" w14:textId="1341088F"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Foley, J. (2019). Issues on assessment using CEFR in the region. </w:t>
      </w:r>
      <w:r w:rsidRPr="00CD7490">
        <w:rPr>
          <w:rFonts w:ascii="Times New Roman" w:eastAsia="Times New Roman" w:hAnsi="Times New Roman" w:cs="Times New Roman"/>
          <w:i/>
          <w:color w:val="222222"/>
          <w:sz w:val="24"/>
          <w:szCs w:val="24"/>
          <w:highlight w:val="white"/>
          <w:lang w:val="en-US"/>
        </w:rPr>
        <w:t>LEARN Journal: Language Education and Acquisition Research Network</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12</w:t>
      </w:r>
      <w:r w:rsidRPr="00CD7490">
        <w:rPr>
          <w:rFonts w:ascii="Times New Roman" w:eastAsia="Times New Roman" w:hAnsi="Times New Roman" w:cs="Times New Roman"/>
          <w:color w:val="222222"/>
          <w:sz w:val="24"/>
          <w:szCs w:val="24"/>
          <w:highlight w:val="white"/>
          <w:lang w:val="en-US"/>
        </w:rPr>
        <w:t>(2), 28-48.</w:t>
      </w:r>
      <w:r w:rsidR="0036754E" w:rsidRPr="00CD7490">
        <w:rPr>
          <w:rFonts w:ascii="Times New Roman" w:eastAsia="Times New Roman" w:hAnsi="Times New Roman" w:cs="Times New Roman"/>
          <w:color w:val="222222"/>
          <w:sz w:val="24"/>
          <w:szCs w:val="24"/>
          <w:highlight w:val="white"/>
          <w:lang w:val="en-US"/>
        </w:rPr>
        <w:t xml:space="preserve"> </w:t>
      </w:r>
      <w:r w:rsidR="0036754E" w:rsidRPr="00CD7490">
        <w:rPr>
          <w:rFonts w:ascii="Times New Roman" w:eastAsia="Times New Roman" w:hAnsi="Times New Roman" w:cs="Times New Roman"/>
          <w:color w:val="222222"/>
          <w:sz w:val="24"/>
          <w:szCs w:val="24"/>
          <w:lang w:val="en-US"/>
        </w:rPr>
        <w:t>https://so04.tci-thaijo.org/index.php/LEARN/article/view/195583</w:t>
      </w:r>
    </w:p>
    <w:p w14:paraId="4261427E" w14:textId="6FEC6CE0" w:rsidR="0087466D" w:rsidRPr="00CD7490" w:rsidRDefault="0087466D" w:rsidP="00CD7490">
      <w:pPr>
        <w:spacing w:line="240" w:lineRule="auto"/>
        <w:ind w:left="720" w:hanging="709"/>
        <w:jc w:val="both"/>
        <w:rPr>
          <w:rFonts w:ascii="Times New Roman" w:eastAsia="Times New Roman" w:hAnsi="Times New Roman" w:cs="Times New Roman"/>
          <w:color w:val="333333"/>
          <w:sz w:val="24"/>
          <w:szCs w:val="24"/>
          <w:highlight w:val="yellow"/>
          <w:lang w:val="en-US"/>
        </w:rPr>
      </w:pPr>
      <w:r w:rsidRPr="00CD7490">
        <w:rPr>
          <w:rFonts w:ascii="Times New Roman" w:eastAsia="Times New Roman" w:hAnsi="Times New Roman" w:cs="Times New Roman"/>
          <w:color w:val="222222"/>
          <w:sz w:val="24"/>
          <w:szCs w:val="24"/>
          <w:highlight w:val="white"/>
        </w:rPr>
        <w:t xml:space="preserve">Fonseca-Mora, M. C., &amp; Davies, M. (2022). </w:t>
      </w:r>
      <w:r w:rsidRPr="00CD7490">
        <w:rPr>
          <w:rFonts w:ascii="Times New Roman" w:eastAsia="Times New Roman" w:hAnsi="Times New Roman" w:cs="Times New Roman"/>
          <w:color w:val="222222"/>
          <w:sz w:val="24"/>
          <w:szCs w:val="24"/>
          <w:highlight w:val="white"/>
          <w:lang w:val="en-US"/>
        </w:rPr>
        <w:t xml:space="preserve">CEFR mediation strategies: </w:t>
      </w:r>
      <w:r w:rsidR="00095C48" w:rsidRPr="00CD7490">
        <w:rPr>
          <w:rFonts w:ascii="Times New Roman" w:eastAsia="Times New Roman" w:hAnsi="Times New Roman" w:cs="Times New Roman"/>
          <w:color w:val="222222"/>
          <w:sz w:val="24"/>
          <w:szCs w:val="24"/>
          <w:highlight w:val="yellow"/>
          <w:lang w:val="en-US"/>
        </w:rPr>
        <w:t>T</w:t>
      </w:r>
      <w:r w:rsidRPr="00CD7490">
        <w:rPr>
          <w:rFonts w:ascii="Times New Roman" w:eastAsia="Times New Roman" w:hAnsi="Times New Roman" w:cs="Times New Roman"/>
          <w:color w:val="222222"/>
          <w:sz w:val="24"/>
          <w:szCs w:val="24"/>
          <w:highlight w:val="white"/>
          <w:lang w:val="en-US"/>
        </w:rPr>
        <w:t xml:space="preserve">owards a socio-emotionally enhanced plurilingual language education. In </w:t>
      </w:r>
      <w:r w:rsidRPr="00CD7490">
        <w:rPr>
          <w:rFonts w:ascii="Times New Roman" w:eastAsia="Times New Roman" w:hAnsi="Times New Roman" w:cs="Times New Roman"/>
          <w:color w:val="222222"/>
          <w:sz w:val="24"/>
          <w:szCs w:val="24"/>
          <w:lang w:val="en-US"/>
        </w:rPr>
        <w:t xml:space="preserve">B. North, E. Piccardo, T. Goodier, D. Fasoglio, R. Margonis-Pasinetti &amp; B. Rüschoff (Eds.). </w:t>
      </w:r>
      <w:r w:rsidRPr="00CD7490">
        <w:rPr>
          <w:rFonts w:ascii="Times New Roman" w:eastAsia="Times New Roman" w:hAnsi="Times New Roman" w:cs="Times New Roman"/>
          <w:i/>
          <w:color w:val="222222"/>
          <w:sz w:val="24"/>
          <w:szCs w:val="24"/>
          <w:lang w:val="en-US"/>
        </w:rPr>
        <w:t>Enriching 21</w:t>
      </w:r>
      <w:r w:rsidRPr="00CD7490">
        <w:rPr>
          <w:rFonts w:ascii="Times New Roman" w:eastAsia="Times New Roman" w:hAnsi="Times New Roman" w:cs="Times New Roman"/>
          <w:i/>
          <w:color w:val="222222"/>
          <w:sz w:val="24"/>
          <w:szCs w:val="24"/>
          <w:vertAlign w:val="superscript"/>
          <w:lang w:val="en-US"/>
        </w:rPr>
        <w:t>st</w:t>
      </w:r>
      <w:r w:rsidRPr="00CD7490">
        <w:rPr>
          <w:rFonts w:ascii="Times New Roman" w:eastAsia="Times New Roman" w:hAnsi="Times New Roman" w:cs="Times New Roman"/>
          <w:i/>
          <w:color w:val="222222"/>
          <w:sz w:val="24"/>
          <w:szCs w:val="24"/>
          <w:lang w:val="en-US"/>
        </w:rPr>
        <w:t>-century language education. The CEFR Companion volume in practice</w:t>
      </w:r>
      <w:r w:rsidRPr="00CD7490">
        <w:rPr>
          <w:rFonts w:ascii="Times New Roman" w:eastAsia="Times New Roman" w:hAnsi="Times New Roman" w:cs="Times New Roman"/>
          <w:color w:val="222222"/>
          <w:sz w:val="24"/>
          <w:szCs w:val="24"/>
          <w:lang w:val="en-US"/>
        </w:rPr>
        <w:t xml:space="preserve"> (pp. 69-83). Coun</w:t>
      </w:r>
      <w:r w:rsidR="002856F3" w:rsidRPr="00CD7490">
        <w:rPr>
          <w:rFonts w:ascii="Times New Roman" w:eastAsia="Times New Roman" w:hAnsi="Times New Roman" w:cs="Times New Roman"/>
          <w:color w:val="222222"/>
          <w:sz w:val="24"/>
          <w:szCs w:val="24"/>
          <w:lang w:val="en-US"/>
        </w:rPr>
        <w:t>c</w:t>
      </w:r>
      <w:r w:rsidRPr="00CD7490">
        <w:rPr>
          <w:rFonts w:ascii="Times New Roman" w:eastAsia="Times New Roman" w:hAnsi="Times New Roman" w:cs="Times New Roman"/>
          <w:color w:val="222222"/>
          <w:sz w:val="24"/>
          <w:szCs w:val="24"/>
          <w:lang w:val="en-US"/>
        </w:rPr>
        <w:t>il of Europe.</w:t>
      </w:r>
    </w:p>
    <w:p w14:paraId="1F5A98F8" w14:textId="1F19FCE1"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shd w:val="clear" w:color="auto" w:fill="F9FBFB"/>
          <w:lang w:val="en-US"/>
        </w:rPr>
      </w:pPr>
      <w:r w:rsidRPr="00CD7490">
        <w:rPr>
          <w:rFonts w:ascii="Times New Roman" w:eastAsia="Times New Roman" w:hAnsi="Times New Roman" w:cs="Times New Roman"/>
          <w:color w:val="333333"/>
          <w:sz w:val="24"/>
          <w:szCs w:val="24"/>
          <w:highlight w:val="white"/>
          <w:lang w:val="en-US"/>
        </w:rPr>
        <w:t xml:space="preserve">Green, A. (2018) Linking Tests of English for Academic Purposes to the CEFR: The Score User’s Perspective, </w:t>
      </w:r>
      <w:r w:rsidRPr="00CD7490">
        <w:rPr>
          <w:rFonts w:ascii="Times New Roman" w:eastAsia="Times New Roman" w:hAnsi="Times New Roman" w:cs="Times New Roman"/>
          <w:i/>
          <w:color w:val="333333"/>
          <w:sz w:val="24"/>
          <w:szCs w:val="24"/>
          <w:highlight w:val="white"/>
          <w:lang w:val="en-US"/>
        </w:rPr>
        <w:t>Language Assessment Quarterly</w:t>
      </w:r>
      <w:r w:rsidRPr="00CD7490">
        <w:rPr>
          <w:rFonts w:ascii="Times New Roman" w:eastAsia="Times New Roman" w:hAnsi="Times New Roman" w:cs="Times New Roman"/>
          <w:color w:val="333333"/>
          <w:sz w:val="24"/>
          <w:szCs w:val="24"/>
          <w:highlight w:val="white"/>
          <w:lang w:val="en-US"/>
        </w:rPr>
        <w:t xml:space="preserve">, </w:t>
      </w:r>
      <w:r w:rsidRPr="00CD7490">
        <w:rPr>
          <w:rFonts w:ascii="Times New Roman" w:eastAsia="Times New Roman" w:hAnsi="Times New Roman" w:cs="Times New Roman"/>
          <w:i/>
          <w:color w:val="333333"/>
          <w:sz w:val="24"/>
          <w:szCs w:val="24"/>
          <w:highlight w:val="white"/>
          <w:lang w:val="en-US"/>
        </w:rPr>
        <w:t>15</w:t>
      </w:r>
      <w:r w:rsidRPr="00CD7490">
        <w:rPr>
          <w:rFonts w:ascii="Times New Roman" w:eastAsia="Times New Roman" w:hAnsi="Times New Roman" w:cs="Times New Roman"/>
          <w:color w:val="333333"/>
          <w:sz w:val="24"/>
          <w:szCs w:val="24"/>
          <w:highlight w:val="white"/>
          <w:lang w:val="en-US"/>
        </w:rPr>
        <w:t>(1), 59-74.</w:t>
      </w:r>
      <w:r w:rsidR="00B262D8" w:rsidRPr="00CD7490">
        <w:rPr>
          <w:rFonts w:ascii="Times New Roman" w:eastAsia="Times New Roman" w:hAnsi="Times New Roman" w:cs="Times New Roman"/>
          <w:color w:val="232323"/>
          <w:sz w:val="24"/>
          <w:szCs w:val="24"/>
          <w:highlight w:val="white"/>
          <w:lang w:val="en-US"/>
        </w:rPr>
        <w:t xml:space="preserve"> https://doi.org/</w:t>
      </w:r>
      <w:r w:rsidRPr="00CD7490">
        <w:rPr>
          <w:rFonts w:ascii="Times New Roman" w:eastAsia="Times New Roman" w:hAnsi="Times New Roman" w:cs="Times New Roman"/>
          <w:color w:val="333333"/>
          <w:sz w:val="24"/>
          <w:szCs w:val="24"/>
          <w:highlight w:val="white"/>
          <w:lang w:val="en-US"/>
        </w:rPr>
        <w:t>10.1080/15434303.2017.1350685</w:t>
      </w:r>
    </w:p>
    <w:p w14:paraId="71AB254D" w14:textId="77777777"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shd w:val="clear" w:color="auto" w:fill="F9FBFB"/>
          <w:lang w:val="en-US"/>
        </w:rPr>
      </w:pPr>
      <w:r w:rsidRPr="00CD7490">
        <w:rPr>
          <w:rFonts w:ascii="Times New Roman" w:eastAsia="Times New Roman" w:hAnsi="Times New Roman" w:cs="Times New Roman"/>
          <w:color w:val="222222"/>
          <w:sz w:val="24"/>
          <w:szCs w:val="24"/>
          <w:highlight w:val="white"/>
          <w:lang w:val="en-US"/>
        </w:rPr>
        <w:t xml:space="preserve">Harsch, C. (2018) How Suitable Is the CEFR for Setting University Entrance Standards?, </w:t>
      </w:r>
      <w:r w:rsidRPr="00CD7490">
        <w:rPr>
          <w:rFonts w:ascii="Times New Roman" w:eastAsia="Times New Roman" w:hAnsi="Times New Roman" w:cs="Times New Roman"/>
          <w:i/>
          <w:color w:val="222222"/>
          <w:sz w:val="24"/>
          <w:szCs w:val="24"/>
          <w:highlight w:val="white"/>
          <w:lang w:val="en-US"/>
        </w:rPr>
        <w:t>Language Assessment Quarterly</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15</w:t>
      </w:r>
      <w:r w:rsidRPr="00CD7490">
        <w:rPr>
          <w:rFonts w:ascii="Times New Roman" w:eastAsia="Times New Roman" w:hAnsi="Times New Roman" w:cs="Times New Roman"/>
          <w:color w:val="222222"/>
          <w:sz w:val="24"/>
          <w:szCs w:val="24"/>
          <w:highlight w:val="white"/>
          <w:lang w:val="en-US"/>
        </w:rPr>
        <w:t xml:space="preserve">(1), 102-108. https://doi.org/ 10.1080/15434303.2017.1420793. </w:t>
      </w:r>
    </w:p>
    <w:p w14:paraId="4DC2F88D" w14:textId="77777777" w:rsidR="00D7293F" w:rsidRPr="00CD7490" w:rsidRDefault="00D7293F" w:rsidP="00CD7490">
      <w:pPr>
        <w:spacing w:line="240" w:lineRule="auto"/>
        <w:ind w:left="720" w:hanging="709"/>
        <w:jc w:val="both"/>
        <w:rPr>
          <w:rFonts w:ascii="Times New Roman" w:eastAsia="Times New Roman" w:hAnsi="Times New Roman" w:cs="Times New Roman"/>
          <w:color w:val="006DB4"/>
          <w:sz w:val="24"/>
          <w:szCs w:val="24"/>
          <w:lang w:val="en-US"/>
        </w:rPr>
      </w:pPr>
      <w:r w:rsidRPr="00CD7490">
        <w:rPr>
          <w:rFonts w:ascii="Times New Roman" w:eastAsia="Times New Roman" w:hAnsi="Times New Roman" w:cs="Times New Roman"/>
          <w:color w:val="222222"/>
          <w:sz w:val="24"/>
          <w:szCs w:val="24"/>
          <w:lang w:val="en-US"/>
        </w:rPr>
        <w:t xml:space="preserve">Harsch, C. &amp; Hartig, J. (2015). What are we aligning tests to when we report test alignment to the CEFR?. </w:t>
      </w:r>
      <w:r w:rsidRPr="00CD7490">
        <w:rPr>
          <w:rFonts w:ascii="Times New Roman" w:eastAsia="Times New Roman" w:hAnsi="Times New Roman" w:cs="Times New Roman"/>
          <w:i/>
          <w:color w:val="222222"/>
          <w:sz w:val="24"/>
          <w:szCs w:val="24"/>
          <w:lang w:val="en-US"/>
        </w:rPr>
        <w:t>Language Assessment Quarterly</w:t>
      </w:r>
      <w:r w:rsidRPr="00CD7490">
        <w:rPr>
          <w:rFonts w:ascii="Times New Roman" w:eastAsia="Times New Roman" w:hAnsi="Times New Roman" w:cs="Times New Roman"/>
          <w:color w:val="222222"/>
          <w:sz w:val="24"/>
          <w:szCs w:val="24"/>
          <w:lang w:val="en-US"/>
        </w:rPr>
        <w:t xml:space="preserve">, </w:t>
      </w:r>
      <w:r w:rsidRPr="00CD7490">
        <w:rPr>
          <w:rFonts w:ascii="Times New Roman" w:eastAsia="Times New Roman" w:hAnsi="Times New Roman" w:cs="Times New Roman"/>
          <w:i/>
          <w:color w:val="222222"/>
          <w:sz w:val="24"/>
          <w:szCs w:val="24"/>
          <w:lang w:val="en-US"/>
        </w:rPr>
        <w:t>12</w:t>
      </w:r>
      <w:r w:rsidRPr="00CD7490">
        <w:rPr>
          <w:rFonts w:ascii="Times New Roman" w:eastAsia="Times New Roman" w:hAnsi="Times New Roman" w:cs="Times New Roman"/>
          <w:color w:val="222222"/>
          <w:sz w:val="24"/>
          <w:szCs w:val="24"/>
          <w:lang w:val="en-US"/>
        </w:rPr>
        <w:t>(4), 333-362. https://doi.org/10.1080/15434303.2015.1092545</w:t>
      </w:r>
    </w:p>
    <w:p w14:paraId="4BC6238C" w14:textId="77777777" w:rsidR="00D7293F" w:rsidRPr="00CD7490" w:rsidRDefault="00D7293F" w:rsidP="00CD7490">
      <w:pPr>
        <w:spacing w:line="240" w:lineRule="auto"/>
        <w:ind w:left="720" w:hanging="709"/>
        <w:jc w:val="both"/>
        <w:rPr>
          <w:rFonts w:ascii="Times New Roman" w:eastAsia="Times New Roman" w:hAnsi="Times New Roman" w:cs="Times New Roman"/>
          <w:color w:val="333333"/>
          <w:sz w:val="24"/>
          <w:szCs w:val="24"/>
          <w:highlight w:val="white"/>
          <w:u w:val="single"/>
          <w:lang w:val="en-US"/>
        </w:rPr>
      </w:pPr>
      <w:r w:rsidRPr="00CD7490">
        <w:rPr>
          <w:rFonts w:ascii="Times New Roman" w:eastAsia="Times New Roman" w:hAnsi="Times New Roman" w:cs="Times New Roman"/>
          <w:color w:val="333333"/>
          <w:sz w:val="24"/>
          <w:szCs w:val="24"/>
          <w:highlight w:val="white"/>
          <w:lang w:val="en-US"/>
        </w:rPr>
        <w:t xml:space="preserve">Harsch, C. &amp; Kanistra, V.P. (2020) Using an Innovative Standard-setting Approach to Align Integrated and Independent Writing Tasks to the CEFR, </w:t>
      </w:r>
      <w:r w:rsidRPr="00CD7490">
        <w:rPr>
          <w:rFonts w:ascii="Times New Roman" w:eastAsia="Times New Roman" w:hAnsi="Times New Roman" w:cs="Times New Roman"/>
          <w:i/>
          <w:color w:val="333333"/>
          <w:sz w:val="24"/>
          <w:szCs w:val="24"/>
          <w:highlight w:val="white"/>
          <w:lang w:val="en-US"/>
        </w:rPr>
        <w:t>Language Assessment Quarterly, 17</w:t>
      </w:r>
      <w:r w:rsidRPr="00CD7490">
        <w:rPr>
          <w:rFonts w:ascii="Times New Roman" w:eastAsia="Times New Roman" w:hAnsi="Times New Roman" w:cs="Times New Roman"/>
          <w:color w:val="333333"/>
          <w:sz w:val="24"/>
          <w:szCs w:val="24"/>
          <w:highlight w:val="white"/>
          <w:lang w:val="en-US"/>
        </w:rPr>
        <w:t>(3), 262-281. https://doi.org/ 10.1080/15434303.2020.1754828</w:t>
      </w:r>
    </w:p>
    <w:p w14:paraId="0B4E8209" w14:textId="77777777" w:rsidR="00D7293F" w:rsidRPr="00CD7490" w:rsidRDefault="00D7293F" w:rsidP="00CD7490">
      <w:pPr>
        <w:spacing w:line="240" w:lineRule="auto"/>
        <w:ind w:left="720" w:hanging="709"/>
        <w:jc w:val="both"/>
        <w:rPr>
          <w:rFonts w:ascii="Times New Roman" w:eastAsia="Times New Roman" w:hAnsi="Times New Roman" w:cs="Times New Roman"/>
          <w:sz w:val="24"/>
          <w:szCs w:val="24"/>
          <w:highlight w:val="yellow"/>
          <w:lang w:val="en-US"/>
        </w:rPr>
      </w:pPr>
      <w:r w:rsidRPr="00CD7490">
        <w:rPr>
          <w:rFonts w:ascii="Times New Roman" w:eastAsia="Times New Roman" w:hAnsi="Times New Roman" w:cs="Times New Roman"/>
          <w:sz w:val="24"/>
          <w:szCs w:val="24"/>
          <w:lang w:val="en-US"/>
        </w:rPr>
        <w:t xml:space="preserve"> Hismanoglu, M. (2013). Does English Language Teacher Education Curriculum Promote CEFR Awareness of Prospective EFL Teachers? </w:t>
      </w:r>
      <w:r w:rsidRPr="00CD7490">
        <w:rPr>
          <w:rFonts w:ascii="Times New Roman" w:eastAsia="Times New Roman" w:hAnsi="Times New Roman" w:cs="Times New Roman"/>
          <w:i/>
          <w:sz w:val="24"/>
          <w:szCs w:val="24"/>
          <w:lang w:val="en-US"/>
        </w:rPr>
        <w:t>Procedia - Social and Behavioral Sciences</w:t>
      </w:r>
      <w:r w:rsidRPr="00CD7490">
        <w:rPr>
          <w:rFonts w:ascii="Times New Roman" w:eastAsia="Times New Roman" w:hAnsi="Times New Roman" w:cs="Times New Roman"/>
          <w:sz w:val="24"/>
          <w:szCs w:val="24"/>
          <w:lang w:val="en-US"/>
        </w:rPr>
        <w:t xml:space="preserve">, </w:t>
      </w:r>
      <w:r w:rsidRPr="00CD7490">
        <w:rPr>
          <w:rFonts w:ascii="Times New Roman" w:eastAsia="Times New Roman" w:hAnsi="Times New Roman" w:cs="Times New Roman"/>
          <w:i/>
          <w:sz w:val="24"/>
          <w:szCs w:val="24"/>
          <w:lang w:val="en-US"/>
        </w:rPr>
        <w:t>93</w:t>
      </w:r>
      <w:r w:rsidRPr="00CD7490">
        <w:rPr>
          <w:rFonts w:ascii="Times New Roman" w:eastAsia="Times New Roman" w:hAnsi="Times New Roman" w:cs="Times New Roman"/>
          <w:sz w:val="24"/>
          <w:szCs w:val="24"/>
          <w:lang w:val="en-US"/>
        </w:rPr>
        <w:t xml:space="preserve">, 938-945. </w:t>
      </w:r>
      <w:r w:rsidRPr="00CD7490">
        <w:rPr>
          <w:rFonts w:ascii="Times New Roman" w:eastAsia="Times New Roman" w:hAnsi="Times New Roman" w:cs="Times New Roman"/>
          <w:color w:val="555555"/>
          <w:sz w:val="24"/>
          <w:szCs w:val="24"/>
          <w:highlight w:val="white"/>
          <w:lang w:val="en-US"/>
        </w:rPr>
        <w:t>https://doi.org/10.1016/j.sbspro.2013.09.307</w:t>
      </w:r>
    </w:p>
    <w:p w14:paraId="5DDF5461" w14:textId="4231430C"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Huang, L. F., Kubelec, S., Keng, N., &amp; Hsu, L. H. (2018). Evaluating CEFR rater performance through the analysis of spoken learner corpora. </w:t>
      </w:r>
      <w:r w:rsidRPr="00CD7490">
        <w:rPr>
          <w:rFonts w:ascii="Times New Roman" w:eastAsia="Times New Roman" w:hAnsi="Times New Roman" w:cs="Times New Roman"/>
          <w:i/>
          <w:color w:val="222222"/>
          <w:sz w:val="24"/>
          <w:szCs w:val="24"/>
          <w:highlight w:val="white"/>
          <w:lang w:val="en-US"/>
        </w:rPr>
        <w:t>Language Testing in Asia</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8</w:t>
      </w:r>
      <w:r w:rsidRPr="00CD7490">
        <w:rPr>
          <w:rFonts w:ascii="Times New Roman" w:eastAsia="Times New Roman" w:hAnsi="Times New Roman" w:cs="Times New Roman"/>
          <w:color w:val="222222"/>
          <w:sz w:val="24"/>
          <w:szCs w:val="24"/>
          <w:highlight w:val="white"/>
          <w:lang w:val="en-US"/>
        </w:rPr>
        <w:t xml:space="preserve">(1), 1-17.   </w:t>
      </w:r>
      <w:r w:rsidR="00FA3D7E">
        <w:fldChar w:fldCharType="begin"/>
      </w:r>
      <w:r w:rsidR="00FA3D7E" w:rsidRPr="00FA3D7E">
        <w:rPr>
          <w:lang w:val="en-US"/>
          <w:rPrChange w:id="0" w:author="Gloria Luque" w:date="2024-01-25T07:47:00Z">
            <w:rPr/>
          </w:rPrChange>
        </w:rPr>
        <w:instrText xml:space="preserve"> HYPERLINK "https://doi.org/10.1186/s40468-018-0069-0" </w:instrText>
      </w:r>
      <w:r w:rsidR="00FA3D7E">
        <w:fldChar w:fldCharType="separate"/>
      </w:r>
      <w:r w:rsidR="00346AC4" w:rsidRPr="00CD7490">
        <w:rPr>
          <w:rStyle w:val="Hipervnculo"/>
          <w:rFonts w:ascii="Times New Roman" w:eastAsia="Times New Roman" w:hAnsi="Times New Roman" w:cs="Times New Roman"/>
          <w:sz w:val="24"/>
          <w:szCs w:val="24"/>
          <w:highlight w:val="white"/>
          <w:lang w:val="en-US"/>
        </w:rPr>
        <w:t>https://doi.org/10.1186/s40468-018-0069-0</w:t>
      </w:r>
      <w:r w:rsidR="00FA3D7E">
        <w:rPr>
          <w:rStyle w:val="Hipervnculo"/>
          <w:rFonts w:ascii="Times New Roman" w:eastAsia="Times New Roman" w:hAnsi="Times New Roman" w:cs="Times New Roman"/>
          <w:sz w:val="24"/>
          <w:szCs w:val="24"/>
          <w:highlight w:val="white"/>
          <w:lang w:val="en-US"/>
        </w:rPr>
        <w:fldChar w:fldCharType="end"/>
      </w:r>
    </w:p>
    <w:p w14:paraId="35FF774B" w14:textId="70804FB7" w:rsidR="00346AC4" w:rsidRPr="00CD7490" w:rsidRDefault="00346AC4" w:rsidP="00CD7490">
      <w:pPr>
        <w:spacing w:line="240" w:lineRule="auto"/>
        <w:ind w:left="720" w:hanging="709"/>
        <w:jc w:val="both"/>
        <w:rPr>
          <w:rFonts w:ascii="Times New Roman" w:eastAsia="Times New Roman" w:hAnsi="Times New Roman" w:cs="Times New Roman"/>
          <w:color w:val="333333"/>
          <w:sz w:val="24"/>
          <w:szCs w:val="24"/>
          <w:highlight w:val="white"/>
          <w:lang w:val="en-US"/>
        </w:rPr>
      </w:pPr>
      <w:r w:rsidRPr="00CD7490">
        <w:rPr>
          <w:rFonts w:ascii="Times New Roman" w:eastAsia="Times New Roman" w:hAnsi="Times New Roman" w:cs="Times New Roman"/>
          <w:color w:val="333333"/>
          <w:sz w:val="24"/>
          <w:szCs w:val="24"/>
          <w:lang w:val="en-US"/>
        </w:rPr>
        <w:t xml:space="preserve">Hulstijn, J. H. (2007). The shaky ground beneath the CEFR: quantitative and qualitative dimensions of language proficiency. </w:t>
      </w:r>
      <w:r w:rsidRPr="00CD7490">
        <w:rPr>
          <w:rFonts w:ascii="Times New Roman" w:eastAsia="Times New Roman" w:hAnsi="Times New Roman" w:cs="Times New Roman"/>
          <w:i/>
          <w:color w:val="333333"/>
          <w:sz w:val="24"/>
          <w:szCs w:val="24"/>
          <w:lang w:val="en-US"/>
        </w:rPr>
        <w:t>The Modern Language Journal</w:t>
      </w:r>
      <w:r w:rsidRPr="00CD7490">
        <w:rPr>
          <w:rFonts w:ascii="Times New Roman" w:eastAsia="Times New Roman" w:hAnsi="Times New Roman" w:cs="Times New Roman"/>
          <w:color w:val="333333"/>
          <w:sz w:val="24"/>
          <w:szCs w:val="24"/>
          <w:lang w:val="en-US"/>
        </w:rPr>
        <w:t xml:space="preserve">, </w:t>
      </w:r>
      <w:r w:rsidRPr="00CD7490">
        <w:rPr>
          <w:rFonts w:ascii="Times New Roman" w:eastAsia="Times New Roman" w:hAnsi="Times New Roman" w:cs="Times New Roman"/>
          <w:i/>
          <w:color w:val="333333"/>
          <w:sz w:val="24"/>
          <w:szCs w:val="24"/>
          <w:lang w:val="en-US"/>
        </w:rPr>
        <w:t>91</w:t>
      </w:r>
      <w:r w:rsidRPr="00CD7490">
        <w:rPr>
          <w:rFonts w:ascii="Times New Roman" w:eastAsia="Times New Roman" w:hAnsi="Times New Roman" w:cs="Times New Roman"/>
          <w:color w:val="333333"/>
          <w:sz w:val="24"/>
          <w:szCs w:val="24"/>
          <w:lang w:val="en-US"/>
        </w:rPr>
        <w:t>(4)</w:t>
      </w:r>
      <w:r w:rsidR="00E90CDA" w:rsidRPr="00CD7490">
        <w:rPr>
          <w:rFonts w:ascii="Times New Roman" w:eastAsia="Times New Roman" w:hAnsi="Times New Roman" w:cs="Times New Roman"/>
          <w:color w:val="333333"/>
          <w:sz w:val="24"/>
          <w:szCs w:val="24"/>
          <w:lang w:val="en-US"/>
        </w:rPr>
        <w:t>,</w:t>
      </w:r>
      <w:r w:rsidRPr="00CD7490">
        <w:rPr>
          <w:rFonts w:ascii="Times New Roman" w:eastAsia="Times New Roman" w:hAnsi="Times New Roman" w:cs="Times New Roman"/>
          <w:color w:val="333333"/>
          <w:sz w:val="24"/>
          <w:szCs w:val="24"/>
          <w:lang w:val="en-US"/>
        </w:rPr>
        <w:t xml:space="preserve"> 663–7. https://doi.org/10.1111/j.1540-4781.2007.00627_5.x</w:t>
      </w:r>
    </w:p>
    <w:p w14:paraId="5BB50785" w14:textId="77E29CB3"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color w:val="222222"/>
          <w:sz w:val="24"/>
          <w:szCs w:val="24"/>
          <w:highlight w:val="white"/>
          <w:lang w:val="en-US"/>
        </w:rPr>
        <w:t xml:space="preserve">Little, D. (2007). The Common European Framework of Reference for Languages: Perspectives on the making of supranational language education policy. </w:t>
      </w:r>
      <w:r w:rsidRPr="00CD7490">
        <w:rPr>
          <w:rFonts w:ascii="Times New Roman" w:eastAsia="Times New Roman" w:hAnsi="Times New Roman" w:cs="Times New Roman"/>
          <w:i/>
          <w:color w:val="222222"/>
          <w:sz w:val="24"/>
          <w:szCs w:val="24"/>
          <w:highlight w:val="white"/>
          <w:lang w:val="en-US"/>
        </w:rPr>
        <w:t>The Modern Language Journal</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91</w:t>
      </w:r>
      <w:r w:rsidRPr="00CD7490">
        <w:rPr>
          <w:rFonts w:ascii="Times New Roman" w:eastAsia="Times New Roman" w:hAnsi="Times New Roman" w:cs="Times New Roman"/>
          <w:color w:val="222222"/>
          <w:sz w:val="24"/>
          <w:szCs w:val="24"/>
          <w:highlight w:val="white"/>
          <w:lang w:val="en-US"/>
        </w:rPr>
        <w:t>(4), 645-655.</w:t>
      </w:r>
      <w:r w:rsidR="00B262D8"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color w:val="222222"/>
          <w:sz w:val="24"/>
          <w:szCs w:val="24"/>
          <w:highlight w:val="white"/>
          <w:lang w:val="en-US"/>
        </w:rPr>
        <w:t>10.1111/j.1540-4781.2007.00627_2.x</w:t>
      </w:r>
    </w:p>
    <w:p w14:paraId="4AEE63F0" w14:textId="2AD30765" w:rsidR="00D7293F" w:rsidRPr="00CD7490" w:rsidRDefault="00D7293F" w:rsidP="00CD7490">
      <w:pPr>
        <w:spacing w:line="240" w:lineRule="auto"/>
        <w:ind w:left="720" w:hanging="709"/>
        <w:jc w:val="both"/>
        <w:rPr>
          <w:rFonts w:ascii="Times New Roman" w:eastAsia="Times New Roman" w:hAnsi="Times New Roman" w:cs="Times New Roman"/>
          <w:color w:val="333333"/>
          <w:sz w:val="24"/>
          <w:szCs w:val="24"/>
          <w:lang w:val="en-US"/>
        </w:rPr>
      </w:pPr>
      <w:r w:rsidRPr="00CD7490">
        <w:rPr>
          <w:rFonts w:ascii="Times New Roman" w:eastAsia="Times New Roman" w:hAnsi="Times New Roman" w:cs="Times New Roman"/>
          <w:color w:val="333333"/>
          <w:sz w:val="24"/>
          <w:szCs w:val="24"/>
          <w:lang w:val="en-US"/>
        </w:rPr>
        <w:t xml:space="preserve">Little, D. (2011). The Common European Framework of Reference for Languages: a research agenda. </w:t>
      </w:r>
      <w:r w:rsidRPr="00CD7490">
        <w:rPr>
          <w:rFonts w:ascii="Times New Roman" w:eastAsia="Times New Roman" w:hAnsi="Times New Roman" w:cs="Times New Roman"/>
          <w:i/>
          <w:color w:val="333333"/>
          <w:sz w:val="24"/>
          <w:szCs w:val="24"/>
          <w:lang w:val="en-US"/>
        </w:rPr>
        <w:t>Language Teaching, 44</w:t>
      </w:r>
      <w:r w:rsidRPr="00CD7490">
        <w:rPr>
          <w:rFonts w:ascii="Times New Roman" w:eastAsia="Times New Roman" w:hAnsi="Times New Roman" w:cs="Times New Roman"/>
          <w:color w:val="333333"/>
          <w:sz w:val="24"/>
          <w:szCs w:val="24"/>
          <w:lang w:val="en-US"/>
        </w:rPr>
        <w:t xml:space="preserve">(3), 381-393.  </w:t>
      </w:r>
      <w:r w:rsidR="00B262D8"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color w:val="333333"/>
          <w:sz w:val="24"/>
          <w:szCs w:val="24"/>
          <w:lang w:val="en-US"/>
        </w:rPr>
        <w:t>10.1017/S0261444811000097</w:t>
      </w:r>
    </w:p>
    <w:p w14:paraId="5F2B2777" w14:textId="499E1DCB" w:rsidR="009F3394" w:rsidRPr="00CD7490" w:rsidRDefault="009F3394" w:rsidP="00CD7490">
      <w:pPr>
        <w:spacing w:line="240" w:lineRule="auto"/>
        <w:ind w:left="720" w:hanging="709"/>
        <w:jc w:val="both"/>
        <w:rPr>
          <w:rFonts w:ascii="Times New Roman" w:eastAsia="Times New Roman" w:hAnsi="Times New Roman" w:cs="Times New Roman"/>
          <w:color w:val="333333"/>
          <w:sz w:val="24"/>
          <w:szCs w:val="24"/>
          <w:lang w:val="en-US"/>
        </w:rPr>
      </w:pPr>
      <w:r w:rsidRPr="00CD7490">
        <w:rPr>
          <w:rFonts w:ascii="Times New Roman" w:eastAsia="Times New Roman" w:hAnsi="Times New Roman" w:cs="Times New Roman"/>
          <w:color w:val="333333"/>
          <w:sz w:val="24"/>
          <w:szCs w:val="24"/>
          <w:highlight w:val="yellow"/>
          <w:lang w:val="en-US"/>
        </w:rPr>
        <w:t>Little, D. (2018). The CEFR Companion Volume with New Descriptors:</w:t>
      </w:r>
      <w:r w:rsidR="002856F3" w:rsidRPr="00CD7490">
        <w:rPr>
          <w:rFonts w:ascii="Times New Roman" w:eastAsia="Times New Roman" w:hAnsi="Times New Roman" w:cs="Times New Roman"/>
          <w:color w:val="333333"/>
          <w:sz w:val="24"/>
          <w:szCs w:val="24"/>
          <w:highlight w:val="yellow"/>
          <w:lang w:val="en-US"/>
        </w:rPr>
        <w:t xml:space="preserve"> </w:t>
      </w:r>
      <w:r w:rsidRPr="00CD7490">
        <w:rPr>
          <w:rFonts w:ascii="Times New Roman" w:eastAsia="Times New Roman" w:hAnsi="Times New Roman" w:cs="Times New Roman"/>
          <w:color w:val="333333"/>
          <w:sz w:val="24"/>
          <w:szCs w:val="24"/>
          <w:highlight w:val="yellow"/>
          <w:lang w:val="en-US"/>
        </w:rPr>
        <w:t>Uses and Implications for Language Testing and Assessment. Final</w:t>
      </w:r>
      <w:r w:rsidRPr="00CD7490">
        <w:rPr>
          <w:rFonts w:ascii="Times New Roman" w:eastAsia="Times New Roman" w:hAnsi="Times New Roman" w:cs="Times New Roman"/>
          <w:color w:val="333333"/>
          <w:sz w:val="24"/>
          <w:szCs w:val="24"/>
          <w:highlight w:val="yellow"/>
          <w:lang w:val="en-US"/>
        </w:rPr>
        <w:tab/>
        <w:t>Report</w:t>
      </w:r>
      <w:r w:rsidRPr="00CD7490">
        <w:rPr>
          <w:rFonts w:ascii="Times New Roman" w:eastAsia="Times New Roman" w:hAnsi="Times New Roman" w:cs="Times New Roman"/>
          <w:color w:val="333333"/>
          <w:sz w:val="24"/>
          <w:szCs w:val="24"/>
          <w:highlight w:val="yellow"/>
          <w:lang w:val="en-US"/>
        </w:rPr>
        <w:tab/>
        <w:t xml:space="preserve">VIth EALTA CEFR SIG. </w:t>
      </w:r>
      <w:r w:rsidR="005833FB" w:rsidRPr="00CD7490">
        <w:rPr>
          <w:rFonts w:ascii="Times New Roman" w:eastAsia="Times New Roman" w:hAnsi="Times New Roman" w:cs="Times New Roman"/>
          <w:color w:val="333333"/>
          <w:sz w:val="24"/>
          <w:szCs w:val="24"/>
          <w:highlight w:val="yellow"/>
          <w:lang w:val="en-US"/>
        </w:rPr>
        <w:t>Dublin, January 2018.</w:t>
      </w:r>
      <w:r w:rsidR="005833FB" w:rsidRPr="00CD7490">
        <w:rPr>
          <w:rFonts w:ascii="Times New Roman" w:eastAsia="Times New Roman" w:hAnsi="Times New Roman" w:cs="Times New Roman"/>
          <w:color w:val="333333"/>
          <w:sz w:val="24"/>
          <w:szCs w:val="24"/>
          <w:lang w:val="en-US"/>
        </w:rPr>
        <w:t xml:space="preserve"> </w:t>
      </w:r>
    </w:p>
    <w:p w14:paraId="367CDA3C" w14:textId="5EEBD743"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Little, D. (2020). Plurilingualism, learner autonomy and constructive alignment: A vision for university language centres in the 21st century. </w:t>
      </w:r>
      <w:r w:rsidRPr="00CD7490">
        <w:rPr>
          <w:rFonts w:ascii="Times New Roman" w:eastAsia="Times New Roman" w:hAnsi="Times New Roman" w:cs="Times New Roman"/>
          <w:i/>
          <w:color w:val="222222"/>
          <w:sz w:val="24"/>
          <w:szCs w:val="24"/>
          <w:highlight w:val="white"/>
          <w:lang w:val="en-US"/>
        </w:rPr>
        <w:t>Language Learning in Higher Education</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10</w:t>
      </w:r>
      <w:r w:rsidRPr="00CD7490">
        <w:rPr>
          <w:rFonts w:ascii="Times New Roman" w:eastAsia="Times New Roman" w:hAnsi="Times New Roman" w:cs="Times New Roman"/>
          <w:color w:val="222222"/>
          <w:sz w:val="24"/>
          <w:szCs w:val="24"/>
          <w:highlight w:val="white"/>
          <w:lang w:val="en-US"/>
        </w:rPr>
        <w:t xml:space="preserve">(2), 271-286. </w:t>
      </w:r>
      <w:r w:rsidR="00B262D8" w:rsidRPr="00CD7490">
        <w:rPr>
          <w:rFonts w:ascii="Times New Roman" w:eastAsia="Times New Roman" w:hAnsi="Times New Roman" w:cs="Times New Roman"/>
          <w:color w:val="232323"/>
          <w:sz w:val="24"/>
          <w:szCs w:val="24"/>
          <w:highlight w:val="white"/>
          <w:lang w:val="en-US"/>
        </w:rPr>
        <w:t xml:space="preserve"> https://doi.org/</w:t>
      </w:r>
      <w:r w:rsidRPr="00CD7490">
        <w:rPr>
          <w:rFonts w:ascii="Times New Roman" w:eastAsia="Times New Roman" w:hAnsi="Times New Roman" w:cs="Times New Roman"/>
          <w:color w:val="222222"/>
          <w:sz w:val="24"/>
          <w:szCs w:val="24"/>
          <w:highlight w:val="white"/>
          <w:lang w:val="en-US"/>
        </w:rPr>
        <w:t>10.1515/cercles-2020-2019</w:t>
      </w:r>
    </w:p>
    <w:p w14:paraId="6ECD06C9" w14:textId="77777777" w:rsidR="00D7293F" w:rsidRPr="00CD7490" w:rsidRDefault="00D7293F" w:rsidP="00CD7490">
      <w:pPr>
        <w:spacing w:line="240" w:lineRule="auto"/>
        <w:ind w:left="720" w:hanging="709"/>
        <w:jc w:val="both"/>
        <w:rPr>
          <w:rFonts w:ascii="Times New Roman" w:hAnsi="Times New Roman" w:cs="Times New Roman"/>
          <w:color w:val="222222"/>
          <w:sz w:val="24"/>
          <w:szCs w:val="24"/>
          <w:highlight w:val="white"/>
          <w:lang w:val="en-US"/>
        </w:rPr>
      </w:pPr>
      <w:r w:rsidRPr="00CD7490">
        <w:rPr>
          <w:rFonts w:ascii="Times New Roman" w:hAnsi="Times New Roman" w:cs="Times New Roman"/>
          <w:color w:val="222222"/>
          <w:sz w:val="24"/>
          <w:szCs w:val="24"/>
          <w:highlight w:val="white"/>
          <w:lang w:val="en-US"/>
        </w:rPr>
        <w:t xml:space="preserve">Little, D., &amp; Figueras, N. (Eds.). (2022). </w:t>
      </w:r>
      <w:r w:rsidRPr="00CD7490">
        <w:rPr>
          <w:rFonts w:ascii="Times New Roman" w:hAnsi="Times New Roman" w:cs="Times New Roman"/>
          <w:i/>
          <w:color w:val="222222"/>
          <w:sz w:val="24"/>
          <w:szCs w:val="24"/>
          <w:highlight w:val="white"/>
          <w:lang w:val="en-US"/>
        </w:rPr>
        <w:t>Reflecting on the Common European Framework of Reference for Languages and Its Companion Volume</w:t>
      </w:r>
      <w:r w:rsidRPr="00CD7490">
        <w:rPr>
          <w:rFonts w:ascii="Times New Roman" w:hAnsi="Times New Roman" w:cs="Times New Roman"/>
          <w:color w:val="222222"/>
          <w:sz w:val="24"/>
          <w:szCs w:val="24"/>
          <w:highlight w:val="white"/>
          <w:lang w:val="en-US"/>
        </w:rPr>
        <w:t>. Multilingual Matters.</w:t>
      </w:r>
    </w:p>
    <w:p w14:paraId="4A8A48CD" w14:textId="690DE37E" w:rsidR="00D7293F" w:rsidRPr="00CD7490" w:rsidRDefault="00D7293F" w:rsidP="00CD7490">
      <w:pPr>
        <w:spacing w:line="240" w:lineRule="auto"/>
        <w:ind w:left="720" w:hanging="709"/>
        <w:jc w:val="both"/>
        <w:rPr>
          <w:rFonts w:ascii="Times New Roman" w:eastAsia="Times New Roman" w:hAnsi="Times New Roman" w:cs="Times New Roman"/>
          <w:color w:val="333333"/>
          <w:sz w:val="24"/>
          <w:szCs w:val="24"/>
          <w:highlight w:val="white"/>
          <w:lang w:val="en-US"/>
        </w:rPr>
      </w:pPr>
      <w:r w:rsidRPr="00CD7490">
        <w:rPr>
          <w:rFonts w:ascii="Times New Roman" w:eastAsia="Times New Roman" w:hAnsi="Times New Roman" w:cs="Times New Roman"/>
          <w:color w:val="333333"/>
          <w:sz w:val="24"/>
          <w:szCs w:val="24"/>
          <w:highlight w:val="white"/>
          <w:lang w:val="en-US"/>
        </w:rPr>
        <w:t>Mejía, A</w:t>
      </w:r>
      <w:r w:rsidR="00CC38CB" w:rsidRPr="00CD7490">
        <w:rPr>
          <w:rFonts w:ascii="Times New Roman" w:eastAsia="Times New Roman" w:hAnsi="Times New Roman" w:cs="Times New Roman"/>
          <w:color w:val="333333"/>
          <w:sz w:val="24"/>
          <w:szCs w:val="24"/>
          <w:highlight w:val="white"/>
          <w:lang w:val="en-US"/>
        </w:rPr>
        <w:t xml:space="preserve">. </w:t>
      </w:r>
      <w:r w:rsidRPr="00CD7490">
        <w:rPr>
          <w:rFonts w:ascii="Times New Roman" w:eastAsia="Times New Roman" w:hAnsi="Times New Roman" w:cs="Times New Roman"/>
          <w:color w:val="333333"/>
          <w:sz w:val="24"/>
          <w:szCs w:val="24"/>
          <w:highlight w:val="white"/>
          <w:lang w:val="en-US"/>
        </w:rPr>
        <w:t>M.</w:t>
      </w:r>
      <w:r w:rsidR="00CC38CB" w:rsidRPr="00CD7490">
        <w:rPr>
          <w:rFonts w:ascii="Times New Roman" w:eastAsia="Times New Roman" w:hAnsi="Times New Roman" w:cs="Times New Roman"/>
          <w:color w:val="333333"/>
          <w:sz w:val="24"/>
          <w:szCs w:val="24"/>
          <w:highlight w:val="white"/>
          <w:lang w:val="en-US"/>
        </w:rPr>
        <w:t>,</w:t>
      </w:r>
      <w:r w:rsidRPr="00CD7490">
        <w:rPr>
          <w:rFonts w:ascii="Times New Roman" w:eastAsia="Times New Roman" w:hAnsi="Times New Roman" w:cs="Times New Roman"/>
          <w:color w:val="333333"/>
          <w:sz w:val="24"/>
          <w:szCs w:val="24"/>
          <w:highlight w:val="white"/>
          <w:lang w:val="en-US"/>
        </w:rPr>
        <w:t xml:space="preserve"> 2011. The National Bilingual Programme in Colombia: Imposition of Opportunity? </w:t>
      </w:r>
      <w:r w:rsidRPr="00CD7490">
        <w:rPr>
          <w:rFonts w:ascii="Times New Roman" w:eastAsia="Times New Roman" w:hAnsi="Times New Roman" w:cs="Times New Roman"/>
          <w:i/>
          <w:color w:val="333333"/>
          <w:sz w:val="24"/>
          <w:szCs w:val="24"/>
          <w:highlight w:val="white"/>
          <w:lang w:val="en-US"/>
        </w:rPr>
        <w:t>Journal of Applied Language Studies</w:t>
      </w:r>
      <w:r w:rsidRPr="00CD7490">
        <w:rPr>
          <w:rFonts w:ascii="Times New Roman" w:eastAsia="Times New Roman" w:hAnsi="Times New Roman" w:cs="Times New Roman"/>
          <w:color w:val="333333"/>
          <w:sz w:val="24"/>
          <w:szCs w:val="24"/>
          <w:highlight w:val="white"/>
          <w:lang w:val="en-US"/>
        </w:rPr>
        <w:t xml:space="preserve"> </w:t>
      </w:r>
      <w:r w:rsidRPr="00CD7490">
        <w:rPr>
          <w:rFonts w:ascii="Times New Roman" w:eastAsia="Times New Roman" w:hAnsi="Times New Roman" w:cs="Times New Roman"/>
          <w:i/>
          <w:color w:val="333333"/>
          <w:sz w:val="24"/>
          <w:szCs w:val="24"/>
          <w:highlight w:val="white"/>
          <w:lang w:val="en-US"/>
        </w:rPr>
        <w:t>5</w:t>
      </w:r>
      <w:r w:rsidRPr="00CD7490">
        <w:rPr>
          <w:rFonts w:ascii="Times New Roman" w:eastAsia="Times New Roman" w:hAnsi="Times New Roman" w:cs="Times New Roman"/>
          <w:color w:val="333333"/>
          <w:sz w:val="24"/>
          <w:szCs w:val="24"/>
          <w:highlight w:val="white"/>
          <w:lang w:val="en-US"/>
        </w:rPr>
        <w:t xml:space="preserve">(3): 7–17. </w:t>
      </w:r>
    </w:p>
    <w:p w14:paraId="17D810E1" w14:textId="5C19BA65" w:rsidR="0087466D" w:rsidRPr="00CD7490" w:rsidRDefault="0087466D" w:rsidP="00CD7490">
      <w:pPr>
        <w:spacing w:line="240" w:lineRule="auto"/>
        <w:ind w:left="720" w:hanging="709"/>
        <w:jc w:val="both"/>
        <w:rPr>
          <w:rFonts w:ascii="Times New Roman" w:eastAsia="Times New Roman" w:hAnsi="Times New Roman" w:cs="Times New Roman"/>
          <w:sz w:val="24"/>
          <w:szCs w:val="24"/>
          <w:highlight w:val="white"/>
          <w:lang w:val="en-US"/>
        </w:rPr>
      </w:pPr>
      <w:r w:rsidRPr="00CD7490">
        <w:rPr>
          <w:rFonts w:ascii="Times New Roman" w:eastAsia="Times New Roman" w:hAnsi="Times New Roman" w:cs="Times New Roman"/>
          <w:color w:val="333333"/>
          <w:sz w:val="24"/>
          <w:szCs w:val="24"/>
          <w:highlight w:val="white"/>
          <w:lang w:val="en-US"/>
        </w:rPr>
        <w:t xml:space="preserve">Melo-Pfeifer, S. &amp; Helmchen, C. (2022). Representations of mediation in foreign language education: an exploratory case study with different stakeholders in Hamburg. </w:t>
      </w:r>
      <w:r w:rsidRPr="00CD7490">
        <w:rPr>
          <w:rFonts w:ascii="Times New Roman" w:eastAsia="Times New Roman" w:hAnsi="Times New Roman" w:cs="Times New Roman"/>
          <w:color w:val="222222"/>
          <w:sz w:val="24"/>
          <w:szCs w:val="24"/>
          <w:lang w:val="en-US"/>
        </w:rPr>
        <w:t xml:space="preserve">In B. North, E. Piccardo, T. Goodier, D. Fasoglio, R. Margonis-Pasinetti &amp; B. Rüschoff (Eds.). </w:t>
      </w:r>
      <w:r w:rsidRPr="00CD7490">
        <w:rPr>
          <w:rFonts w:ascii="Times New Roman" w:eastAsia="Times New Roman" w:hAnsi="Times New Roman" w:cs="Times New Roman"/>
          <w:i/>
          <w:color w:val="222222"/>
          <w:sz w:val="24"/>
          <w:szCs w:val="24"/>
          <w:lang w:val="en-US"/>
        </w:rPr>
        <w:t>Enriching 21</w:t>
      </w:r>
      <w:r w:rsidRPr="00CD7490">
        <w:rPr>
          <w:rFonts w:ascii="Times New Roman" w:eastAsia="Times New Roman" w:hAnsi="Times New Roman" w:cs="Times New Roman"/>
          <w:i/>
          <w:color w:val="222222"/>
          <w:sz w:val="24"/>
          <w:szCs w:val="24"/>
          <w:vertAlign w:val="superscript"/>
          <w:lang w:val="en-US"/>
        </w:rPr>
        <w:t>st</w:t>
      </w:r>
      <w:r w:rsidRPr="00CD7490">
        <w:rPr>
          <w:rFonts w:ascii="Times New Roman" w:eastAsia="Times New Roman" w:hAnsi="Times New Roman" w:cs="Times New Roman"/>
          <w:i/>
          <w:color w:val="222222"/>
          <w:sz w:val="24"/>
          <w:szCs w:val="24"/>
          <w:lang w:val="en-US"/>
        </w:rPr>
        <w:t>-century language education. The CEFR Companion volume in practice</w:t>
      </w:r>
      <w:r w:rsidRPr="00CD7490">
        <w:rPr>
          <w:rFonts w:ascii="Times New Roman" w:eastAsia="Times New Roman" w:hAnsi="Times New Roman" w:cs="Times New Roman"/>
          <w:color w:val="222222"/>
          <w:sz w:val="24"/>
          <w:szCs w:val="24"/>
          <w:lang w:val="en-US"/>
        </w:rPr>
        <w:t xml:space="preserve"> (pp. 215-224). Council of Europe.</w:t>
      </w:r>
    </w:p>
    <w:p w14:paraId="3617BD03" w14:textId="168D6520"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Moonen, M., Stoutjesdijk, E., de Graaff, R., &amp; Corda, A. (2013). Implementing CEFR in secondary education: impact on FL teachers' educational and assessment practice. </w:t>
      </w:r>
      <w:r w:rsidRPr="00CD7490">
        <w:rPr>
          <w:rFonts w:ascii="Times New Roman" w:eastAsia="Times New Roman" w:hAnsi="Times New Roman" w:cs="Times New Roman"/>
          <w:i/>
          <w:sz w:val="24"/>
          <w:szCs w:val="24"/>
          <w:lang w:val="en-US"/>
        </w:rPr>
        <w:t>International Journal of Applied Linguistics</w:t>
      </w:r>
      <w:r w:rsidRPr="00CD7490">
        <w:rPr>
          <w:rFonts w:ascii="Times New Roman" w:eastAsia="Times New Roman" w:hAnsi="Times New Roman" w:cs="Times New Roman"/>
          <w:sz w:val="24"/>
          <w:szCs w:val="24"/>
          <w:lang w:val="en-US"/>
        </w:rPr>
        <w:t xml:space="preserve"> </w:t>
      </w:r>
      <w:r w:rsidRPr="00CD7490">
        <w:rPr>
          <w:rFonts w:ascii="Times New Roman" w:eastAsia="Times New Roman" w:hAnsi="Times New Roman" w:cs="Times New Roman"/>
          <w:i/>
          <w:sz w:val="24"/>
          <w:szCs w:val="24"/>
          <w:lang w:val="en-US"/>
        </w:rPr>
        <w:t>23</w:t>
      </w:r>
      <w:r w:rsidRPr="00CD7490">
        <w:rPr>
          <w:rFonts w:ascii="Times New Roman" w:eastAsia="Times New Roman" w:hAnsi="Times New Roman" w:cs="Times New Roman"/>
          <w:sz w:val="24"/>
          <w:szCs w:val="24"/>
          <w:lang w:val="en-US"/>
        </w:rPr>
        <w:t>(2), 226-246.</w:t>
      </w:r>
      <w:r w:rsidR="00B262D8" w:rsidRPr="00CD7490">
        <w:rPr>
          <w:rFonts w:ascii="Times New Roman" w:eastAsia="Times New Roman" w:hAnsi="Times New Roman" w:cs="Times New Roman"/>
          <w:color w:val="232323"/>
          <w:sz w:val="24"/>
          <w:szCs w:val="24"/>
          <w:highlight w:val="white"/>
          <w:lang w:val="en-US"/>
        </w:rPr>
        <w:t xml:space="preserve"> https://doi.org/</w:t>
      </w:r>
      <w:r w:rsidRPr="00CD7490">
        <w:rPr>
          <w:rFonts w:ascii="Times New Roman" w:eastAsia="Times New Roman" w:hAnsi="Times New Roman" w:cs="Times New Roman"/>
          <w:sz w:val="24"/>
          <w:szCs w:val="24"/>
          <w:highlight w:val="white"/>
          <w:lang w:val="en-US"/>
        </w:rPr>
        <w:t>10.1111/ijal.12000</w:t>
      </w:r>
    </w:p>
    <w:p w14:paraId="47BADC14" w14:textId="77777777" w:rsidR="00D7293F" w:rsidRPr="00CD7490" w:rsidRDefault="00D7293F" w:rsidP="00CD7490">
      <w:pPr>
        <w:spacing w:line="240" w:lineRule="auto"/>
        <w:ind w:left="720" w:hanging="709"/>
        <w:jc w:val="both"/>
        <w:rPr>
          <w:rFonts w:ascii="Times New Roman" w:eastAsia="Times New Roman" w:hAnsi="Times New Roman" w:cs="Times New Roman"/>
          <w:color w:val="231F20"/>
          <w:sz w:val="24"/>
          <w:szCs w:val="24"/>
          <w:lang w:val="en-US"/>
        </w:rPr>
      </w:pPr>
      <w:r w:rsidRPr="00CD7490">
        <w:rPr>
          <w:rFonts w:ascii="Times New Roman" w:eastAsia="Times New Roman" w:hAnsi="Times New Roman" w:cs="Times New Roman"/>
          <w:color w:val="231F20"/>
          <w:sz w:val="24"/>
          <w:szCs w:val="24"/>
          <w:lang w:val="en-US"/>
        </w:rPr>
        <w:t xml:space="preserve">Nagai, N., &amp; O’Dwyer, F. (2011). The actual and potential impacts of the CEFR on language education in Japan. </w:t>
      </w:r>
      <w:r w:rsidRPr="00CD7490">
        <w:rPr>
          <w:rFonts w:ascii="Times New Roman" w:eastAsia="Times New Roman" w:hAnsi="Times New Roman" w:cs="Times New Roman"/>
          <w:i/>
          <w:color w:val="231F20"/>
          <w:sz w:val="24"/>
          <w:szCs w:val="24"/>
          <w:lang w:val="en-US"/>
        </w:rPr>
        <w:t>Synergies Europe, 6</w:t>
      </w:r>
      <w:r w:rsidRPr="00CD7490">
        <w:rPr>
          <w:rFonts w:ascii="Times New Roman" w:eastAsia="Times New Roman" w:hAnsi="Times New Roman" w:cs="Times New Roman"/>
          <w:color w:val="231F20"/>
          <w:sz w:val="24"/>
          <w:szCs w:val="24"/>
          <w:lang w:val="en-US"/>
        </w:rPr>
        <w:t>, 141-152.</w:t>
      </w:r>
    </w:p>
    <w:p w14:paraId="6699C9C0" w14:textId="496D4A1A"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lang w:val="en-US"/>
        </w:rPr>
      </w:pPr>
      <w:r w:rsidRPr="00CD7490">
        <w:rPr>
          <w:rFonts w:ascii="Times New Roman" w:eastAsia="Times New Roman" w:hAnsi="Times New Roman" w:cs="Times New Roman"/>
          <w:color w:val="222222"/>
          <w:sz w:val="24"/>
          <w:szCs w:val="24"/>
          <w:lang w:val="en-US"/>
        </w:rPr>
        <w:t xml:space="preserve">Negishi, M. (2022). The impact of the CEFR in Japan. In D. Little &amp; N. Figueras (Eds.) </w:t>
      </w:r>
      <w:r w:rsidRPr="00CD7490">
        <w:rPr>
          <w:rFonts w:ascii="Times New Roman" w:eastAsia="Times New Roman" w:hAnsi="Times New Roman" w:cs="Times New Roman"/>
          <w:i/>
          <w:color w:val="222222"/>
          <w:sz w:val="24"/>
          <w:szCs w:val="24"/>
          <w:lang w:val="en-US"/>
        </w:rPr>
        <w:t>Reflecting on the Common European Framework of Reference for Languages and its Companion Volume</w:t>
      </w:r>
      <w:r w:rsidRPr="00CD7490">
        <w:rPr>
          <w:rFonts w:ascii="Times New Roman" w:eastAsia="Times New Roman" w:hAnsi="Times New Roman" w:cs="Times New Roman"/>
          <w:color w:val="222222"/>
          <w:sz w:val="24"/>
          <w:szCs w:val="24"/>
          <w:lang w:val="en-US"/>
        </w:rPr>
        <w:t xml:space="preserve">. (pp. 10-22). Multilingual Matters. </w:t>
      </w:r>
      <w:r w:rsidR="00B262D8" w:rsidRPr="00CD7490">
        <w:rPr>
          <w:rFonts w:ascii="Times New Roman" w:eastAsia="Times New Roman" w:hAnsi="Times New Roman" w:cs="Times New Roman"/>
          <w:color w:val="232323"/>
          <w:sz w:val="24"/>
          <w:szCs w:val="24"/>
          <w:highlight w:val="white"/>
          <w:lang w:val="en-US"/>
        </w:rPr>
        <w:t xml:space="preserve"> https://doi.org/</w:t>
      </w:r>
      <w:r w:rsidRPr="00CD7490">
        <w:rPr>
          <w:rFonts w:ascii="Times New Roman" w:eastAsia="Times New Roman" w:hAnsi="Times New Roman" w:cs="Times New Roman"/>
          <w:color w:val="222222"/>
          <w:sz w:val="24"/>
          <w:szCs w:val="24"/>
          <w:lang w:val="en-US"/>
        </w:rPr>
        <w:t>10.21832/LITTLE0190</w:t>
      </w:r>
    </w:p>
    <w:p w14:paraId="34DDA677" w14:textId="77777777"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color w:val="222222"/>
          <w:sz w:val="24"/>
          <w:szCs w:val="24"/>
          <w:highlight w:val="white"/>
          <w:lang w:val="en-US"/>
        </w:rPr>
        <w:t xml:space="preserve">Ngo, X. M. (2017). Diffusion of the CEFR among Vietnamese teachers: A mixed methods investigation. </w:t>
      </w:r>
      <w:r w:rsidRPr="00CD7490">
        <w:rPr>
          <w:rFonts w:ascii="Times New Roman" w:eastAsia="Times New Roman" w:hAnsi="Times New Roman" w:cs="Times New Roman"/>
          <w:i/>
          <w:color w:val="222222"/>
          <w:sz w:val="24"/>
          <w:szCs w:val="24"/>
          <w:highlight w:val="white"/>
          <w:lang w:val="en-US"/>
        </w:rPr>
        <w:t>Asian EFL Journal</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19</w:t>
      </w:r>
      <w:r w:rsidRPr="00CD7490">
        <w:rPr>
          <w:rFonts w:ascii="Times New Roman" w:eastAsia="Times New Roman" w:hAnsi="Times New Roman" w:cs="Times New Roman"/>
          <w:color w:val="222222"/>
          <w:sz w:val="24"/>
          <w:szCs w:val="24"/>
          <w:highlight w:val="white"/>
          <w:lang w:val="en-US"/>
        </w:rPr>
        <w:t>(1), 7-32.</w:t>
      </w:r>
    </w:p>
    <w:p w14:paraId="3647E34C" w14:textId="00C09A3F"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Nguyen, N. T. (2017). EFL teachers’ perceptions towards the use of the CEFR-V. </w:t>
      </w:r>
      <w:r w:rsidRPr="00CD7490">
        <w:rPr>
          <w:rFonts w:ascii="Times New Roman" w:eastAsia="Times New Roman" w:hAnsi="Times New Roman" w:cs="Times New Roman"/>
          <w:i/>
          <w:sz w:val="24"/>
          <w:szCs w:val="24"/>
          <w:lang w:val="en-US"/>
        </w:rPr>
        <w:t>European Journal of English Language Teaching, 2</w:t>
      </w:r>
      <w:r w:rsidRPr="00CD7490">
        <w:rPr>
          <w:rFonts w:ascii="Times New Roman" w:eastAsia="Times New Roman" w:hAnsi="Times New Roman" w:cs="Times New Roman"/>
          <w:sz w:val="24"/>
          <w:szCs w:val="24"/>
          <w:lang w:val="en-US"/>
        </w:rPr>
        <w:t>(4), 1-13.</w:t>
      </w:r>
      <w:r w:rsidR="00230161" w:rsidRPr="00CD7490">
        <w:rPr>
          <w:rFonts w:ascii="Times New Roman" w:eastAsia="Times New Roman" w:hAnsi="Times New Roman" w:cs="Times New Roman"/>
          <w:sz w:val="24"/>
          <w:szCs w:val="24"/>
          <w:lang w:val="en-US"/>
        </w:rPr>
        <w:t xml:space="preserve"> </w:t>
      </w:r>
      <w:r w:rsidR="00B262D8"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sz w:val="24"/>
          <w:szCs w:val="24"/>
          <w:lang w:val="en-US"/>
        </w:rPr>
        <w:t>10.46827/ejel.v0i0.856</w:t>
      </w:r>
    </w:p>
    <w:p w14:paraId="7EE799B2" w14:textId="77EA0B58" w:rsidR="00D7293F" w:rsidRPr="00CD7490" w:rsidRDefault="00D7293F" w:rsidP="00CD7490">
      <w:pPr>
        <w:spacing w:line="240" w:lineRule="auto"/>
        <w:ind w:left="720" w:hanging="709"/>
        <w:jc w:val="both"/>
        <w:rPr>
          <w:rFonts w:ascii="Times New Roman" w:eastAsia="Times New Roman" w:hAnsi="Times New Roman" w:cs="Times New Roman"/>
          <w:color w:val="006DB4"/>
          <w:sz w:val="24"/>
          <w:szCs w:val="24"/>
          <w:lang w:val="en-US"/>
        </w:rPr>
      </w:pPr>
      <w:r w:rsidRPr="00CD7490">
        <w:rPr>
          <w:rFonts w:ascii="Times New Roman" w:eastAsia="Times New Roman" w:hAnsi="Times New Roman" w:cs="Times New Roman"/>
          <w:color w:val="333333"/>
          <w:sz w:val="24"/>
          <w:szCs w:val="24"/>
        </w:rPr>
        <w:t xml:space="preserve">Nguyen, V. H., &amp; Hamid, M. O. (2021). </w:t>
      </w:r>
      <w:r w:rsidRPr="00CD7490">
        <w:rPr>
          <w:rFonts w:ascii="Times New Roman" w:eastAsia="Times New Roman" w:hAnsi="Times New Roman" w:cs="Times New Roman"/>
          <w:color w:val="333333"/>
          <w:sz w:val="24"/>
          <w:szCs w:val="24"/>
          <w:lang w:val="en-US"/>
        </w:rPr>
        <w:t xml:space="preserve">The CEFR as a national language policy in Vietnam: insights from a sociogenetic analysis. </w:t>
      </w:r>
      <w:r w:rsidRPr="00CD7490">
        <w:rPr>
          <w:rFonts w:ascii="Times New Roman" w:eastAsia="Times New Roman" w:hAnsi="Times New Roman" w:cs="Times New Roman"/>
          <w:i/>
          <w:color w:val="333333"/>
          <w:sz w:val="24"/>
          <w:szCs w:val="24"/>
          <w:lang w:val="en-US"/>
        </w:rPr>
        <w:t>Journal of Multilingual and Multicultural Development, 42</w:t>
      </w:r>
      <w:r w:rsidRPr="00CD7490">
        <w:rPr>
          <w:rFonts w:ascii="Times New Roman" w:eastAsia="Times New Roman" w:hAnsi="Times New Roman" w:cs="Times New Roman"/>
          <w:color w:val="333333"/>
          <w:sz w:val="24"/>
          <w:szCs w:val="24"/>
          <w:lang w:val="en-US"/>
        </w:rPr>
        <w:t xml:space="preserve">(7), 650-662. </w:t>
      </w:r>
      <w:r w:rsidR="00B262D8" w:rsidRPr="00CD7490">
        <w:rPr>
          <w:rFonts w:ascii="Times New Roman" w:eastAsia="Times New Roman" w:hAnsi="Times New Roman" w:cs="Times New Roman"/>
          <w:color w:val="232323"/>
          <w:sz w:val="24"/>
          <w:szCs w:val="24"/>
          <w:highlight w:val="white"/>
          <w:lang w:val="en-US"/>
        </w:rPr>
        <w:t xml:space="preserve"> https://doi.org/</w:t>
      </w:r>
      <w:r w:rsidRPr="00CD7490">
        <w:rPr>
          <w:rFonts w:ascii="Times New Roman" w:eastAsia="Times New Roman" w:hAnsi="Times New Roman" w:cs="Times New Roman"/>
          <w:color w:val="333333"/>
          <w:sz w:val="24"/>
          <w:szCs w:val="24"/>
          <w:lang w:val="en-US"/>
        </w:rPr>
        <w:t>10.1080/01434632.2020.1715416</w:t>
      </w:r>
    </w:p>
    <w:p w14:paraId="16003F9F" w14:textId="77777777"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Noijons, J., Bérešová, J., Breton, G. &amp; Szabó, G. (2011).</w:t>
      </w:r>
      <w:r w:rsidRPr="00CD7490">
        <w:rPr>
          <w:rFonts w:ascii="Times New Roman" w:eastAsia="Times New Roman" w:hAnsi="Times New Roman" w:cs="Times New Roman"/>
          <w:i/>
          <w:color w:val="222222"/>
          <w:sz w:val="24"/>
          <w:szCs w:val="24"/>
          <w:highlight w:val="white"/>
          <w:lang w:val="en-US"/>
        </w:rPr>
        <w:t xml:space="preserve"> Relating language examinations to the Common European Framework of Reference for Languages: Learning, teaching, assessment (CEFR). Highlights from the manual.</w:t>
      </w:r>
      <w:r w:rsidRPr="00CD7490">
        <w:rPr>
          <w:rFonts w:ascii="Times New Roman" w:eastAsia="Times New Roman" w:hAnsi="Times New Roman" w:cs="Times New Roman"/>
          <w:color w:val="222222"/>
          <w:sz w:val="24"/>
          <w:szCs w:val="24"/>
          <w:highlight w:val="white"/>
          <w:lang w:val="en-US"/>
        </w:rPr>
        <w:t xml:space="preserve"> Graz: European Centre for Modern Languages.</w:t>
      </w:r>
    </w:p>
    <w:p w14:paraId="6EA9D4EB" w14:textId="4B6B7CCE" w:rsidR="00AB370C" w:rsidRPr="00CD7490" w:rsidRDefault="00AB370C" w:rsidP="00CD7490">
      <w:pPr>
        <w:spacing w:line="240" w:lineRule="auto"/>
        <w:ind w:left="720" w:hanging="709"/>
        <w:jc w:val="both"/>
        <w:rPr>
          <w:rFonts w:ascii="Times New Roman" w:eastAsia="Times New Roman" w:hAnsi="Times New Roman" w:cs="Times New Roman"/>
          <w:color w:val="222222"/>
          <w:sz w:val="24"/>
          <w:szCs w:val="24"/>
          <w:lang w:val="en-US"/>
        </w:rPr>
      </w:pPr>
      <w:r w:rsidRPr="00CD7490">
        <w:rPr>
          <w:rFonts w:ascii="Times New Roman" w:eastAsia="Times New Roman" w:hAnsi="Times New Roman" w:cs="Times New Roman"/>
          <w:color w:val="222222"/>
          <w:sz w:val="24"/>
          <w:szCs w:val="24"/>
          <w:lang w:val="en-US"/>
        </w:rPr>
        <w:t xml:space="preserve">North, B. (2014). </w:t>
      </w:r>
      <w:r w:rsidRPr="00CD7490">
        <w:rPr>
          <w:rFonts w:ascii="Times New Roman" w:eastAsia="Times New Roman" w:hAnsi="Times New Roman" w:cs="Times New Roman"/>
          <w:i/>
          <w:color w:val="222222"/>
          <w:sz w:val="24"/>
          <w:szCs w:val="24"/>
          <w:lang w:val="en-US"/>
        </w:rPr>
        <w:t>The CEFR in Practice</w:t>
      </w:r>
      <w:r w:rsidRPr="00CD7490">
        <w:rPr>
          <w:rFonts w:ascii="Times New Roman" w:eastAsia="Times New Roman" w:hAnsi="Times New Roman" w:cs="Times New Roman"/>
          <w:color w:val="222222"/>
          <w:sz w:val="24"/>
          <w:szCs w:val="24"/>
          <w:lang w:val="en-US"/>
        </w:rPr>
        <w:t>. Cambridge: Cambridge University Press.</w:t>
      </w:r>
    </w:p>
    <w:p w14:paraId="57337CE1" w14:textId="217DFED6" w:rsidR="00AB370C" w:rsidRPr="00CD7490" w:rsidRDefault="00AB370C"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lang w:val="en-US"/>
        </w:rPr>
        <w:t xml:space="preserve">North, B. (2020). Trolls, unicorns and the CEFR: Precision and professionalism in criticism of the CEFR. </w:t>
      </w:r>
      <w:r w:rsidRPr="00CD7490">
        <w:rPr>
          <w:rFonts w:ascii="Times New Roman" w:eastAsia="Times New Roman" w:hAnsi="Times New Roman" w:cs="Times New Roman"/>
          <w:i/>
          <w:color w:val="222222"/>
          <w:sz w:val="24"/>
          <w:szCs w:val="24"/>
          <w:lang w:val="en-US"/>
        </w:rPr>
        <w:t>CEFR Journal – Research and Practice</w:t>
      </w:r>
      <w:r w:rsidRPr="00CD7490">
        <w:rPr>
          <w:rFonts w:ascii="Times New Roman" w:eastAsia="Times New Roman" w:hAnsi="Times New Roman" w:cs="Times New Roman"/>
          <w:color w:val="222222"/>
          <w:sz w:val="24"/>
          <w:szCs w:val="24"/>
          <w:lang w:val="en-US"/>
        </w:rPr>
        <w:t xml:space="preserve">, </w:t>
      </w:r>
      <w:r w:rsidRPr="00CD7490">
        <w:rPr>
          <w:rFonts w:ascii="Times New Roman" w:eastAsia="Times New Roman" w:hAnsi="Times New Roman" w:cs="Times New Roman"/>
          <w:i/>
          <w:color w:val="222222"/>
          <w:sz w:val="24"/>
          <w:szCs w:val="24"/>
          <w:lang w:val="en-US"/>
        </w:rPr>
        <w:t>2</w:t>
      </w:r>
      <w:r w:rsidRPr="00CD7490">
        <w:rPr>
          <w:rFonts w:ascii="Times New Roman" w:eastAsia="Times New Roman" w:hAnsi="Times New Roman" w:cs="Times New Roman"/>
          <w:color w:val="222222"/>
          <w:sz w:val="24"/>
          <w:szCs w:val="24"/>
          <w:lang w:val="en-US"/>
        </w:rPr>
        <w:t>, 8-24.</w:t>
      </w:r>
    </w:p>
    <w:p w14:paraId="22957747" w14:textId="1839414C"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Normand-Maconnet, N. &amp; Lo Bianco, J. (2013) Importing Language Assessment? The Reception of the Common European Framework of Reference in Australian Universities. http://iafor.org/archives/offprints/ecll2013-offprints/ECLL2013_0468.pdf</w:t>
      </w:r>
    </w:p>
    <w:p w14:paraId="639AF1D5" w14:textId="31E235F0" w:rsidR="00B6701B" w:rsidRPr="00CD7490" w:rsidRDefault="00B6701B"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Nagai, N., Birch, G. C., Bower, J. V., &amp; Schmidt, M. G. (2020). </w:t>
      </w:r>
      <w:r w:rsidRPr="00CD7490">
        <w:rPr>
          <w:rFonts w:ascii="Times New Roman" w:eastAsia="Times New Roman" w:hAnsi="Times New Roman" w:cs="Times New Roman"/>
          <w:i/>
          <w:color w:val="222222"/>
          <w:sz w:val="24"/>
          <w:szCs w:val="24"/>
          <w:highlight w:val="white"/>
          <w:lang w:val="en-US"/>
        </w:rPr>
        <w:t>CEFR-informed learning, teaching and assessment. A practical guide</w:t>
      </w:r>
      <w:r w:rsidRPr="00CD7490">
        <w:rPr>
          <w:rFonts w:ascii="Times New Roman" w:eastAsia="Times New Roman" w:hAnsi="Times New Roman" w:cs="Times New Roman"/>
          <w:color w:val="222222"/>
          <w:sz w:val="24"/>
          <w:szCs w:val="24"/>
          <w:highlight w:val="white"/>
          <w:lang w:val="en-US"/>
        </w:rPr>
        <w:t>. Springer.</w:t>
      </w:r>
      <w:r w:rsidR="0036754E" w:rsidRPr="00CD7490">
        <w:rPr>
          <w:rFonts w:ascii="Times New Roman" w:eastAsia="Times New Roman" w:hAnsi="Times New Roman" w:cs="Times New Roman"/>
          <w:color w:val="222222"/>
          <w:sz w:val="24"/>
          <w:szCs w:val="24"/>
          <w:highlight w:val="white"/>
          <w:lang w:val="en-US"/>
        </w:rPr>
        <w:t xml:space="preserve"> </w:t>
      </w:r>
      <w:r w:rsidR="0036754E" w:rsidRPr="00CD7490">
        <w:rPr>
          <w:rFonts w:ascii="Times New Roman" w:eastAsia="Times New Roman" w:hAnsi="Times New Roman" w:cs="Times New Roman"/>
          <w:color w:val="222222"/>
          <w:sz w:val="24"/>
          <w:szCs w:val="24"/>
          <w:lang w:val="en-US"/>
        </w:rPr>
        <w:t>https://doi.org/10.1007/978-981-15-5894-8</w:t>
      </w:r>
    </w:p>
    <w:p w14:paraId="5B0DA154" w14:textId="4A3C69F8"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North, B. (2007). The CEFR illustrative descriptor scales. </w:t>
      </w:r>
      <w:r w:rsidRPr="00CD7490">
        <w:rPr>
          <w:rFonts w:ascii="Times New Roman" w:eastAsia="Times New Roman" w:hAnsi="Times New Roman" w:cs="Times New Roman"/>
          <w:i/>
          <w:color w:val="222222"/>
          <w:sz w:val="24"/>
          <w:szCs w:val="24"/>
          <w:highlight w:val="white"/>
          <w:lang w:val="en-US"/>
        </w:rPr>
        <w:t>The Modern Language Journal</w:t>
      </w:r>
      <w:r w:rsidRPr="00CD7490">
        <w:rPr>
          <w:rFonts w:ascii="Times New Roman" w:eastAsia="Times New Roman" w:hAnsi="Times New Roman" w:cs="Times New Roman"/>
          <w:color w:val="222222"/>
          <w:sz w:val="24"/>
          <w:szCs w:val="24"/>
          <w:highlight w:val="white"/>
          <w:lang w:val="en-US"/>
        </w:rPr>
        <w:t xml:space="preserve">, </w:t>
      </w:r>
      <w:r w:rsidRPr="00CD7490">
        <w:rPr>
          <w:rFonts w:ascii="Times New Roman" w:eastAsia="Times New Roman" w:hAnsi="Times New Roman" w:cs="Times New Roman"/>
          <w:i/>
          <w:color w:val="222222"/>
          <w:sz w:val="24"/>
          <w:szCs w:val="24"/>
          <w:highlight w:val="white"/>
          <w:lang w:val="en-US"/>
        </w:rPr>
        <w:t>91</w:t>
      </w:r>
      <w:r w:rsidRPr="00CD7490">
        <w:rPr>
          <w:rFonts w:ascii="Times New Roman" w:eastAsia="Times New Roman" w:hAnsi="Times New Roman" w:cs="Times New Roman"/>
          <w:color w:val="222222"/>
          <w:sz w:val="24"/>
          <w:szCs w:val="24"/>
          <w:highlight w:val="white"/>
          <w:lang w:val="en-US"/>
        </w:rPr>
        <w:t xml:space="preserve">(4), 656-659. </w:t>
      </w:r>
      <w:r w:rsidRPr="00CD7490">
        <w:rPr>
          <w:rFonts w:ascii="Times New Roman" w:eastAsia="Times New Roman" w:hAnsi="Times New Roman" w:cs="Times New Roman"/>
          <w:color w:val="4D5156"/>
          <w:sz w:val="24"/>
          <w:szCs w:val="24"/>
          <w:highlight w:val="white"/>
          <w:lang w:val="en-US"/>
        </w:rPr>
        <w:t>https://doi.org/10.1111/j.1540-4781.2007.00627_3.x.</w:t>
      </w:r>
    </w:p>
    <w:p w14:paraId="34F2F8BF" w14:textId="596B1591"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lang w:val="en-US"/>
        </w:rPr>
      </w:pPr>
      <w:r w:rsidRPr="00CD7490">
        <w:rPr>
          <w:rFonts w:ascii="Times New Roman" w:eastAsia="Times New Roman" w:hAnsi="Times New Roman" w:cs="Times New Roman"/>
          <w:color w:val="222222"/>
          <w:sz w:val="24"/>
          <w:szCs w:val="24"/>
          <w:lang w:val="en-US"/>
        </w:rPr>
        <w:t xml:space="preserve">North, B., Piccardo, E., Godier, T., Fasoglio, D., </w:t>
      </w:r>
      <w:r w:rsidRPr="00CD7490">
        <w:rPr>
          <w:rFonts w:ascii="Times New Roman" w:eastAsia="Times New Roman" w:hAnsi="Times New Roman" w:cs="Times New Roman"/>
          <w:sz w:val="24"/>
          <w:szCs w:val="24"/>
          <w:lang w:val="en-US"/>
        </w:rPr>
        <w:t>Margonis-Pasinetti,</w:t>
      </w:r>
      <w:r w:rsidR="00CD7490" w:rsidRPr="00CD7490">
        <w:rPr>
          <w:rFonts w:ascii="Times New Roman" w:eastAsia="Times New Roman" w:hAnsi="Times New Roman" w:cs="Times New Roman"/>
          <w:sz w:val="24"/>
          <w:szCs w:val="24"/>
          <w:lang w:val="en-US"/>
        </w:rPr>
        <w:t xml:space="preserve"> R.</w:t>
      </w:r>
      <w:r w:rsidRPr="00CD7490">
        <w:rPr>
          <w:rFonts w:ascii="Times New Roman" w:eastAsia="Times New Roman" w:hAnsi="Times New Roman" w:cs="Times New Roman"/>
          <w:sz w:val="24"/>
          <w:szCs w:val="24"/>
          <w:lang w:val="en-US"/>
        </w:rPr>
        <w:t xml:space="preserve"> &amp; Rüschoff</w:t>
      </w:r>
      <w:r w:rsidR="00CD7490" w:rsidRPr="00CD7490">
        <w:rPr>
          <w:rFonts w:ascii="Times New Roman" w:eastAsia="Times New Roman" w:hAnsi="Times New Roman" w:cs="Times New Roman"/>
          <w:sz w:val="24"/>
          <w:szCs w:val="24"/>
          <w:lang w:val="en-US"/>
        </w:rPr>
        <w:t>, B.</w:t>
      </w:r>
      <w:r w:rsidRPr="00CD7490">
        <w:rPr>
          <w:rFonts w:ascii="Times New Roman" w:eastAsia="Times New Roman" w:hAnsi="Times New Roman" w:cs="Times New Roman"/>
          <w:sz w:val="24"/>
          <w:szCs w:val="24"/>
          <w:lang w:val="en-US"/>
        </w:rPr>
        <w:t xml:space="preserve"> (Eds.) (2022) </w:t>
      </w:r>
      <w:r w:rsidRPr="00CD7490">
        <w:rPr>
          <w:rFonts w:ascii="Times New Roman" w:eastAsia="Times New Roman" w:hAnsi="Times New Roman" w:cs="Times New Roman"/>
          <w:i/>
          <w:sz w:val="24"/>
          <w:szCs w:val="24"/>
          <w:lang w:val="en-US"/>
        </w:rPr>
        <w:t>Enriching 21st Century Education. The CEFR Companion Volume in practice</w:t>
      </w:r>
      <w:r w:rsidRPr="00CD7490">
        <w:rPr>
          <w:rFonts w:ascii="Times New Roman" w:eastAsia="Times New Roman" w:hAnsi="Times New Roman" w:cs="Times New Roman"/>
          <w:sz w:val="24"/>
          <w:szCs w:val="24"/>
          <w:lang w:val="en-US"/>
        </w:rPr>
        <w:t>. Council of Europe.</w:t>
      </w:r>
    </w:p>
    <w:p w14:paraId="683D7A12" w14:textId="68C23278"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Papageorgiou, S. (2022). </w:t>
      </w:r>
      <w:r w:rsidR="006E4C68" w:rsidRPr="00CD7490">
        <w:rPr>
          <w:rFonts w:ascii="Times New Roman" w:eastAsia="Times New Roman" w:hAnsi="Times New Roman" w:cs="Times New Roman"/>
          <w:color w:val="222222"/>
          <w:sz w:val="24"/>
          <w:szCs w:val="24"/>
          <w:highlight w:val="white"/>
          <w:lang w:val="en-US"/>
        </w:rPr>
        <w:t xml:space="preserve">Still Deluded by Artifices? The Role of the Common European Framework of Reference in Facilitating Test Score Interpretation. </w:t>
      </w:r>
      <w:r w:rsidRPr="00CD7490">
        <w:rPr>
          <w:rFonts w:ascii="Times New Roman" w:eastAsia="Times New Roman" w:hAnsi="Times New Roman" w:cs="Times New Roman"/>
          <w:i/>
          <w:color w:val="222222"/>
          <w:sz w:val="24"/>
          <w:szCs w:val="24"/>
          <w:highlight w:val="white"/>
          <w:lang w:val="en-US"/>
        </w:rPr>
        <w:t>Language Teaching Research Quarterly</w:t>
      </w:r>
      <w:r w:rsidR="006E4C68" w:rsidRPr="00CD7490">
        <w:rPr>
          <w:rFonts w:ascii="Times New Roman" w:eastAsia="Times New Roman" w:hAnsi="Times New Roman" w:cs="Times New Roman"/>
          <w:i/>
          <w:color w:val="222222"/>
          <w:sz w:val="24"/>
          <w:szCs w:val="24"/>
          <w:highlight w:val="white"/>
          <w:lang w:val="en-US"/>
        </w:rPr>
        <w:t>,</w:t>
      </w:r>
      <w:r w:rsidRPr="00CD7490">
        <w:rPr>
          <w:rFonts w:ascii="Times New Roman" w:eastAsia="Times New Roman" w:hAnsi="Times New Roman" w:cs="Times New Roman"/>
          <w:color w:val="222222"/>
          <w:sz w:val="24"/>
          <w:szCs w:val="24"/>
          <w:highlight w:val="white"/>
          <w:lang w:val="en-US"/>
        </w:rPr>
        <w:t xml:space="preserve"> </w:t>
      </w:r>
      <w:r w:rsidR="006E4C68" w:rsidRPr="00CD7490">
        <w:rPr>
          <w:rFonts w:ascii="Times New Roman" w:eastAsia="Times New Roman" w:hAnsi="Times New Roman" w:cs="Times New Roman"/>
          <w:i/>
          <w:color w:val="222222"/>
          <w:sz w:val="24"/>
          <w:szCs w:val="24"/>
          <w:highlight w:val="white"/>
          <w:lang w:val="en-US"/>
        </w:rPr>
        <w:t>(</w:t>
      </w:r>
      <w:r w:rsidRPr="00CD7490">
        <w:rPr>
          <w:rFonts w:ascii="Times New Roman" w:eastAsia="Times New Roman" w:hAnsi="Times New Roman" w:cs="Times New Roman"/>
          <w:i/>
          <w:color w:val="222222"/>
          <w:sz w:val="24"/>
          <w:szCs w:val="24"/>
          <w:highlight w:val="white"/>
          <w:lang w:val="en-US"/>
        </w:rPr>
        <w:t>29</w:t>
      </w:r>
      <w:r w:rsidR="006E4C68" w:rsidRPr="00CD7490">
        <w:rPr>
          <w:rFonts w:ascii="Times New Roman" w:eastAsia="Times New Roman" w:hAnsi="Times New Roman" w:cs="Times New Roman"/>
          <w:i/>
          <w:color w:val="222222"/>
          <w:sz w:val="24"/>
          <w:szCs w:val="24"/>
          <w:highlight w:val="white"/>
          <w:lang w:val="en-US"/>
        </w:rPr>
        <w:t>)</w:t>
      </w:r>
      <w:r w:rsidRPr="00CD7490">
        <w:rPr>
          <w:rFonts w:ascii="Times New Roman" w:eastAsia="Times New Roman" w:hAnsi="Times New Roman" w:cs="Times New Roman"/>
          <w:color w:val="222222"/>
          <w:sz w:val="24"/>
          <w:szCs w:val="24"/>
          <w:highlight w:val="white"/>
          <w:lang w:val="en-US"/>
        </w:rPr>
        <w:t xml:space="preserve"> 57-64.</w:t>
      </w:r>
      <w:r w:rsidR="00B262D8" w:rsidRPr="00CD7490">
        <w:rPr>
          <w:rFonts w:ascii="Times New Roman" w:eastAsia="Times New Roman" w:hAnsi="Times New Roman" w:cs="Times New Roman"/>
          <w:color w:val="232323"/>
          <w:sz w:val="24"/>
          <w:szCs w:val="24"/>
          <w:highlight w:val="white"/>
          <w:lang w:val="en-US"/>
        </w:rPr>
        <w:t xml:space="preserve"> https://doi.org/</w:t>
      </w:r>
      <w:r w:rsidRPr="00CD7490">
        <w:rPr>
          <w:rFonts w:ascii="Times New Roman" w:eastAsia="Times New Roman" w:hAnsi="Times New Roman" w:cs="Times New Roman"/>
          <w:color w:val="222222"/>
          <w:sz w:val="24"/>
          <w:szCs w:val="24"/>
          <w:highlight w:val="white"/>
          <w:lang w:val="en-US"/>
        </w:rPr>
        <w:t>10.32038/ltrq.2022.29.04</w:t>
      </w:r>
    </w:p>
    <w:p w14:paraId="5DB6C8EA" w14:textId="4E3C1579" w:rsidR="0087466D" w:rsidRPr="00CD7490" w:rsidRDefault="0087466D"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Pedregosa, I., &amp; Sánchez Cuadrado, A. (2022). An action toolkit for language teacher training on mediation. </w:t>
      </w:r>
      <w:r w:rsidRPr="00CD7490">
        <w:rPr>
          <w:rFonts w:ascii="Times New Roman" w:eastAsia="Times New Roman" w:hAnsi="Times New Roman" w:cs="Times New Roman"/>
          <w:color w:val="222222"/>
          <w:sz w:val="24"/>
          <w:szCs w:val="24"/>
          <w:lang w:val="en-US"/>
        </w:rPr>
        <w:t xml:space="preserve">In B. North, E. Piccardo, T. Goodier, D. Fasoglio, R. Margonis-Pasinetti &amp; B. Rüschoff (Eds.). </w:t>
      </w:r>
      <w:r w:rsidRPr="00CD7490">
        <w:rPr>
          <w:rFonts w:ascii="Times New Roman" w:eastAsia="Times New Roman" w:hAnsi="Times New Roman" w:cs="Times New Roman"/>
          <w:i/>
          <w:color w:val="222222"/>
          <w:sz w:val="24"/>
          <w:szCs w:val="24"/>
          <w:lang w:val="en-US"/>
        </w:rPr>
        <w:t>Enriching 21</w:t>
      </w:r>
      <w:r w:rsidRPr="00CD7490">
        <w:rPr>
          <w:rFonts w:ascii="Times New Roman" w:eastAsia="Times New Roman" w:hAnsi="Times New Roman" w:cs="Times New Roman"/>
          <w:i/>
          <w:color w:val="222222"/>
          <w:sz w:val="24"/>
          <w:szCs w:val="24"/>
          <w:vertAlign w:val="superscript"/>
          <w:lang w:val="en-US"/>
        </w:rPr>
        <w:t>st</w:t>
      </w:r>
      <w:r w:rsidRPr="00CD7490">
        <w:rPr>
          <w:rFonts w:ascii="Times New Roman" w:eastAsia="Times New Roman" w:hAnsi="Times New Roman" w:cs="Times New Roman"/>
          <w:i/>
          <w:color w:val="222222"/>
          <w:sz w:val="24"/>
          <w:szCs w:val="24"/>
          <w:lang w:val="en-US"/>
        </w:rPr>
        <w:t>-century language education. The CEFR Companion volume in practice</w:t>
      </w:r>
      <w:r w:rsidRPr="00CD7490">
        <w:rPr>
          <w:rFonts w:ascii="Times New Roman" w:eastAsia="Times New Roman" w:hAnsi="Times New Roman" w:cs="Times New Roman"/>
          <w:color w:val="222222"/>
          <w:sz w:val="24"/>
          <w:szCs w:val="24"/>
          <w:lang w:val="en-US"/>
        </w:rPr>
        <w:t xml:space="preserve"> (pp. 203-214). Council of Europe.</w:t>
      </w:r>
    </w:p>
    <w:p w14:paraId="1980F7B5" w14:textId="7BC66662"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white"/>
          <w:lang w:val="en-US"/>
        </w:rPr>
      </w:pPr>
      <w:r w:rsidRPr="00CD7490">
        <w:rPr>
          <w:rFonts w:ascii="Times New Roman" w:eastAsia="Times New Roman" w:hAnsi="Times New Roman" w:cs="Times New Roman"/>
          <w:color w:val="222222"/>
          <w:sz w:val="24"/>
          <w:szCs w:val="24"/>
          <w:highlight w:val="white"/>
          <w:lang w:val="en-US"/>
        </w:rPr>
        <w:t xml:space="preserve">Piccardo, E. (2014). The impact of the CEFR on Canada's linguistic plurality: A space for heritage languages? In P. Trifonas &amp; T. Aravossitas (Eds.), </w:t>
      </w:r>
      <w:r w:rsidRPr="00CD7490">
        <w:rPr>
          <w:rFonts w:ascii="Times New Roman" w:eastAsia="Times New Roman" w:hAnsi="Times New Roman" w:cs="Times New Roman"/>
          <w:i/>
          <w:color w:val="222222"/>
          <w:sz w:val="24"/>
          <w:szCs w:val="24"/>
          <w:highlight w:val="white"/>
          <w:lang w:val="en-US"/>
        </w:rPr>
        <w:t>Rethinking heritage language education</w:t>
      </w:r>
      <w:r w:rsidRPr="00CD7490">
        <w:rPr>
          <w:rFonts w:ascii="Times New Roman" w:eastAsia="Times New Roman" w:hAnsi="Times New Roman" w:cs="Times New Roman"/>
          <w:color w:val="222222"/>
          <w:sz w:val="24"/>
          <w:szCs w:val="24"/>
          <w:highlight w:val="white"/>
          <w:lang w:val="en-US"/>
        </w:rPr>
        <w:t xml:space="preserve"> (pp. 183-212). Cambridge University Press</w:t>
      </w:r>
      <w:r w:rsidR="00B262D8" w:rsidRPr="00CD7490">
        <w:rPr>
          <w:rFonts w:ascii="Times New Roman" w:eastAsia="Times New Roman" w:hAnsi="Times New Roman" w:cs="Times New Roman"/>
          <w:color w:val="222222"/>
          <w:sz w:val="24"/>
          <w:szCs w:val="24"/>
          <w:highlight w:val="white"/>
          <w:lang w:val="en-US"/>
        </w:rPr>
        <w:t>.</w:t>
      </w:r>
    </w:p>
    <w:p w14:paraId="03AB9534" w14:textId="0FE2B410"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highlight w:val="yellow"/>
          <w:lang w:val="en-US"/>
        </w:rPr>
        <w:t>Piccardo, E., North, B. &amp; Maldina, E. (2017). QualiCEFR: A Quality Assurance Template to Achieve Innovation and Reform in Language Education through CEFR Implementation. Proceedings of the 6th International ALTE Conference. Learning and Assessment: Making the Connections. Bologna, Italy, 3–5 May 2017</w:t>
      </w:r>
      <w:r w:rsidR="00B262D8" w:rsidRPr="00CD7490">
        <w:rPr>
          <w:rFonts w:ascii="Times New Roman" w:eastAsia="Times New Roman" w:hAnsi="Times New Roman" w:cs="Times New Roman"/>
          <w:sz w:val="24"/>
          <w:szCs w:val="24"/>
          <w:highlight w:val="yellow"/>
          <w:lang w:val="en-US"/>
        </w:rPr>
        <w:t xml:space="preserve"> </w:t>
      </w:r>
      <w:r w:rsidRPr="00CD7490">
        <w:rPr>
          <w:rFonts w:ascii="Times New Roman" w:eastAsia="Times New Roman" w:hAnsi="Times New Roman" w:cs="Times New Roman"/>
          <w:sz w:val="24"/>
          <w:szCs w:val="24"/>
          <w:highlight w:val="yellow"/>
          <w:lang w:val="en-US"/>
        </w:rPr>
        <w:t>(pp. 96-103).</w:t>
      </w:r>
    </w:p>
    <w:p w14:paraId="74C8A21F" w14:textId="7210A243" w:rsidR="00AD7BB4" w:rsidRPr="00CD7490" w:rsidRDefault="00AD7BB4"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Piccardo, E. &amp; North, B. (2019). </w:t>
      </w:r>
      <w:r w:rsidRPr="00CD7490">
        <w:rPr>
          <w:rFonts w:ascii="Times New Roman" w:eastAsia="Times New Roman" w:hAnsi="Times New Roman" w:cs="Times New Roman"/>
          <w:i/>
          <w:sz w:val="24"/>
          <w:szCs w:val="24"/>
          <w:lang w:val="en-US"/>
        </w:rPr>
        <w:t>The action-oriented approach. A dynamic vision of language education</w:t>
      </w:r>
      <w:r w:rsidRPr="00CD7490">
        <w:rPr>
          <w:rFonts w:ascii="Times New Roman" w:eastAsia="Times New Roman" w:hAnsi="Times New Roman" w:cs="Times New Roman"/>
          <w:sz w:val="24"/>
          <w:szCs w:val="24"/>
          <w:lang w:val="en-US"/>
        </w:rPr>
        <w:t>. Multilingual Matters.</w:t>
      </w:r>
    </w:p>
    <w:p w14:paraId="68879313" w14:textId="7FBA1C2B"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highlight w:val="yellow"/>
        </w:rPr>
      </w:pPr>
      <w:r w:rsidRPr="00CD7490">
        <w:rPr>
          <w:rFonts w:ascii="Times New Roman" w:eastAsia="Times New Roman" w:hAnsi="Times New Roman" w:cs="Times New Roman"/>
          <w:color w:val="222222"/>
          <w:sz w:val="24"/>
          <w:szCs w:val="24"/>
          <w:highlight w:val="white"/>
          <w:lang w:val="en-US"/>
        </w:rPr>
        <w:t xml:space="preserve">Ramos-García, A. M., &amp; Fernández-Viciana, A. (2019). Pre-Service Teachers' Perception on Their EFL Competence and Professional Requirements. </w:t>
      </w:r>
      <w:r w:rsidRPr="00CD7490">
        <w:rPr>
          <w:rFonts w:ascii="Times New Roman" w:eastAsia="Times New Roman" w:hAnsi="Times New Roman" w:cs="Times New Roman"/>
          <w:i/>
          <w:color w:val="222222"/>
          <w:sz w:val="24"/>
          <w:szCs w:val="24"/>
          <w:highlight w:val="white"/>
        </w:rPr>
        <w:t>Language Teaching Research Quarterly</w:t>
      </w:r>
      <w:r w:rsidRPr="00CD7490">
        <w:rPr>
          <w:rFonts w:ascii="Times New Roman" w:eastAsia="Times New Roman" w:hAnsi="Times New Roman" w:cs="Times New Roman"/>
          <w:color w:val="222222"/>
          <w:sz w:val="24"/>
          <w:szCs w:val="24"/>
          <w:highlight w:val="white"/>
        </w:rPr>
        <w:t xml:space="preserve">, </w:t>
      </w:r>
      <w:r w:rsidRPr="00CD7490">
        <w:rPr>
          <w:rFonts w:ascii="Times New Roman" w:eastAsia="Times New Roman" w:hAnsi="Times New Roman" w:cs="Times New Roman"/>
          <w:i/>
          <w:color w:val="222222"/>
          <w:sz w:val="24"/>
          <w:szCs w:val="24"/>
          <w:highlight w:val="white"/>
        </w:rPr>
        <w:t>13</w:t>
      </w:r>
      <w:r w:rsidRPr="00CD7490">
        <w:rPr>
          <w:rFonts w:ascii="Times New Roman" w:eastAsia="Times New Roman" w:hAnsi="Times New Roman" w:cs="Times New Roman"/>
          <w:color w:val="222222"/>
          <w:sz w:val="24"/>
          <w:szCs w:val="24"/>
          <w:highlight w:val="white"/>
        </w:rPr>
        <w:t>, 44-53.</w:t>
      </w:r>
      <w:r w:rsidRPr="00CD7490">
        <w:rPr>
          <w:rFonts w:ascii="Times New Roman" w:eastAsia="Times New Roman" w:hAnsi="Times New Roman" w:cs="Times New Roman"/>
          <w:color w:val="222222"/>
          <w:sz w:val="24"/>
          <w:szCs w:val="24"/>
          <w:highlight w:val="yellow"/>
        </w:rPr>
        <w:t xml:space="preserve"> </w:t>
      </w:r>
      <w:r w:rsidR="0036754E" w:rsidRPr="00CD7490">
        <w:rPr>
          <w:rFonts w:ascii="Times New Roman" w:eastAsia="Times New Roman" w:hAnsi="Times New Roman" w:cs="Times New Roman"/>
          <w:color w:val="222222"/>
          <w:sz w:val="24"/>
          <w:szCs w:val="24"/>
        </w:rPr>
        <w:t>https://doi.org/10.19053/2011835X.10953</w:t>
      </w:r>
    </w:p>
    <w:p w14:paraId="77ED29DF" w14:textId="032DE658" w:rsidR="0087466D" w:rsidRPr="00CD7490" w:rsidRDefault="0087466D" w:rsidP="00CD7490">
      <w:pPr>
        <w:spacing w:line="240" w:lineRule="auto"/>
        <w:ind w:left="720" w:hanging="709"/>
        <w:jc w:val="both"/>
        <w:rPr>
          <w:rFonts w:ascii="Times New Roman" w:eastAsia="Times New Roman" w:hAnsi="Times New Roman" w:cs="Times New Roman"/>
          <w:color w:val="222222"/>
          <w:sz w:val="24"/>
          <w:szCs w:val="24"/>
          <w:lang w:val="en-US"/>
        </w:rPr>
      </w:pPr>
      <w:r w:rsidRPr="00CD7490">
        <w:rPr>
          <w:rFonts w:ascii="Times New Roman" w:eastAsia="Times New Roman" w:hAnsi="Times New Roman" w:cs="Times New Roman"/>
          <w:color w:val="222222"/>
          <w:sz w:val="24"/>
          <w:szCs w:val="24"/>
        </w:rPr>
        <w:t xml:space="preserve">Sánchez Cuadrado, A., Cruz Trapero, J., Lorenzo-Zamorano, S., Navarrete, M., &amp; Pintado Gutiérrez, L. (2022). </w:t>
      </w:r>
      <w:r w:rsidRPr="00CD7490">
        <w:rPr>
          <w:rFonts w:ascii="Times New Roman" w:eastAsia="Times New Roman" w:hAnsi="Times New Roman" w:cs="Times New Roman"/>
          <w:color w:val="222222"/>
          <w:sz w:val="24"/>
          <w:szCs w:val="24"/>
          <w:lang w:val="en-US"/>
        </w:rPr>
        <w:t xml:space="preserve">The role of contextual factors in the implementation of mediation descriptors with higher education language learners. In B. North, E. Piccardo, T. Goodier, D. Fasoglio, R. Margonis-Pasinetti &amp; B. Rüschoff (Eds.). </w:t>
      </w:r>
      <w:r w:rsidRPr="00CD7490">
        <w:rPr>
          <w:rFonts w:ascii="Times New Roman" w:eastAsia="Times New Roman" w:hAnsi="Times New Roman" w:cs="Times New Roman"/>
          <w:i/>
          <w:color w:val="222222"/>
          <w:sz w:val="24"/>
          <w:szCs w:val="24"/>
          <w:lang w:val="en-US"/>
        </w:rPr>
        <w:t>Enriching 21</w:t>
      </w:r>
      <w:r w:rsidRPr="00CD7490">
        <w:rPr>
          <w:rFonts w:ascii="Times New Roman" w:eastAsia="Times New Roman" w:hAnsi="Times New Roman" w:cs="Times New Roman"/>
          <w:i/>
          <w:color w:val="222222"/>
          <w:sz w:val="24"/>
          <w:szCs w:val="24"/>
          <w:vertAlign w:val="superscript"/>
          <w:lang w:val="en-US"/>
        </w:rPr>
        <w:t>st</w:t>
      </w:r>
      <w:r w:rsidRPr="00CD7490">
        <w:rPr>
          <w:rFonts w:ascii="Times New Roman" w:eastAsia="Times New Roman" w:hAnsi="Times New Roman" w:cs="Times New Roman"/>
          <w:i/>
          <w:color w:val="222222"/>
          <w:sz w:val="24"/>
          <w:szCs w:val="24"/>
          <w:lang w:val="en-US"/>
        </w:rPr>
        <w:t>-century language education. The CEFR Companion volume in practice</w:t>
      </w:r>
      <w:r w:rsidRPr="00CD7490">
        <w:rPr>
          <w:rFonts w:ascii="Times New Roman" w:eastAsia="Times New Roman" w:hAnsi="Times New Roman" w:cs="Times New Roman"/>
          <w:color w:val="222222"/>
          <w:sz w:val="24"/>
          <w:szCs w:val="24"/>
          <w:lang w:val="en-US"/>
        </w:rPr>
        <w:t xml:space="preserve"> (pp. 57-67). Council of Europe.</w:t>
      </w:r>
    </w:p>
    <w:p w14:paraId="34224008" w14:textId="2D1F01F5" w:rsidR="00D7293F" w:rsidRPr="00CD7490" w:rsidRDefault="00D7293F" w:rsidP="00CD7490">
      <w:pPr>
        <w:spacing w:line="240" w:lineRule="auto"/>
        <w:ind w:left="720" w:hanging="709"/>
        <w:jc w:val="both"/>
        <w:rPr>
          <w:rFonts w:ascii="Times New Roman" w:eastAsia="Times New Roman" w:hAnsi="Times New Roman" w:cs="Times New Roman"/>
          <w:sz w:val="24"/>
          <w:szCs w:val="24"/>
        </w:rPr>
      </w:pPr>
      <w:r w:rsidRPr="00CD7490">
        <w:rPr>
          <w:rFonts w:ascii="Times New Roman" w:eastAsia="Times New Roman" w:hAnsi="Times New Roman" w:cs="Times New Roman"/>
          <w:color w:val="333333"/>
          <w:sz w:val="24"/>
          <w:szCs w:val="24"/>
          <w:lang w:val="en-US"/>
        </w:rPr>
        <w:t>Schmidt, M. G., Runnels,</w:t>
      </w:r>
      <w:r w:rsidR="00CD7490" w:rsidRPr="00CD7490">
        <w:rPr>
          <w:rFonts w:ascii="Times New Roman" w:eastAsia="Times New Roman" w:hAnsi="Times New Roman" w:cs="Times New Roman"/>
          <w:color w:val="333333"/>
          <w:sz w:val="24"/>
          <w:szCs w:val="24"/>
          <w:lang w:val="en-US"/>
        </w:rPr>
        <w:t xml:space="preserve"> J.</w:t>
      </w:r>
      <w:r w:rsidRPr="00CD7490">
        <w:rPr>
          <w:rFonts w:ascii="Times New Roman" w:eastAsia="Times New Roman" w:hAnsi="Times New Roman" w:cs="Times New Roman"/>
          <w:color w:val="333333"/>
          <w:sz w:val="24"/>
          <w:szCs w:val="24"/>
          <w:lang w:val="en-US"/>
        </w:rPr>
        <w:t xml:space="preserve"> </w:t>
      </w:r>
      <w:r w:rsidR="00CD7490" w:rsidRPr="00CD7490">
        <w:rPr>
          <w:rFonts w:ascii="Times New Roman" w:eastAsia="Times New Roman" w:hAnsi="Times New Roman" w:cs="Times New Roman"/>
          <w:color w:val="333333"/>
          <w:sz w:val="24"/>
          <w:szCs w:val="24"/>
          <w:lang w:val="en-US"/>
        </w:rPr>
        <w:t>&amp;</w:t>
      </w:r>
      <w:r w:rsidRPr="00CD7490">
        <w:rPr>
          <w:rFonts w:ascii="Times New Roman" w:eastAsia="Times New Roman" w:hAnsi="Times New Roman" w:cs="Times New Roman"/>
          <w:color w:val="333333"/>
          <w:sz w:val="24"/>
          <w:szCs w:val="24"/>
          <w:lang w:val="en-US"/>
        </w:rPr>
        <w:t xml:space="preserve"> Nagain</w:t>
      </w:r>
      <w:r w:rsidR="00CD7490" w:rsidRPr="00CD7490">
        <w:rPr>
          <w:rFonts w:ascii="Times New Roman" w:eastAsia="Times New Roman" w:hAnsi="Times New Roman" w:cs="Times New Roman"/>
          <w:color w:val="333333"/>
          <w:sz w:val="24"/>
          <w:szCs w:val="24"/>
          <w:lang w:val="en-US"/>
        </w:rPr>
        <w:t>, N</w:t>
      </w:r>
      <w:r w:rsidRPr="00CD7490">
        <w:rPr>
          <w:rFonts w:ascii="Times New Roman" w:eastAsia="Times New Roman" w:hAnsi="Times New Roman" w:cs="Times New Roman"/>
          <w:color w:val="333333"/>
          <w:sz w:val="24"/>
          <w:szCs w:val="24"/>
          <w:lang w:val="en-US"/>
        </w:rPr>
        <w:t xml:space="preserve">. </w:t>
      </w:r>
      <w:r w:rsidR="00CD7490" w:rsidRPr="00CD7490">
        <w:rPr>
          <w:rFonts w:ascii="Times New Roman" w:eastAsia="Times New Roman" w:hAnsi="Times New Roman" w:cs="Times New Roman"/>
          <w:color w:val="333333"/>
          <w:sz w:val="24"/>
          <w:szCs w:val="24"/>
          <w:lang w:val="en-US"/>
        </w:rPr>
        <w:t>(</w:t>
      </w:r>
      <w:r w:rsidRPr="00CD7490">
        <w:rPr>
          <w:rFonts w:ascii="Times New Roman" w:eastAsia="Times New Roman" w:hAnsi="Times New Roman" w:cs="Times New Roman"/>
          <w:color w:val="333333"/>
          <w:sz w:val="24"/>
          <w:szCs w:val="24"/>
          <w:lang w:val="en-US"/>
        </w:rPr>
        <w:t>2017</w:t>
      </w:r>
      <w:r w:rsidR="00CD7490" w:rsidRPr="00CD7490">
        <w:rPr>
          <w:rFonts w:ascii="Times New Roman" w:eastAsia="Times New Roman" w:hAnsi="Times New Roman" w:cs="Times New Roman"/>
          <w:color w:val="333333"/>
          <w:sz w:val="24"/>
          <w:szCs w:val="24"/>
          <w:lang w:val="en-US"/>
        </w:rPr>
        <w:t>)</w:t>
      </w:r>
      <w:r w:rsidRPr="00CD7490">
        <w:rPr>
          <w:rFonts w:ascii="Times New Roman" w:eastAsia="Times New Roman" w:hAnsi="Times New Roman" w:cs="Times New Roman"/>
          <w:color w:val="333333"/>
          <w:sz w:val="24"/>
          <w:szCs w:val="24"/>
          <w:lang w:val="en-US"/>
        </w:rPr>
        <w:t xml:space="preserve">. The Past, Present and Future of the CEFR. In F. O’Dwyer, M. Hunke, A. Imig, N. Nagai, N. Naganuma &amp; M.G. Schmidt (Eds.) </w:t>
      </w:r>
      <w:r w:rsidRPr="00CD7490">
        <w:rPr>
          <w:rFonts w:ascii="Times New Roman" w:eastAsia="Times New Roman" w:hAnsi="Times New Roman" w:cs="Times New Roman"/>
          <w:i/>
          <w:color w:val="333333"/>
          <w:sz w:val="24"/>
          <w:szCs w:val="24"/>
          <w:lang w:val="en-US"/>
        </w:rPr>
        <w:t>Critical, Constructive Assessment of CEFR-Informed Language Teaching in Japan and Beyond</w:t>
      </w:r>
      <w:r w:rsidRPr="00CD7490">
        <w:rPr>
          <w:rFonts w:ascii="Times New Roman" w:eastAsia="Times New Roman" w:hAnsi="Times New Roman" w:cs="Times New Roman"/>
          <w:color w:val="333333"/>
          <w:sz w:val="24"/>
          <w:szCs w:val="24"/>
          <w:lang w:val="en-US"/>
        </w:rPr>
        <w:t xml:space="preserve">, (pp. 18–48). </w:t>
      </w:r>
      <w:r w:rsidRPr="00CD7490">
        <w:rPr>
          <w:rFonts w:ascii="Times New Roman" w:eastAsia="Times New Roman" w:hAnsi="Times New Roman" w:cs="Times New Roman"/>
          <w:color w:val="333333"/>
          <w:sz w:val="24"/>
          <w:szCs w:val="24"/>
        </w:rPr>
        <w:t>Cambridge University Press.</w:t>
      </w:r>
    </w:p>
    <w:p w14:paraId="20FF3D9D" w14:textId="7D170294"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shd w:val="clear" w:color="auto" w:fill="F9FBFB"/>
        </w:rPr>
      </w:pPr>
      <w:r w:rsidRPr="00CD7490">
        <w:rPr>
          <w:rFonts w:ascii="Times New Roman" w:eastAsia="Times New Roman" w:hAnsi="Times New Roman" w:cs="Times New Roman"/>
          <w:color w:val="222222"/>
          <w:sz w:val="24"/>
          <w:szCs w:val="24"/>
          <w:highlight w:val="white"/>
        </w:rPr>
        <w:t xml:space="preserve">Shackleton, C. (2018). Vinculación de la prueba de comprensión oral del examen CertAcles de la Universidad de Granada con el MCER1 Linking the University of Granada CertAcles listening test to the CEFR.   </w:t>
      </w:r>
      <w:r w:rsidRPr="00CD7490">
        <w:rPr>
          <w:rFonts w:ascii="Times New Roman" w:eastAsia="Times New Roman" w:hAnsi="Times New Roman" w:cs="Times New Roman"/>
          <w:i/>
          <w:color w:val="222222"/>
          <w:sz w:val="24"/>
          <w:szCs w:val="24"/>
          <w:highlight w:val="white"/>
        </w:rPr>
        <w:t>Revista de Educación</w:t>
      </w:r>
      <w:r w:rsidRPr="00CD7490">
        <w:rPr>
          <w:rFonts w:ascii="Times New Roman" w:eastAsia="Times New Roman" w:hAnsi="Times New Roman" w:cs="Times New Roman"/>
          <w:color w:val="222222"/>
          <w:sz w:val="24"/>
          <w:szCs w:val="24"/>
          <w:highlight w:val="white"/>
        </w:rPr>
        <w:t xml:space="preserve">, </w:t>
      </w:r>
      <w:r w:rsidRPr="00CD7490">
        <w:rPr>
          <w:rFonts w:ascii="Times New Roman" w:eastAsia="Times New Roman" w:hAnsi="Times New Roman" w:cs="Times New Roman"/>
          <w:i/>
          <w:color w:val="222222"/>
          <w:sz w:val="24"/>
          <w:szCs w:val="24"/>
          <w:highlight w:val="white"/>
        </w:rPr>
        <w:t>381</w:t>
      </w:r>
      <w:r w:rsidRPr="00CD7490">
        <w:rPr>
          <w:rFonts w:ascii="Times New Roman" w:eastAsia="Times New Roman" w:hAnsi="Times New Roman" w:cs="Times New Roman"/>
          <w:color w:val="222222"/>
          <w:sz w:val="24"/>
          <w:szCs w:val="24"/>
          <w:highlight w:val="white"/>
        </w:rPr>
        <w:t xml:space="preserve">, 37-65. </w:t>
      </w:r>
      <w:r w:rsidRPr="00CD7490">
        <w:rPr>
          <w:rFonts w:ascii="Times New Roman" w:eastAsia="Times New Roman" w:hAnsi="Times New Roman" w:cs="Times New Roman"/>
          <w:color w:val="222222"/>
          <w:sz w:val="24"/>
          <w:szCs w:val="24"/>
          <w:shd w:val="clear" w:color="auto" w:fill="F9FBFB"/>
        </w:rPr>
        <w:t xml:space="preserve"> </w:t>
      </w:r>
      <w:r w:rsidR="00B262D8" w:rsidRPr="00CD7490">
        <w:rPr>
          <w:rFonts w:ascii="Times New Roman" w:eastAsia="Times New Roman" w:hAnsi="Times New Roman" w:cs="Times New Roman"/>
          <w:color w:val="232323"/>
          <w:sz w:val="24"/>
          <w:szCs w:val="24"/>
          <w:highlight w:val="white"/>
        </w:rPr>
        <w:t>https://doi.org/</w:t>
      </w:r>
      <w:r w:rsidRPr="00CD7490">
        <w:rPr>
          <w:rFonts w:ascii="Times New Roman" w:eastAsia="Times New Roman" w:hAnsi="Times New Roman" w:cs="Times New Roman"/>
          <w:color w:val="222222"/>
          <w:sz w:val="24"/>
          <w:szCs w:val="24"/>
          <w:shd w:val="clear" w:color="auto" w:fill="F9FBFB"/>
        </w:rPr>
        <w:t>10.4438/1988-592X-RE-2017-381-380</w:t>
      </w:r>
    </w:p>
    <w:p w14:paraId="7AEB672E" w14:textId="76CAD190" w:rsidR="00D7293F" w:rsidRPr="00CD7490" w:rsidRDefault="00D7293F" w:rsidP="00CD7490">
      <w:pPr>
        <w:spacing w:line="240" w:lineRule="auto"/>
        <w:ind w:left="720" w:hanging="709"/>
        <w:jc w:val="both"/>
        <w:rPr>
          <w:rFonts w:ascii="Times New Roman" w:eastAsia="Times New Roman" w:hAnsi="Times New Roman" w:cs="Times New Roman"/>
          <w:sz w:val="24"/>
          <w:szCs w:val="24"/>
        </w:rPr>
      </w:pPr>
      <w:r w:rsidRPr="00CD7490">
        <w:rPr>
          <w:rFonts w:ascii="Times New Roman" w:eastAsia="Times New Roman" w:hAnsi="Times New Roman" w:cs="Times New Roman"/>
          <w:color w:val="222222"/>
          <w:sz w:val="24"/>
          <w:szCs w:val="24"/>
        </w:rPr>
        <w:t xml:space="preserve">Simons, M. &amp; Colpaert, J. (2015). </w:t>
      </w:r>
      <w:r w:rsidRPr="00CD7490">
        <w:rPr>
          <w:rFonts w:ascii="Times New Roman" w:eastAsia="Times New Roman" w:hAnsi="Times New Roman" w:cs="Times New Roman"/>
          <w:color w:val="222222"/>
          <w:sz w:val="24"/>
          <w:szCs w:val="24"/>
          <w:lang w:val="en-US"/>
        </w:rPr>
        <w:t xml:space="preserve">Judgmental evaluation of the CEFR by stakeholders in language testing. </w:t>
      </w:r>
      <w:r w:rsidRPr="00CD7490">
        <w:rPr>
          <w:rFonts w:ascii="Times New Roman" w:eastAsia="Times New Roman" w:hAnsi="Times New Roman" w:cs="Times New Roman"/>
          <w:i/>
          <w:color w:val="222222"/>
          <w:sz w:val="24"/>
          <w:szCs w:val="24"/>
        </w:rPr>
        <w:t>Revista de Lingüística y Lenguas Aplicadas</w:t>
      </w:r>
      <w:r w:rsidRPr="00CD7490">
        <w:rPr>
          <w:rFonts w:ascii="Times New Roman" w:eastAsia="Times New Roman" w:hAnsi="Times New Roman" w:cs="Times New Roman"/>
          <w:color w:val="222222"/>
          <w:sz w:val="24"/>
          <w:szCs w:val="24"/>
        </w:rPr>
        <w:t xml:space="preserve">, </w:t>
      </w:r>
      <w:r w:rsidRPr="00CD7490">
        <w:rPr>
          <w:rFonts w:ascii="Times New Roman" w:eastAsia="Times New Roman" w:hAnsi="Times New Roman" w:cs="Times New Roman"/>
          <w:i/>
          <w:color w:val="222222"/>
          <w:sz w:val="24"/>
          <w:szCs w:val="24"/>
        </w:rPr>
        <w:t>10</w:t>
      </w:r>
      <w:r w:rsidRPr="00CD7490">
        <w:rPr>
          <w:rFonts w:ascii="Times New Roman" w:eastAsia="Times New Roman" w:hAnsi="Times New Roman" w:cs="Times New Roman"/>
          <w:color w:val="222222"/>
          <w:sz w:val="24"/>
          <w:szCs w:val="24"/>
        </w:rPr>
        <w:t xml:space="preserve">(1), 66-77. </w:t>
      </w:r>
      <w:r w:rsidR="00B262D8" w:rsidRPr="00CD7490">
        <w:rPr>
          <w:rFonts w:ascii="Times New Roman" w:eastAsia="Times New Roman" w:hAnsi="Times New Roman" w:cs="Times New Roman"/>
          <w:color w:val="232323"/>
          <w:sz w:val="24"/>
          <w:szCs w:val="24"/>
          <w:highlight w:val="white"/>
        </w:rPr>
        <w:t>https://doi.org/</w:t>
      </w:r>
      <w:r w:rsidRPr="00CD7490">
        <w:rPr>
          <w:rFonts w:ascii="Times New Roman" w:eastAsia="Times New Roman" w:hAnsi="Times New Roman" w:cs="Times New Roman"/>
          <w:color w:val="333333"/>
          <w:sz w:val="24"/>
          <w:szCs w:val="24"/>
        </w:rPr>
        <w:t>10.4995/rlyla.2015.3434</w:t>
      </w:r>
    </w:p>
    <w:p w14:paraId="33E243ED" w14:textId="77777777"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 xml:space="preserve">Sülü, A. &amp; KÕr, E. (2014). Language teachers’ views on CEFR. </w:t>
      </w:r>
      <w:r w:rsidRPr="00CD7490">
        <w:rPr>
          <w:rFonts w:ascii="Times New Roman" w:eastAsia="Times New Roman" w:hAnsi="Times New Roman" w:cs="Times New Roman"/>
          <w:i/>
          <w:sz w:val="24"/>
          <w:szCs w:val="24"/>
          <w:lang w:val="en-US"/>
        </w:rPr>
        <w:t xml:space="preserve">International Online Journal of Education and Teaching </w:t>
      </w:r>
      <w:r w:rsidRPr="00CD7490">
        <w:rPr>
          <w:rFonts w:ascii="Times New Roman" w:eastAsia="Times New Roman" w:hAnsi="Times New Roman" w:cs="Times New Roman"/>
          <w:sz w:val="24"/>
          <w:szCs w:val="24"/>
          <w:lang w:val="en-US"/>
        </w:rPr>
        <w:t>(IOJET),</w:t>
      </w:r>
      <w:r w:rsidRPr="00CD7490">
        <w:rPr>
          <w:rFonts w:ascii="Times New Roman" w:eastAsia="Times New Roman" w:hAnsi="Times New Roman" w:cs="Times New Roman"/>
          <w:i/>
          <w:sz w:val="24"/>
          <w:szCs w:val="24"/>
          <w:lang w:val="en-US"/>
        </w:rPr>
        <w:t xml:space="preserve"> 1</w:t>
      </w:r>
      <w:r w:rsidRPr="00CD7490">
        <w:rPr>
          <w:rFonts w:ascii="Times New Roman" w:eastAsia="Times New Roman" w:hAnsi="Times New Roman" w:cs="Times New Roman"/>
          <w:sz w:val="24"/>
          <w:szCs w:val="24"/>
          <w:lang w:val="en-US"/>
        </w:rPr>
        <w:t xml:space="preserve">(5), 358-364. </w:t>
      </w:r>
      <w:r w:rsidRPr="00CD7490">
        <w:rPr>
          <w:rFonts w:ascii="Times New Roman" w:eastAsia="Times New Roman" w:hAnsi="Times New Roman" w:cs="Times New Roman"/>
          <w:sz w:val="24"/>
          <w:szCs w:val="24"/>
          <w:highlight w:val="yellow"/>
          <w:lang w:val="en-US"/>
        </w:rPr>
        <w:t xml:space="preserve"> </w:t>
      </w:r>
      <w:r w:rsidRPr="00CD7490">
        <w:rPr>
          <w:rFonts w:ascii="Times New Roman" w:eastAsia="Times New Roman" w:hAnsi="Times New Roman" w:cs="Times New Roman"/>
          <w:sz w:val="24"/>
          <w:szCs w:val="24"/>
          <w:lang w:val="en-US"/>
        </w:rPr>
        <w:t>http://iojet.org/index.php/IOJET/article/view/69/97</w:t>
      </w:r>
    </w:p>
    <w:p w14:paraId="0A54AA73" w14:textId="77777777" w:rsidR="00D7293F" w:rsidRPr="00CD7490" w:rsidRDefault="00D7293F" w:rsidP="00CD7490">
      <w:pPr>
        <w:spacing w:line="240" w:lineRule="auto"/>
        <w:ind w:left="720" w:hanging="709"/>
        <w:jc w:val="both"/>
        <w:rPr>
          <w:rFonts w:ascii="Times New Roman" w:eastAsia="Times New Roman" w:hAnsi="Times New Roman" w:cs="Times New Roman"/>
          <w:sz w:val="24"/>
          <w:szCs w:val="24"/>
          <w:lang w:val="en-US"/>
        </w:rPr>
      </w:pPr>
      <w:r w:rsidRPr="00CD7490">
        <w:rPr>
          <w:rFonts w:ascii="Times New Roman" w:eastAsia="Times New Roman" w:hAnsi="Times New Roman" w:cs="Times New Roman"/>
          <w:sz w:val="24"/>
          <w:szCs w:val="24"/>
          <w:lang w:val="en-US"/>
        </w:rPr>
        <w:t>Valax. P. (2011). The Common European Framework of Reference for Languages: A critical analysis of its impact on a sample of teachers and curricula within and beyond Europe (Unpublished doctoral dissertation). University of Waikato.</w:t>
      </w:r>
    </w:p>
    <w:p w14:paraId="6D1BBEF6" w14:textId="5DD66D6F" w:rsidR="00D7293F" w:rsidRPr="00CD7490" w:rsidRDefault="00D7293F" w:rsidP="00CD7490">
      <w:pPr>
        <w:spacing w:line="240" w:lineRule="auto"/>
        <w:ind w:left="720" w:hanging="709"/>
        <w:jc w:val="both"/>
        <w:rPr>
          <w:rFonts w:ascii="Times New Roman" w:eastAsia="Times New Roman" w:hAnsi="Times New Roman" w:cs="Times New Roman"/>
          <w:color w:val="222222"/>
          <w:sz w:val="24"/>
          <w:szCs w:val="24"/>
          <w:lang w:val="en-US"/>
        </w:rPr>
      </w:pPr>
      <w:r w:rsidRPr="00CD7490">
        <w:rPr>
          <w:rFonts w:ascii="Times New Roman" w:eastAsia="Times New Roman" w:hAnsi="Times New Roman" w:cs="Times New Roman"/>
          <w:color w:val="222222"/>
          <w:sz w:val="24"/>
          <w:szCs w:val="24"/>
          <w:lang w:val="en-US"/>
        </w:rPr>
        <w:t xml:space="preserve">ÿaĿatay, S. &amp; Gürocak, F.Y. (2016) Is CEFR Really over There?, </w:t>
      </w:r>
      <w:r w:rsidRPr="00CD7490">
        <w:rPr>
          <w:rFonts w:ascii="Times New Roman" w:eastAsia="Times New Roman" w:hAnsi="Times New Roman" w:cs="Times New Roman"/>
          <w:i/>
          <w:color w:val="222222"/>
          <w:sz w:val="24"/>
          <w:szCs w:val="24"/>
          <w:lang w:val="en-US"/>
        </w:rPr>
        <w:t>Procedia - Social and Behavioral Sciences (232),</w:t>
      </w:r>
      <w:r w:rsidRPr="00CD7490">
        <w:rPr>
          <w:rFonts w:ascii="Times New Roman" w:eastAsia="Times New Roman" w:hAnsi="Times New Roman" w:cs="Times New Roman"/>
          <w:color w:val="222222"/>
          <w:sz w:val="24"/>
          <w:szCs w:val="24"/>
          <w:lang w:val="en-US"/>
        </w:rPr>
        <w:t xml:space="preserve">705-712. </w:t>
      </w:r>
      <w:r w:rsidR="00B262D8" w:rsidRPr="00CD7490">
        <w:rPr>
          <w:rFonts w:ascii="Times New Roman" w:eastAsia="Times New Roman" w:hAnsi="Times New Roman" w:cs="Times New Roman"/>
          <w:color w:val="232323"/>
          <w:sz w:val="24"/>
          <w:szCs w:val="24"/>
          <w:highlight w:val="white"/>
          <w:lang w:val="en-US"/>
        </w:rPr>
        <w:t>https://doi.org/</w:t>
      </w:r>
      <w:r w:rsidRPr="00CD7490">
        <w:rPr>
          <w:rFonts w:ascii="Times New Roman" w:eastAsia="Times New Roman" w:hAnsi="Times New Roman" w:cs="Times New Roman"/>
          <w:color w:val="222222"/>
          <w:sz w:val="24"/>
          <w:szCs w:val="24"/>
          <w:lang w:val="en-US"/>
        </w:rPr>
        <w:t>10.1016/j.sbspro.2016.10.096.</w:t>
      </w:r>
    </w:p>
    <w:p w14:paraId="4B4467FA" w14:textId="5BF27274" w:rsidR="00D7293F" w:rsidRPr="00CD7490" w:rsidRDefault="00D7293F" w:rsidP="00CD7490">
      <w:pPr>
        <w:spacing w:line="240" w:lineRule="auto"/>
        <w:ind w:left="720" w:hanging="709"/>
        <w:jc w:val="both"/>
        <w:rPr>
          <w:rFonts w:ascii="Times New Roman" w:eastAsia="Roboto" w:hAnsi="Times New Roman" w:cs="Times New Roman"/>
          <w:color w:val="333333"/>
          <w:sz w:val="24"/>
          <w:szCs w:val="24"/>
          <w:highlight w:val="yellow"/>
          <w:lang w:val="en-US"/>
        </w:rPr>
      </w:pPr>
      <w:r w:rsidRPr="00CD7490">
        <w:rPr>
          <w:rFonts w:ascii="Times New Roman" w:eastAsia="Times New Roman" w:hAnsi="Times New Roman" w:cs="Times New Roman"/>
          <w:color w:val="222222"/>
          <w:sz w:val="24"/>
          <w:szCs w:val="24"/>
          <w:highlight w:val="white"/>
          <w:lang w:val="en-US"/>
        </w:rPr>
        <w:t>Zheng, Y., Zhang, Y., &amp; Yan, Y. (2016). Investigating the practice of The Common European Framework of Reference for Languages (CEFR) outside Europe: A case study on the assessment of writing in English in China.</w:t>
      </w:r>
      <w:r w:rsidRPr="00CD7490">
        <w:rPr>
          <w:rFonts w:ascii="Times New Roman" w:eastAsia="Times New Roman" w:hAnsi="Times New Roman" w:cs="Times New Roman"/>
          <w:i/>
          <w:color w:val="222222"/>
          <w:sz w:val="24"/>
          <w:szCs w:val="24"/>
          <w:highlight w:val="white"/>
          <w:lang w:val="en-US"/>
        </w:rPr>
        <w:t xml:space="preserve"> ELT Research Papers 16</w:t>
      </w:r>
      <w:r w:rsidRPr="00CD7490">
        <w:rPr>
          <w:rFonts w:ascii="Times New Roman" w:eastAsia="Times New Roman" w:hAnsi="Times New Roman" w:cs="Times New Roman"/>
          <w:color w:val="222222"/>
          <w:sz w:val="24"/>
          <w:szCs w:val="24"/>
          <w:highlight w:val="white"/>
          <w:lang w:val="en-US"/>
        </w:rPr>
        <w:t>.01. British Council.</w:t>
      </w:r>
    </w:p>
    <w:p w14:paraId="3CC1B775" w14:textId="19AA1675" w:rsidR="003D341D" w:rsidRPr="00894C24" w:rsidRDefault="003D341D" w:rsidP="00D7293F">
      <w:pPr>
        <w:spacing w:line="240" w:lineRule="auto"/>
        <w:ind w:left="720" w:hanging="720"/>
        <w:jc w:val="both"/>
        <w:rPr>
          <w:rFonts w:asciiTheme="majorHAnsi" w:eastAsia="Roboto" w:hAnsiTheme="majorHAnsi" w:cstheme="majorHAnsi"/>
          <w:color w:val="333333"/>
          <w:sz w:val="21"/>
          <w:szCs w:val="21"/>
          <w:highlight w:val="yellow"/>
          <w:lang w:val="en-US"/>
        </w:rPr>
      </w:pPr>
    </w:p>
    <w:p w14:paraId="1A55AED9" w14:textId="1F898907" w:rsidR="00230161" w:rsidRDefault="00230161">
      <w:pPr>
        <w:rPr>
          <w:rFonts w:asciiTheme="majorHAnsi" w:hAnsiTheme="majorHAnsi" w:cstheme="majorHAnsi"/>
          <w:lang w:val="en-GB"/>
        </w:rPr>
      </w:pPr>
      <w:r>
        <w:rPr>
          <w:rFonts w:asciiTheme="majorHAnsi" w:hAnsiTheme="majorHAnsi" w:cstheme="majorHAnsi"/>
          <w:lang w:val="en-GB"/>
        </w:rPr>
        <w:br w:type="page"/>
      </w:r>
    </w:p>
    <w:p w14:paraId="6C900E14" w14:textId="059BD41E" w:rsidR="00230161" w:rsidRDefault="00507798" w:rsidP="003D341D">
      <w:pPr>
        <w:jc w:val="center"/>
        <w:rPr>
          <w:rFonts w:asciiTheme="majorHAnsi" w:hAnsiTheme="majorHAnsi" w:cstheme="majorHAnsi"/>
          <w:lang w:val="en-GB"/>
        </w:rPr>
      </w:pPr>
      <w:r w:rsidRPr="00F15F8D">
        <w:rPr>
          <w:rFonts w:asciiTheme="majorHAnsi" w:hAnsiTheme="majorHAnsi" w:cstheme="majorHAnsi"/>
          <w:lang w:val="en-GB"/>
        </w:rPr>
        <w:t>Appendix</w:t>
      </w:r>
      <w:r w:rsidR="00A63198">
        <w:rPr>
          <w:rFonts w:asciiTheme="majorHAnsi" w:hAnsiTheme="majorHAnsi" w:cstheme="majorHAnsi"/>
          <w:lang w:val="en-GB"/>
        </w:rPr>
        <w:t xml:space="preserve"> A</w:t>
      </w:r>
    </w:p>
    <w:p w14:paraId="1CB56347" w14:textId="12EA7724" w:rsidR="00230161" w:rsidRPr="00314A64" w:rsidRDefault="00507798" w:rsidP="00230161">
      <w:pPr>
        <w:rPr>
          <w:rFonts w:asciiTheme="majorHAnsi" w:eastAsia="Times New Roman" w:hAnsiTheme="majorHAnsi" w:cstheme="majorHAnsi"/>
          <w:b/>
          <w:color w:val="333333"/>
          <w:lang w:val="en-US"/>
        </w:rPr>
      </w:pPr>
      <w:r w:rsidRPr="00314A64">
        <w:rPr>
          <w:rFonts w:asciiTheme="majorHAnsi" w:hAnsiTheme="majorHAnsi" w:cstheme="majorHAnsi"/>
          <w:b/>
          <w:highlight w:val="yellow"/>
          <w:lang w:val="en-GB"/>
        </w:rPr>
        <w:t xml:space="preserve">An </w:t>
      </w:r>
      <w:r w:rsidR="00314A64" w:rsidRPr="00314A64">
        <w:rPr>
          <w:rFonts w:asciiTheme="majorHAnsi" w:hAnsiTheme="majorHAnsi" w:cstheme="majorHAnsi"/>
          <w:b/>
          <w:highlight w:val="yellow"/>
          <w:lang w:val="en-GB"/>
        </w:rPr>
        <w:t xml:space="preserve">Overview of </w:t>
      </w:r>
      <w:r w:rsidR="003D341D">
        <w:rPr>
          <w:rFonts w:asciiTheme="majorHAnsi" w:hAnsiTheme="majorHAnsi" w:cstheme="majorHAnsi"/>
          <w:b/>
          <w:highlight w:val="yellow"/>
          <w:lang w:val="en-GB"/>
        </w:rPr>
        <w:t>t</w:t>
      </w:r>
      <w:r w:rsidR="00314A64" w:rsidRPr="00314A64">
        <w:rPr>
          <w:rFonts w:asciiTheme="majorHAnsi" w:hAnsiTheme="majorHAnsi" w:cstheme="majorHAnsi"/>
          <w:b/>
          <w:highlight w:val="yellow"/>
          <w:lang w:val="en-GB"/>
        </w:rPr>
        <w:t xml:space="preserve">he Questionnaire Employed </w:t>
      </w:r>
      <w:r w:rsidR="00314A64">
        <w:rPr>
          <w:rFonts w:asciiTheme="majorHAnsi" w:hAnsiTheme="majorHAnsi" w:cstheme="majorHAnsi"/>
          <w:b/>
          <w:highlight w:val="yellow"/>
          <w:lang w:val="en-GB"/>
        </w:rPr>
        <w:t>i</w:t>
      </w:r>
      <w:r w:rsidR="00314A64" w:rsidRPr="00314A64">
        <w:rPr>
          <w:rFonts w:asciiTheme="majorHAnsi" w:hAnsiTheme="majorHAnsi" w:cstheme="majorHAnsi"/>
          <w:b/>
          <w:highlight w:val="yellow"/>
          <w:lang w:val="en-GB"/>
        </w:rPr>
        <w:t>n This Study.</w:t>
      </w:r>
      <w:r w:rsidR="00314A64" w:rsidRPr="00314A64">
        <w:rPr>
          <w:rFonts w:asciiTheme="majorHAnsi" w:eastAsia="Times New Roman" w:hAnsiTheme="majorHAnsi" w:cstheme="majorHAnsi"/>
          <w:b/>
          <w:color w:val="333333"/>
          <w:highlight w:val="yellow"/>
          <w:lang w:val="en-US"/>
        </w:rPr>
        <w:t xml:space="preserve"> </w:t>
      </w:r>
      <w:r w:rsidR="00230161" w:rsidRPr="00314A64">
        <w:rPr>
          <w:rFonts w:asciiTheme="majorHAnsi" w:eastAsia="Times New Roman" w:hAnsiTheme="majorHAnsi" w:cstheme="majorHAnsi"/>
          <w:b/>
          <w:color w:val="333333"/>
          <w:highlight w:val="yellow"/>
          <w:lang w:val="en-US"/>
        </w:rPr>
        <w:t xml:space="preserve">Sections </w:t>
      </w:r>
      <w:r w:rsidR="00314A64">
        <w:rPr>
          <w:rFonts w:asciiTheme="majorHAnsi" w:eastAsia="Times New Roman" w:hAnsiTheme="majorHAnsi" w:cstheme="majorHAnsi"/>
          <w:b/>
          <w:color w:val="333333"/>
          <w:highlight w:val="yellow"/>
          <w:lang w:val="en-US"/>
        </w:rPr>
        <w:t>o</w:t>
      </w:r>
      <w:r w:rsidR="00314A64" w:rsidRPr="00314A64">
        <w:rPr>
          <w:rFonts w:asciiTheme="majorHAnsi" w:eastAsia="Times New Roman" w:hAnsiTheme="majorHAnsi" w:cstheme="majorHAnsi"/>
          <w:b/>
          <w:color w:val="333333"/>
          <w:highlight w:val="yellow"/>
          <w:lang w:val="en-US"/>
        </w:rPr>
        <w:t xml:space="preserve">f </w:t>
      </w:r>
      <w:r w:rsidR="00314A64">
        <w:rPr>
          <w:rFonts w:asciiTheme="majorHAnsi" w:eastAsia="Times New Roman" w:hAnsiTheme="majorHAnsi" w:cstheme="majorHAnsi"/>
          <w:b/>
          <w:color w:val="333333"/>
          <w:highlight w:val="yellow"/>
          <w:lang w:val="en-US"/>
        </w:rPr>
        <w:t>t</w:t>
      </w:r>
      <w:r w:rsidR="00314A64" w:rsidRPr="00314A64">
        <w:rPr>
          <w:rFonts w:asciiTheme="majorHAnsi" w:eastAsia="Times New Roman" w:hAnsiTheme="majorHAnsi" w:cstheme="majorHAnsi"/>
          <w:b/>
          <w:color w:val="333333"/>
          <w:highlight w:val="yellow"/>
          <w:lang w:val="en-US"/>
        </w:rPr>
        <w:t xml:space="preserve">he Questionnaire, Questions </w:t>
      </w:r>
      <w:r w:rsidR="00314A64">
        <w:rPr>
          <w:rFonts w:asciiTheme="majorHAnsi" w:eastAsia="Times New Roman" w:hAnsiTheme="majorHAnsi" w:cstheme="majorHAnsi"/>
          <w:b/>
          <w:color w:val="333333"/>
          <w:highlight w:val="yellow"/>
          <w:lang w:val="en-US"/>
        </w:rPr>
        <w:t>a</w:t>
      </w:r>
      <w:r w:rsidR="00314A64" w:rsidRPr="00314A64">
        <w:rPr>
          <w:rFonts w:asciiTheme="majorHAnsi" w:eastAsia="Times New Roman" w:hAnsiTheme="majorHAnsi" w:cstheme="majorHAnsi"/>
          <w:b/>
          <w:color w:val="333333"/>
          <w:highlight w:val="yellow"/>
          <w:lang w:val="en-US"/>
        </w:rPr>
        <w:t xml:space="preserve">nd Types </w:t>
      </w:r>
      <w:r w:rsidR="00314A64">
        <w:rPr>
          <w:rFonts w:asciiTheme="majorHAnsi" w:eastAsia="Times New Roman" w:hAnsiTheme="majorHAnsi" w:cstheme="majorHAnsi"/>
          <w:b/>
          <w:color w:val="333333"/>
          <w:highlight w:val="yellow"/>
          <w:lang w:val="en-US"/>
        </w:rPr>
        <w:t>o</w:t>
      </w:r>
      <w:r w:rsidR="00314A64" w:rsidRPr="00314A64">
        <w:rPr>
          <w:rFonts w:asciiTheme="majorHAnsi" w:eastAsia="Times New Roman" w:hAnsiTheme="majorHAnsi" w:cstheme="majorHAnsi"/>
          <w:b/>
          <w:color w:val="333333"/>
          <w:highlight w:val="yellow"/>
          <w:lang w:val="en-US"/>
        </w:rPr>
        <w:t>f Answers</w:t>
      </w:r>
      <w:bookmarkStart w:id="1" w:name="_GoBack"/>
      <w:bookmarkEnd w:id="1"/>
      <w:commentRangeStart w:id="2"/>
      <w:commentRangeEnd w:id="2"/>
    </w:p>
    <w:tbl>
      <w:tblPr>
        <w:tblW w:w="8835" w:type="dxa"/>
        <w:tblInd w:w="240" w:type="dxa"/>
        <w:tblBorders>
          <w:top w:val="nil"/>
          <w:left w:val="nil"/>
          <w:bottom w:val="nil"/>
          <w:right w:val="nil"/>
          <w:insideH w:val="nil"/>
          <w:insideV w:val="nil"/>
        </w:tblBorders>
        <w:tblLayout w:type="fixed"/>
        <w:tblLook w:val="0600" w:firstRow="0" w:lastRow="0" w:firstColumn="0" w:lastColumn="0" w:noHBand="1" w:noVBand="1"/>
      </w:tblPr>
      <w:tblGrid>
        <w:gridCol w:w="1215"/>
        <w:gridCol w:w="1796"/>
        <w:gridCol w:w="439"/>
        <w:gridCol w:w="5385"/>
      </w:tblGrid>
      <w:tr w:rsidR="00507798" w:rsidRPr="00230161" w14:paraId="2ED95124" w14:textId="77777777" w:rsidTr="00230161">
        <w:trPr>
          <w:trHeight w:val="908"/>
        </w:trPr>
        <w:tc>
          <w:tcPr>
            <w:tcW w:w="1215" w:type="dxa"/>
            <w:tcBorders>
              <w:top w:val="single" w:sz="8" w:space="0" w:color="000000"/>
              <w:left w:val="single" w:sz="8" w:space="0" w:color="000000"/>
              <w:bottom w:val="single" w:sz="8" w:space="0" w:color="000000"/>
              <w:right w:val="single" w:sz="8" w:space="0" w:color="000000"/>
            </w:tcBorders>
            <w:tcMar>
              <w:top w:w="-240" w:type="dxa"/>
              <w:left w:w="-240" w:type="dxa"/>
              <w:bottom w:w="-240" w:type="dxa"/>
              <w:right w:w="-240" w:type="dxa"/>
            </w:tcMar>
          </w:tcPr>
          <w:p w14:paraId="62820B30" w14:textId="77777777" w:rsidR="00507798" w:rsidRPr="00894C24" w:rsidRDefault="00507798" w:rsidP="00230161">
            <w:pPr>
              <w:spacing w:before="240" w:line="240" w:lineRule="auto"/>
              <w:rPr>
                <w:rFonts w:asciiTheme="majorHAnsi" w:hAnsiTheme="majorHAnsi" w:cstheme="majorHAnsi"/>
                <w:sz w:val="16"/>
                <w:szCs w:val="16"/>
                <w:lang w:val="en-US"/>
              </w:rPr>
            </w:pPr>
          </w:p>
        </w:tc>
        <w:tc>
          <w:tcPr>
            <w:tcW w:w="1796" w:type="dxa"/>
            <w:tcBorders>
              <w:top w:val="single" w:sz="8" w:space="0" w:color="000000"/>
              <w:left w:val="nil"/>
              <w:bottom w:val="single" w:sz="8" w:space="0" w:color="000000"/>
              <w:right w:val="single" w:sz="8" w:space="0" w:color="000000"/>
            </w:tcBorders>
            <w:tcMar>
              <w:top w:w="-240" w:type="dxa"/>
              <w:left w:w="-240" w:type="dxa"/>
              <w:bottom w:w="-240" w:type="dxa"/>
              <w:right w:w="-240" w:type="dxa"/>
            </w:tcMar>
          </w:tcPr>
          <w:p w14:paraId="31F41BA9" w14:textId="77777777" w:rsidR="00507798" w:rsidRPr="00230161" w:rsidRDefault="00507798" w:rsidP="00230161">
            <w:pPr>
              <w:spacing w:before="240" w:line="240" w:lineRule="auto"/>
              <w:rPr>
                <w:rFonts w:asciiTheme="majorHAnsi" w:hAnsiTheme="majorHAnsi" w:cstheme="majorHAnsi"/>
                <w:sz w:val="18"/>
                <w:szCs w:val="18"/>
                <w:lang w:val="en-US"/>
              </w:rPr>
            </w:pPr>
            <w:r w:rsidRPr="00230161">
              <w:rPr>
                <w:rFonts w:asciiTheme="majorHAnsi" w:hAnsiTheme="majorHAnsi" w:cstheme="majorHAnsi"/>
                <w:sz w:val="18"/>
                <w:szCs w:val="18"/>
                <w:lang w:val="en-US"/>
              </w:rPr>
              <w:t>Evaluators</w:t>
            </w:r>
          </w:p>
        </w:tc>
        <w:tc>
          <w:tcPr>
            <w:tcW w:w="439" w:type="dxa"/>
            <w:tcBorders>
              <w:top w:val="single" w:sz="8" w:space="0" w:color="000000"/>
              <w:left w:val="nil"/>
              <w:bottom w:val="single" w:sz="8" w:space="0" w:color="000000"/>
              <w:right w:val="single" w:sz="8" w:space="0" w:color="000000"/>
            </w:tcBorders>
            <w:tcMar>
              <w:top w:w="-240" w:type="dxa"/>
              <w:left w:w="-240" w:type="dxa"/>
              <w:bottom w:w="-240" w:type="dxa"/>
              <w:right w:w="-240" w:type="dxa"/>
            </w:tcMar>
          </w:tcPr>
          <w:p w14:paraId="7CD5F975" w14:textId="77777777" w:rsidR="00507798" w:rsidRPr="00230161" w:rsidRDefault="00507798" w:rsidP="00230161">
            <w:pPr>
              <w:spacing w:before="240" w:line="240" w:lineRule="auto"/>
              <w:rPr>
                <w:rFonts w:asciiTheme="majorHAnsi" w:hAnsiTheme="majorHAnsi" w:cstheme="majorHAnsi"/>
                <w:sz w:val="18"/>
                <w:szCs w:val="18"/>
                <w:lang w:val="en-US"/>
              </w:rPr>
            </w:pPr>
            <w:r w:rsidRPr="00230161">
              <w:rPr>
                <w:rFonts w:asciiTheme="majorHAnsi" w:hAnsiTheme="majorHAnsi" w:cstheme="majorHAnsi"/>
                <w:sz w:val="18"/>
                <w:szCs w:val="18"/>
                <w:lang w:val="en-US"/>
              </w:rPr>
              <w:t>Items</w:t>
            </w:r>
          </w:p>
        </w:tc>
        <w:tc>
          <w:tcPr>
            <w:tcW w:w="5385" w:type="dxa"/>
            <w:tcBorders>
              <w:top w:val="single" w:sz="8" w:space="0" w:color="000000"/>
              <w:left w:val="nil"/>
              <w:bottom w:val="single" w:sz="8" w:space="0" w:color="000000"/>
              <w:right w:val="single" w:sz="8" w:space="0" w:color="000000"/>
            </w:tcBorders>
            <w:tcMar>
              <w:top w:w="-240" w:type="dxa"/>
              <w:left w:w="-240" w:type="dxa"/>
              <w:bottom w:w="-240" w:type="dxa"/>
              <w:right w:w="-240" w:type="dxa"/>
            </w:tcMar>
          </w:tcPr>
          <w:p w14:paraId="41A6961B" w14:textId="574A2FFB" w:rsidR="00507798" w:rsidRPr="00230161" w:rsidRDefault="00507798" w:rsidP="00230161">
            <w:pPr>
              <w:spacing w:before="240" w:line="240" w:lineRule="auto"/>
              <w:rPr>
                <w:rFonts w:asciiTheme="majorHAnsi" w:hAnsiTheme="majorHAnsi" w:cstheme="majorHAnsi"/>
                <w:sz w:val="18"/>
                <w:szCs w:val="18"/>
                <w:lang w:val="en-US"/>
              </w:rPr>
            </w:pPr>
            <w:r w:rsidRPr="00230161">
              <w:rPr>
                <w:rFonts w:asciiTheme="majorHAnsi" w:hAnsiTheme="majorHAnsi" w:cstheme="majorHAnsi"/>
                <w:sz w:val="18"/>
                <w:szCs w:val="18"/>
                <w:lang w:val="en-US"/>
              </w:rPr>
              <w:t>Information requested</w:t>
            </w:r>
          </w:p>
        </w:tc>
      </w:tr>
      <w:tr w:rsidR="00507798" w:rsidRPr="00230161" w14:paraId="4976A714" w14:textId="77777777" w:rsidTr="00F04805">
        <w:trPr>
          <w:trHeight w:val="348"/>
        </w:trPr>
        <w:tc>
          <w:tcPr>
            <w:tcW w:w="1215" w:type="dxa"/>
            <w:tcBorders>
              <w:top w:val="nil"/>
              <w:left w:val="single" w:sz="8" w:space="0" w:color="000000"/>
              <w:bottom w:val="single" w:sz="8" w:space="0" w:color="000000"/>
              <w:right w:val="single" w:sz="8" w:space="0" w:color="000000"/>
            </w:tcBorders>
            <w:tcMar>
              <w:top w:w="-240" w:type="dxa"/>
              <w:left w:w="-240" w:type="dxa"/>
              <w:bottom w:w="-240" w:type="dxa"/>
              <w:right w:w="-240" w:type="dxa"/>
            </w:tcMar>
          </w:tcPr>
          <w:p w14:paraId="620AA8EB" w14:textId="77777777" w:rsidR="00507798" w:rsidRPr="00230161" w:rsidRDefault="00507798" w:rsidP="00230161">
            <w:pPr>
              <w:spacing w:before="240" w:line="240" w:lineRule="auto"/>
              <w:rPr>
                <w:rFonts w:asciiTheme="majorHAnsi" w:hAnsiTheme="majorHAnsi" w:cstheme="majorHAnsi"/>
                <w:sz w:val="16"/>
                <w:szCs w:val="16"/>
                <w:lang w:val="en-US"/>
              </w:rPr>
            </w:pPr>
            <w:r w:rsidRPr="00230161">
              <w:rPr>
                <w:rFonts w:asciiTheme="majorHAnsi" w:hAnsiTheme="majorHAnsi" w:cstheme="majorHAnsi"/>
                <w:sz w:val="16"/>
                <w:szCs w:val="16"/>
                <w:lang w:val="en-US"/>
              </w:rPr>
              <w:t>Section I</w:t>
            </w:r>
          </w:p>
        </w:tc>
        <w:tc>
          <w:tcPr>
            <w:tcW w:w="7620" w:type="dxa"/>
            <w:gridSpan w:val="3"/>
            <w:tcBorders>
              <w:top w:val="nil"/>
              <w:left w:val="nil"/>
              <w:bottom w:val="single" w:sz="8" w:space="0" w:color="000000"/>
              <w:right w:val="single" w:sz="8" w:space="0" w:color="000000"/>
            </w:tcBorders>
            <w:tcMar>
              <w:top w:w="-240" w:type="dxa"/>
              <w:left w:w="-240" w:type="dxa"/>
              <w:bottom w:w="-240" w:type="dxa"/>
              <w:right w:w="-240" w:type="dxa"/>
            </w:tcMar>
          </w:tcPr>
          <w:p w14:paraId="51767BC2" w14:textId="541F9ABB" w:rsidR="00507798" w:rsidRPr="00230161" w:rsidRDefault="00507798" w:rsidP="00230161">
            <w:pPr>
              <w:spacing w:before="240" w:line="240" w:lineRule="auto"/>
              <w:rPr>
                <w:rFonts w:asciiTheme="majorHAnsi" w:hAnsiTheme="majorHAnsi" w:cstheme="majorHAnsi"/>
                <w:sz w:val="16"/>
                <w:szCs w:val="16"/>
                <w:lang w:val="en-US"/>
              </w:rPr>
            </w:pPr>
            <w:r w:rsidRPr="00230161">
              <w:rPr>
                <w:rFonts w:asciiTheme="majorHAnsi" w:hAnsiTheme="majorHAnsi" w:cstheme="majorHAnsi"/>
                <w:sz w:val="18"/>
                <w:szCs w:val="18"/>
                <w:lang w:val="en-US"/>
              </w:rPr>
              <w:t>Objectives of the questionnaire</w:t>
            </w:r>
          </w:p>
        </w:tc>
      </w:tr>
      <w:tr w:rsidR="00507798" w:rsidRPr="00FA3D7E" w14:paraId="68632D3A" w14:textId="77777777" w:rsidTr="00230161">
        <w:trPr>
          <w:trHeight w:val="348"/>
        </w:trPr>
        <w:tc>
          <w:tcPr>
            <w:tcW w:w="1215" w:type="dxa"/>
            <w:tcBorders>
              <w:top w:val="nil"/>
              <w:left w:val="single" w:sz="8" w:space="0" w:color="000000"/>
              <w:bottom w:val="single" w:sz="8" w:space="0" w:color="000000"/>
              <w:right w:val="single" w:sz="8" w:space="0" w:color="000000"/>
            </w:tcBorders>
            <w:shd w:val="clear" w:color="auto" w:fill="auto"/>
            <w:tcMar>
              <w:top w:w="-240" w:type="dxa"/>
              <w:left w:w="-240" w:type="dxa"/>
              <w:bottom w:w="-240" w:type="dxa"/>
              <w:right w:w="-240" w:type="dxa"/>
            </w:tcMar>
          </w:tcPr>
          <w:p w14:paraId="67F48FCB" w14:textId="77777777" w:rsidR="00507798" w:rsidRPr="00230161" w:rsidRDefault="00507798" w:rsidP="00230161">
            <w:pPr>
              <w:spacing w:before="240" w:line="240" w:lineRule="auto"/>
              <w:rPr>
                <w:rFonts w:asciiTheme="majorHAnsi" w:hAnsiTheme="majorHAnsi" w:cstheme="majorHAnsi"/>
                <w:sz w:val="16"/>
                <w:szCs w:val="16"/>
                <w:lang w:val="en-US"/>
              </w:rPr>
            </w:pPr>
            <w:r w:rsidRPr="00230161">
              <w:rPr>
                <w:rFonts w:asciiTheme="majorHAnsi" w:hAnsiTheme="majorHAnsi" w:cstheme="majorHAnsi"/>
                <w:sz w:val="16"/>
                <w:szCs w:val="16"/>
                <w:lang w:val="en-US"/>
              </w:rPr>
              <w:t>Section II</w:t>
            </w:r>
          </w:p>
        </w:tc>
        <w:tc>
          <w:tcPr>
            <w:tcW w:w="1796"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2C3D3D4F" w14:textId="77777777" w:rsidR="00507798" w:rsidRPr="00F15F8D" w:rsidRDefault="00507798" w:rsidP="00230161">
            <w:pPr>
              <w:spacing w:before="240" w:line="240" w:lineRule="auto"/>
              <w:rPr>
                <w:rFonts w:asciiTheme="majorHAnsi" w:hAnsiTheme="majorHAnsi" w:cstheme="majorHAnsi"/>
                <w:sz w:val="16"/>
                <w:szCs w:val="16"/>
              </w:rPr>
            </w:pPr>
            <w:r w:rsidRPr="00230161">
              <w:rPr>
                <w:rFonts w:asciiTheme="majorHAnsi" w:hAnsiTheme="majorHAnsi" w:cstheme="majorHAnsi"/>
                <w:sz w:val="16"/>
                <w:szCs w:val="16"/>
                <w:lang w:val="en-US"/>
              </w:rPr>
              <w:t>Demographic data (experience +</w:t>
            </w:r>
            <w:r w:rsidRPr="00F15F8D">
              <w:rPr>
                <w:rFonts w:asciiTheme="majorHAnsi" w:hAnsiTheme="majorHAnsi" w:cstheme="majorHAnsi"/>
                <w:sz w:val="16"/>
                <w:szCs w:val="16"/>
              </w:rPr>
              <w:t>level)</w:t>
            </w:r>
          </w:p>
        </w:tc>
        <w:tc>
          <w:tcPr>
            <w:tcW w:w="439"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4465BC04" w14:textId="77777777" w:rsidR="00507798" w:rsidRPr="00F15F8D" w:rsidRDefault="00507798" w:rsidP="00095C48">
            <w:pPr>
              <w:spacing w:before="240" w:line="240" w:lineRule="auto"/>
              <w:jc w:val="center"/>
              <w:rPr>
                <w:rFonts w:asciiTheme="majorHAnsi" w:hAnsiTheme="majorHAnsi" w:cstheme="majorHAnsi"/>
                <w:sz w:val="16"/>
                <w:szCs w:val="16"/>
              </w:rPr>
            </w:pPr>
            <w:r w:rsidRPr="00F15F8D">
              <w:rPr>
                <w:rFonts w:asciiTheme="majorHAnsi" w:hAnsiTheme="majorHAnsi" w:cstheme="majorHAnsi"/>
                <w:sz w:val="16"/>
                <w:szCs w:val="16"/>
              </w:rPr>
              <w:t>1-9</w:t>
            </w:r>
          </w:p>
        </w:tc>
        <w:tc>
          <w:tcPr>
            <w:tcW w:w="5385"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0DEAC7C3" w14:textId="0DC99842" w:rsidR="00507798" w:rsidRPr="00F15F8D" w:rsidRDefault="00507798" w:rsidP="00230161">
            <w:pPr>
              <w:spacing w:line="240" w:lineRule="auto"/>
              <w:ind w:left="720"/>
              <w:rPr>
                <w:rFonts w:asciiTheme="majorHAnsi" w:hAnsiTheme="majorHAnsi" w:cstheme="majorHAnsi"/>
                <w:sz w:val="16"/>
                <w:szCs w:val="16"/>
              </w:rPr>
            </w:pPr>
          </w:p>
          <w:p w14:paraId="02FE434F" w14:textId="77777777" w:rsidR="00507798" w:rsidRPr="00F15F8D" w:rsidRDefault="00507798" w:rsidP="00230161">
            <w:pPr>
              <w:numPr>
                <w:ilvl w:val="0"/>
                <w:numId w:val="3"/>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Age (MC)</w:t>
            </w:r>
          </w:p>
          <w:p w14:paraId="6F68DB67" w14:textId="77777777" w:rsidR="00507798" w:rsidRPr="00F15F8D" w:rsidRDefault="00507798" w:rsidP="00230161">
            <w:pPr>
              <w:numPr>
                <w:ilvl w:val="0"/>
                <w:numId w:val="3"/>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Gender (MC)</w:t>
            </w:r>
          </w:p>
          <w:p w14:paraId="24B5F6FB" w14:textId="77777777" w:rsidR="00507798" w:rsidRPr="00F15F8D" w:rsidRDefault="00507798" w:rsidP="00230161">
            <w:pPr>
              <w:numPr>
                <w:ilvl w:val="0"/>
                <w:numId w:val="3"/>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Qualifications/educational background (MC)</w:t>
            </w:r>
          </w:p>
          <w:p w14:paraId="73D0CFA0" w14:textId="77777777" w:rsidR="00507798" w:rsidRPr="00F15F8D" w:rsidRDefault="00507798" w:rsidP="00230161">
            <w:pPr>
              <w:numPr>
                <w:ilvl w:val="0"/>
                <w:numId w:val="3"/>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Rating experience: length (MC)</w:t>
            </w:r>
          </w:p>
          <w:p w14:paraId="2CBA222A" w14:textId="77777777" w:rsidR="00507798" w:rsidRPr="00894C24" w:rsidRDefault="00507798" w:rsidP="00230161">
            <w:pPr>
              <w:numPr>
                <w:ilvl w:val="0"/>
                <w:numId w:val="3"/>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Learning length in language being evaluated (MC)</w:t>
            </w:r>
          </w:p>
          <w:p w14:paraId="7BBD749B" w14:textId="77777777" w:rsidR="00507798" w:rsidRPr="00894C24" w:rsidRDefault="00507798" w:rsidP="00230161">
            <w:pPr>
              <w:numPr>
                <w:ilvl w:val="0"/>
                <w:numId w:val="3"/>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Identify language centre, level, type of course (OQ, OMC)</w:t>
            </w:r>
          </w:p>
          <w:p w14:paraId="2E2F45DC" w14:textId="77777777" w:rsidR="00507798" w:rsidRPr="00894C24" w:rsidRDefault="00507798" w:rsidP="00230161">
            <w:pPr>
              <w:numPr>
                <w:ilvl w:val="0"/>
                <w:numId w:val="3"/>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identify languages and levels evaluated (</w:t>
            </w:r>
            <w:r w:rsidRPr="00894C24">
              <w:rPr>
                <w:rFonts w:asciiTheme="majorHAnsi" w:hAnsiTheme="majorHAnsi" w:cstheme="majorHAnsi"/>
                <w:sz w:val="16"/>
                <w:szCs w:val="16"/>
                <w:highlight w:val="yellow"/>
                <w:lang w:val="en-US"/>
              </w:rPr>
              <w:t>OMC</w:t>
            </w:r>
            <w:r w:rsidRPr="00894C24">
              <w:rPr>
                <w:rFonts w:asciiTheme="majorHAnsi" w:hAnsiTheme="majorHAnsi" w:cstheme="majorHAnsi"/>
                <w:sz w:val="16"/>
                <w:szCs w:val="16"/>
                <w:lang w:val="en-US"/>
              </w:rPr>
              <w:t>)</w:t>
            </w:r>
          </w:p>
          <w:p w14:paraId="6697E3F5" w14:textId="77777777" w:rsidR="00507798" w:rsidRPr="00894C24" w:rsidRDefault="00507798" w:rsidP="00230161">
            <w:pPr>
              <w:numPr>
                <w:ilvl w:val="0"/>
                <w:numId w:val="3"/>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Type of accreditation obtained, language(s) and level (</w:t>
            </w:r>
            <w:sdt>
              <w:sdtPr>
                <w:rPr>
                  <w:rFonts w:asciiTheme="majorHAnsi" w:hAnsiTheme="majorHAnsi" w:cstheme="majorHAnsi"/>
                </w:rPr>
                <w:tag w:val="goog_rdk_10"/>
                <w:id w:val="-1121834973"/>
              </w:sdtPr>
              <w:sdtEndPr/>
              <w:sdtContent/>
            </w:sdt>
            <w:r w:rsidRPr="00894C24">
              <w:rPr>
                <w:rFonts w:asciiTheme="majorHAnsi" w:hAnsiTheme="majorHAnsi" w:cstheme="majorHAnsi"/>
                <w:sz w:val="16"/>
                <w:szCs w:val="16"/>
                <w:highlight w:val="yellow"/>
                <w:lang w:val="en-US"/>
              </w:rPr>
              <w:t>OMC</w:t>
            </w:r>
            <w:r w:rsidRPr="00894C24">
              <w:rPr>
                <w:rFonts w:asciiTheme="majorHAnsi" w:hAnsiTheme="majorHAnsi" w:cstheme="majorHAnsi"/>
                <w:sz w:val="16"/>
                <w:szCs w:val="16"/>
                <w:lang w:val="en-US"/>
              </w:rPr>
              <w:t>)</w:t>
            </w:r>
          </w:p>
          <w:p w14:paraId="6C112271" w14:textId="77777777" w:rsidR="00507798" w:rsidRPr="00894C24" w:rsidRDefault="00507798" w:rsidP="00230161">
            <w:pPr>
              <w:spacing w:line="240" w:lineRule="auto"/>
              <w:ind w:left="720"/>
              <w:rPr>
                <w:rFonts w:asciiTheme="majorHAnsi" w:hAnsiTheme="majorHAnsi" w:cstheme="majorHAnsi"/>
                <w:sz w:val="16"/>
                <w:szCs w:val="16"/>
                <w:lang w:val="en-US"/>
              </w:rPr>
            </w:pPr>
          </w:p>
        </w:tc>
      </w:tr>
      <w:tr w:rsidR="00507798" w:rsidRPr="00FA3D7E" w14:paraId="0351281A" w14:textId="77777777" w:rsidTr="00230161">
        <w:trPr>
          <w:trHeight w:val="348"/>
        </w:trPr>
        <w:tc>
          <w:tcPr>
            <w:tcW w:w="1215" w:type="dxa"/>
            <w:tcBorders>
              <w:top w:val="nil"/>
              <w:left w:val="single" w:sz="8" w:space="0" w:color="000000"/>
              <w:bottom w:val="single" w:sz="8" w:space="0" w:color="000000"/>
              <w:right w:val="single" w:sz="8" w:space="0" w:color="000000"/>
            </w:tcBorders>
            <w:shd w:val="clear" w:color="auto" w:fill="auto"/>
            <w:tcMar>
              <w:top w:w="-240" w:type="dxa"/>
              <w:left w:w="-240" w:type="dxa"/>
              <w:bottom w:w="-240" w:type="dxa"/>
              <w:right w:w="-240" w:type="dxa"/>
            </w:tcMar>
          </w:tcPr>
          <w:p w14:paraId="3FCB04BA" w14:textId="77777777" w:rsidR="00507798" w:rsidRPr="00F15F8D" w:rsidRDefault="00507798" w:rsidP="00230161">
            <w:pPr>
              <w:spacing w:before="240" w:line="240" w:lineRule="auto"/>
              <w:rPr>
                <w:rFonts w:asciiTheme="majorHAnsi" w:hAnsiTheme="majorHAnsi" w:cstheme="majorHAnsi"/>
                <w:sz w:val="16"/>
                <w:szCs w:val="16"/>
              </w:rPr>
            </w:pPr>
            <w:r w:rsidRPr="00F15F8D">
              <w:rPr>
                <w:rFonts w:asciiTheme="majorHAnsi" w:hAnsiTheme="majorHAnsi" w:cstheme="majorHAnsi"/>
                <w:sz w:val="16"/>
                <w:szCs w:val="16"/>
              </w:rPr>
              <w:t>Section III</w:t>
            </w:r>
          </w:p>
        </w:tc>
        <w:tc>
          <w:tcPr>
            <w:tcW w:w="1796"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6A813AAB" w14:textId="77777777" w:rsidR="00507798" w:rsidRPr="00894C24" w:rsidRDefault="00507798" w:rsidP="00230161">
            <w:pPr>
              <w:spacing w:before="24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Training on CEFR and CV</w:t>
            </w:r>
          </w:p>
        </w:tc>
        <w:tc>
          <w:tcPr>
            <w:tcW w:w="439"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7AB4AFEC" w14:textId="77777777" w:rsidR="00507798" w:rsidRPr="00F15F8D" w:rsidRDefault="00507798" w:rsidP="00230161">
            <w:pPr>
              <w:spacing w:before="240" w:line="240" w:lineRule="auto"/>
              <w:rPr>
                <w:rFonts w:asciiTheme="majorHAnsi" w:hAnsiTheme="majorHAnsi" w:cstheme="majorHAnsi"/>
                <w:sz w:val="16"/>
                <w:szCs w:val="16"/>
              </w:rPr>
            </w:pPr>
            <w:r w:rsidRPr="00F15F8D">
              <w:rPr>
                <w:rFonts w:asciiTheme="majorHAnsi" w:hAnsiTheme="majorHAnsi" w:cstheme="majorHAnsi"/>
                <w:sz w:val="16"/>
                <w:szCs w:val="16"/>
              </w:rPr>
              <w:t>10-14</w:t>
            </w:r>
          </w:p>
        </w:tc>
        <w:tc>
          <w:tcPr>
            <w:tcW w:w="5385"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00CDEFF8" w14:textId="77777777" w:rsidR="00507798" w:rsidRPr="00F15F8D" w:rsidRDefault="00507798" w:rsidP="00230161">
            <w:pPr>
              <w:spacing w:line="240" w:lineRule="auto"/>
              <w:ind w:left="720"/>
              <w:rPr>
                <w:rFonts w:asciiTheme="majorHAnsi" w:hAnsiTheme="majorHAnsi" w:cstheme="majorHAnsi"/>
                <w:sz w:val="16"/>
                <w:szCs w:val="16"/>
              </w:rPr>
            </w:pPr>
          </w:p>
          <w:p w14:paraId="777B9AB0" w14:textId="77777777" w:rsidR="00507798" w:rsidRPr="00894C24" w:rsidRDefault="00507798" w:rsidP="000F5C6E">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Training on CEFR/CV for evaluation  (MC: yes/no/-not-enough)</w:t>
            </w:r>
          </w:p>
          <w:p w14:paraId="5BEA4879" w14:textId="77777777" w:rsidR="00507798" w:rsidRPr="00894C24" w:rsidRDefault="00507798" w:rsidP="00BC7B45">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Where was training for evaluation received (</w:t>
            </w:r>
            <w:r w:rsidRPr="00894C24">
              <w:rPr>
                <w:rFonts w:asciiTheme="majorHAnsi" w:hAnsiTheme="majorHAnsi" w:cstheme="majorHAnsi"/>
                <w:sz w:val="16"/>
                <w:szCs w:val="16"/>
                <w:highlight w:val="yellow"/>
                <w:lang w:val="en-US"/>
              </w:rPr>
              <w:t>OMC</w:t>
            </w:r>
            <w:r w:rsidRPr="00894C24">
              <w:rPr>
                <w:rFonts w:asciiTheme="majorHAnsi" w:hAnsiTheme="majorHAnsi" w:cstheme="majorHAnsi"/>
                <w:sz w:val="16"/>
                <w:szCs w:val="16"/>
                <w:lang w:val="en-US"/>
              </w:rPr>
              <w:t>)</w:t>
            </w:r>
          </w:p>
          <w:p w14:paraId="45EB3CF9" w14:textId="77777777" w:rsidR="00507798" w:rsidRPr="00894C24" w:rsidRDefault="00507798" w:rsidP="00792AE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Useful aspects of training (OQ)</w:t>
            </w:r>
          </w:p>
          <w:p w14:paraId="6C8EEF53" w14:textId="77777777" w:rsidR="00507798" w:rsidRPr="00894C24" w:rsidRDefault="00507798" w:rsidP="00792AE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Aspects still lacking in training (OQ)</w:t>
            </w:r>
          </w:p>
          <w:p w14:paraId="42803F4F" w14:textId="77777777" w:rsidR="00507798" w:rsidRPr="00894C24" w:rsidRDefault="00507798" w:rsidP="004630CE">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 xml:space="preserve">Identify future training for improving assessment processes (OQ) </w:t>
            </w:r>
          </w:p>
          <w:p w14:paraId="4D0992CA" w14:textId="77777777" w:rsidR="00507798" w:rsidRPr="00894C24" w:rsidRDefault="00507798">
            <w:pPr>
              <w:spacing w:line="240" w:lineRule="auto"/>
              <w:ind w:left="720"/>
              <w:rPr>
                <w:rFonts w:asciiTheme="majorHAnsi" w:hAnsiTheme="majorHAnsi" w:cstheme="majorHAnsi"/>
                <w:sz w:val="16"/>
                <w:szCs w:val="16"/>
                <w:lang w:val="en-US"/>
              </w:rPr>
            </w:pPr>
          </w:p>
        </w:tc>
      </w:tr>
      <w:tr w:rsidR="00507798" w:rsidRPr="00FA3D7E" w14:paraId="094116C7" w14:textId="77777777" w:rsidTr="00230161">
        <w:trPr>
          <w:trHeight w:val="348"/>
        </w:trPr>
        <w:tc>
          <w:tcPr>
            <w:tcW w:w="1215" w:type="dxa"/>
            <w:tcBorders>
              <w:top w:val="nil"/>
              <w:left w:val="single" w:sz="8" w:space="0" w:color="000000"/>
              <w:bottom w:val="single" w:sz="8" w:space="0" w:color="000000"/>
              <w:right w:val="single" w:sz="8" w:space="0" w:color="000000"/>
            </w:tcBorders>
            <w:shd w:val="clear" w:color="auto" w:fill="auto"/>
            <w:tcMar>
              <w:top w:w="-240" w:type="dxa"/>
              <w:left w:w="-240" w:type="dxa"/>
              <w:bottom w:w="-240" w:type="dxa"/>
              <w:right w:w="-240" w:type="dxa"/>
            </w:tcMar>
          </w:tcPr>
          <w:p w14:paraId="5B7C2351" w14:textId="77777777" w:rsidR="00507798" w:rsidRPr="00F15F8D" w:rsidRDefault="00507798" w:rsidP="00230161">
            <w:pPr>
              <w:spacing w:before="240" w:line="240" w:lineRule="auto"/>
              <w:rPr>
                <w:rFonts w:asciiTheme="majorHAnsi" w:hAnsiTheme="majorHAnsi" w:cstheme="majorHAnsi"/>
                <w:sz w:val="16"/>
                <w:szCs w:val="16"/>
              </w:rPr>
            </w:pPr>
            <w:r w:rsidRPr="00F15F8D">
              <w:rPr>
                <w:rFonts w:asciiTheme="majorHAnsi" w:hAnsiTheme="majorHAnsi" w:cstheme="majorHAnsi"/>
                <w:sz w:val="16"/>
                <w:szCs w:val="16"/>
              </w:rPr>
              <w:t>Section IV</w:t>
            </w:r>
          </w:p>
        </w:tc>
        <w:tc>
          <w:tcPr>
            <w:tcW w:w="1796"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4463CB45" w14:textId="77777777" w:rsidR="00507798" w:rsidRPr="00F15F8D" w:rsidRDefault="00507798" w:rsidP="00230161">
            <w:pPr>
              <w:spacing w:before="240" w:line="240" w:lineRule="auto"/>
              <w:rPr>
                <w:rFonts w:asciiTheme="majorHAnsi" w:hAnsiTheme="majorHAnsi" w:cstheme="majorHAnsi"/>
                <w:sz w:val="16"/>
                <w:szCs w:val="16"/>
              </w:rPr>
            </w:pPr>
            <w:r w:rsidRPr="00F15F8D">
              <w:rPr>
                <w:rFonts w:asciiTheme="majorHAnsi" w:hAnsiTheme="majorHAnsi" w:cstheme="majorHAnsi"/>
                <w:sz w:val="16"/>
                <w:szCs w:val="16"/>
              </w:rPr>
              <w:t>Knowledge on CEFR/CV</w:t>
            </w:r>
          </w:p>
        </w:tc>
        <w:tc>
          <w:tcPr>
            <w:tcW w:w="439"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4379F5AD" w14:textId="77777777" w:rsidR="00507798" w:rsidRPr="00F15F8D" w:rsidRDefault="00507798" w:rsidP="00230161">
            <w:pPr>
              <w:spacing w:before="240" w:line="240" w:lineRule="auto"/>
              <w:rPr>
                <w:rFonts w:asciiTheme="majorHAnsi" w:hAnsiTheme="majorHAnsi" w:cstheme="majorHAnsi"/>
                <w:sz w:val="16"/>
                <w:szCs w:val="16"/>
              </w:rPr>
            </w:pPr>
            <w:r w:rsidRPr="00F15F8D">
              <w:rPr>
                <w:rFonts w:asciiTheme="majorHAnsi" w:hAnsiTheme="majorHAnsi" w:cstheme="majorHAnsi"/>
                <w:sz w:val="16"/>
                <w:szCs w:val="16"/>
              </w:rPr>
              <w:t>15-32</w:t>
            </w:r>
          </w:p>
        </w:tc>
        <w:tc>
          <w:tcPr>
            <w:tcW w:w="5385"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38D2BEFF" w14:textId="77777777" w:rsidR="00507798" w:rsidRPr="00F15F8D" w:rsidRDefault="00507798" w:rsidP="00230161">
            <w:pPr>
              <w:numPr>
                <w:ilvl w:val="0"/>
                <w:numId w:val="4"/>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Knowledge of CEFR (1-10) (LS)</w:t>
            </w:r>
          </w:p>
          <w:p w14:paraId="07F60B9D" w14:textId="77777777" w:rsidR="00507798" w:rsidRPr="00F15F8D" w:rsidRDefault="00507798" w:rsidP="000F5C6E">
            <w:pPr>
              <w:numPr>
                <w:ilvl w:val="0"/>
                <w:numId w:val="4"/>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Knowledge of CV (1-10) (LS)</w:t>
            </w:r>
          </w:p>
          <w:p w14:paraId="05284AC0" w14:textId="77777777" w:rsidR="00507798" w:rsidRPr="00894C24" w:rsidRDefault="00507798" w:rsidP="00BC7B45">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Differences between CEFR and CV (1-10) (LS)</w:t>
            </w:r>
          </w:p>
          <w:p w14:paraId="75C84A84" w14:textId="77777777" w:rsidR="00507798" w:rsidRPr="00894C24" w:rsidRDefault="00507798" w:rsidP="00792AE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Specify differences between CEFR/CV (OQ)</w:t>
            </w:r>
          </w:p>
          <w:p w14:paraId="1FDF8E96" w14:textId="77777777" w:rsidR="00507798" w:rsidRPr="00F15F8D" w:rsidRDefault="00507798" w:rsidP="00792AE8">
            <w:pPr>
              <w:numPr>
                <w:ilvl w:val="0"/>
                <w:numId w:val="4"/>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Knowledge of descriptors (1-10) (LS)</w:t>
            </w:r>
          </w:p>
          <w:p w14:paraId="5E6DC1DE" w14:textId="77777777" w:rsidR="00507798" w:rsidRPr="00F15F8D" w:rsidRDefault="00507798" w:rsidP="004630CE">
            <w:pPr>
              <w:numPr>
                <w:ilvl w:val="0"/>
                <w:numId w:val="4"/>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(Y/N/Partially) (MC)</w:t>
            </w:r>
          </w:p>
          <w:p w14:paraId="33B35663"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 xml:space="preserve">Use of descriptors to evaluate certAcles exam candidates  (1-10) (LS) </w:t>
            </w:r>
          </w:p>
          <w:p w14:paraId="0205EDA8"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Knowledge of linguistic competence  (1-10) (LS)</w:t>
            </w:r>
          </w:p>
          <w:p w14:paraId="387B09C4" w14:textId="77777777" w:rsidR="00507798" w:rsidRPr="00894C24" w:rsidRDefault="00FA3D7E">
            <w:pPr>
              <w:numPr>
                <w:ilvl w:val="0"/>
                <w:numId w:val="4"/>
              </w:numPr>
              <w:spacing w:after="0" w:line="240" w:lineRule="auto"/>
              <w:rPr>
                <w:rFonts w:asciiTheme="majorHAnsi" w:hAnsiTheme="majorHAnsi" w:cstheme="majorHAnsi"/>
                <w:sz w:val="16"/>
                <w:szCs w:val="16"/>
                <w:lang w:val="en-US"/>
              </w:rPr>
            </w:pPr>
            <w:sdt>
              <w:sdtPr>
                <w:rPr>
                  <w:rFonts w:asciiTheme="majorHAnsi" w:hAnsiTheme="majorHAnsi" w:cstheme="majorHAnsi"/>
                </w:rPr>
                <w:tag w:val="goog_rdk_11"/>
                <w:id w:val="404960056"/>
              </w:sdtPr>
              <w:sdtEndPr/>
              <w:sdtContent/>
            </w:sdt>
            <w:sdt>
              <w:sdtPr>
                <w:rPr>
                  <w:rFonts w:asciiTheme="majorHAnsi" w:hAnsiTheme="majorHAnsi" w:cstheme="majorHAnsi"/>
                </w:rPr>
                <w:tag w:val="goog_rdk_12"/>
                <w:id w:val="1092974391"/>
              </w:sdtPr>
              <w:sdtEndPr/>
              <w:sdtContent/>
            </w:sdt>
            <w:r w:rsidR="00507798" w:rsidRPr="00894C24">
              <w:rPr>
                <w:rFonts w:asciiTheme="majorHAnsi" w:hAnsiTheme="majorHAnsi" w:cstheme="majorHAnsi"/>
                <w:sz w:val="16"/>
                <w:szCs w:val="16"/>
                <w:lang w:val="en-US"/>
              </w:rPr>
              <w:t>Inclusion of the linguistic competence in the rubric used to evaluate candidates  (1-10) (LS)</w:t>
            </w:r>
          </w:p>
          <w:p w14:paraId="633285D6"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 xml:space="preserve">Knowledge of sociolinguistic competence  (1-10) (LS)  </w:t>
            </w:r>
          </w:p>
          <w:p w14:paraId="24454739"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Inclusion of the sociolinguistic competence in the rubric used to evaluate candidates  (1-10) (LS)</w:t>
            </w:r>
          </w:p>
          <w:p w14:paraId="10CA1F71"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Knowledge of pragmatic competence  (1-10) (LS)</w:t>
            </w:r>
          </w:p>
          <w:p w14:paraId="3524DB56"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 xml:space="preserve">Inclusion of the pragmatic competence in the rubric used to evaluate candidates  (1-10) (LS)  </w:t>
            </w:r>
          </w:p>
          <w:p w14:paraId="61FF4F4D"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 xml:space="preserve">Knowledge of plurilingual &amp; pluricultural competence (1-10) (LS) </w:t>
            </w:r>
          </w:p>
          <w:p w14:paraId="1A922DBE"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Inclusion of the plurilingual &amp; pluricultural competence in the rubric used to evaluate candidates  (1-10) (LS)</w:t>
            </w:r>
          </w:p>
          <w:p w14:paraId="74F193A8" w14:textId="77777777" w:rsidR="00507798" w:rsidRPr="00F15F8D" w:rsidRDefault="00507798">
            <w:pPr>
              <w:numPr>
                <w:ilvl w:val="0"/>
                <w:numId w:val="4"/>
              </w:numPr>
              <w:spacing w:after="0" w:line="240" w:lineRule="auto"/>
              <w:rPr>
                <w:rFonts w:asciiTheme="majorHAnsi" w:hAnsiTheme="majorHAnsi" w:cstheme="majorHAnsi"/>
                <w:sz w:val="16"/>
                <w:szCs w:val="16"/>
              </w:rPr>
            </w:pPr>
            <w:r w:rsidRPr="00F15F8D">
              <w:rPr>
                <w:rFonts w:asciiTheme="majorHAnsi" w:hAnsiTheme="majorHAnsi" w:cstheme="majorHAnsi"/>
                <w:sz w:val="16"/>
                <w:szCs w:val="16"/>
              </w:rPr>
              <w:t xml:space="preserve">Knowledge of mediation  (1-10) (LS) </w:t>
            </w:r>
          </w:p>
          <w:p w14:paraId="72BA98BA"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Inclusion of mediation in the rubric used to evaluate candidates  (1-10) (LS)</w:t>
            </w:r>
          </w:p>
          <w:p w14:paraId="7B820BC8" w14:textId="77777777" w:rsidR="00507798" w:rsidRPr="00894C24" w:rsidRDefault="00507798">
            <w:pPr>
              <w:numPr>
                <w:ilvl w:val="0"/>
                <w:numId w:val="4"/>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Reflection of the action oriented approach in evaluation  (1-10) (LS)</w:t>
            </w:r>
          </w:p>
          <w:p w14:paraId="470AED5E" w14:textId="77777777" w:rsidR="00507798" w:rsidRPr="00894C24" w:rsidRDefault="00507798">
            <w:pPr>
              <w:spacing w:line="240" w:lineRule="auto"/>
              <w:ind w:left="720"/>
              <w:rPr>
                <w:rFonts w:asciiTheme="majorHAnsi" w:hAnsiTheme="majorHAnsi" w:cstheme="majorHAnsi"/>
                <w:sz w:val="16"/>
                <w:szCs w:val="16"/>
                <w:lang w:val="en-US"/>
              </w:rPr>
            </w:pPr>
          </w:p>
        </w:tc>
      </w:tr>
      <w:tr w:rsidR="00507798" w:rsidRPr="00FA3D7E" w14:paraId="4A410309" w14:textId="77777777" w:rsidTr="00230161">
        <w:trPr>
          <w:trHeight w:val="348"/>
        </w:trPr>
        <w:tc>
          <w:tcPr>
            <w:tcW w:w="1215" w:type="dxa"/>
            <w:tcBorders>
              <w:top w:val="nil"/>
              <w:left w:val="single" w:sz="8" w:space="0" w:color="000000"/>
              <w:bottom w:val="single" w:sz="8" w:space="0" w:color="000000"/>
              <w:right w:val="single" w:sz="8" w:space="0" w:color="000000"/>
            </w:tcBorders>
            <w:shd w:val="clear" w:color="auto" w:fill="auto"/>
            <w:tcMar>
              <w:top w:w="-240" w:type="dxa"/>
              <w:left w:w="-240" w:type="dxa"/>
              <w:bottom w:w="-240" w:type="dxa"/>
              <w:right w:w="-240" w:type="dxa"/>
            </w:tcMar>
          </w:tcPr>
          <w:p w14:paraId="21138BCA" w14:textId="77777777" w:rsidR="00507798" w:rsidRPr="00F15F8D" w:rsidRDefault="00507798" w:rsidP="00230161">
            <w:pPr>
              <w:spacing w:before="240" w:line="240" w:lineRule="auto"/>
              <w:rPr>
                <w:rFonts w:asciiTheme="majorHAnsi" w:hAnsiTheme="majorHAnsi" w:cstheme="majorHAnsi"/>
                <w:sz w:val="16"/>
                <w:szCs w:val="16"/>
              </w:rPr>
            </w:pPr>
            <w:r w:rsidRPr="00F15F8D">
              <w:rPr>
                <w:rFonts w:asciiTheme="majorHAnsi" w:hAnsiTheme="majorHAnsi" w:cstheme="majorHAnsi"/>
                <w:sz w:val="16"/>
                <w:szCs w:val="16"/>
              </w:rPr>
              <w:t>Section V</w:t>
            </w:r>
          </w:p>
        </w:tc>
        <w:tc>
          <w:tcPr>
            <w:tcW w:w="1796"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76D8B5D9" w14:textId="57C5FBC0" w:rsidR="00507798" w:rsidRPr="00894C24" w:rsidRDefault="00507798" w:rsidP="00230161">
            <w:pPr>
              <w:spacing w:before="24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Impact of CEFR</w:t>
            </w:r>
            <w:r w:rsidR="00230161">
              <w:rPr>
                <w:rFonts w:asciiTheme="majorHAnsi" w:hAnsiTheme="majorHAnsi" w:cstheme="majorHAnsi"/>
                <w:sz w:val="16"/>
                <w:szCs w:val="16"/>
                <w:lang w:val="en-US"/>
              </w:rPr>
              <w:t xml:space="preserve"> </w:t>
            </w:r>
            <w:r w:rsidRPr="00894C24">
              <w:rPr>
                <w:rFonts w:asciiTheme="majorHAnsi" w:hAnsiTheme="majorHAnsi" w:cstheme="majorHAnsi"/>
                <w:sz w:val="16"/>
                <w:szCs w:val="16"/>
                <w:lang w:val="en-US"/>
              </w:rPr>
              <w:t>and CV</w:t>
            </w:r>
          </w:p>
        </w:tc>
        <w:tc>
          <w:tcPr>
            <w:tcW w:w="439"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72C53C24" w14:textId="77777777" w:rsidR="00507798" w:rsidRPr="00F15F8D" w:rsidRDefault="00507798" w:rsidP="00230161">
            <w:pPr>
              <w:spacing w:before="240" w:line="240" w:lineRule="auto"/>
              <w:rPr>
                <w:rFonts w:asciiTheme="majorHAnsi" w:hAnsiTheme="majorHAnsi" w:cstheme="majorHAnsi"/>
                <w:sz w:val="16"/>
                <w:szCs w:val="16"/>
              </w:rPr>
            </w:pPr>
            <w:r w:rsidRPr="00F15F8D">
              <w:rPr>
                <w:rFonts w:asciiTheme="majorHAnsi" w:hAnsiTheme="majorHAnsi" w:cstheme="majorHAnsi"/>
                <w:sz w:val="16"/>
                <w:szCs w:val="16"/>
              </w:rPr>
              <w:t>33-38</w:t>
            </w:r>
          </w:p>
        </w:tc>
        <w:tc>
          <w:tcPr>
            <w:tcW w:w="5385" w:type="dxa"/>
            <w:tcBorders>
              <w:top w:val="nil"/>
              <w:left w:val="nil"/>
              <w:bottom w:val="single" w:sz="8" w:space="0" w:color="000000"/>
              <w:right w:val="single" w:sz="8" w:space="0" w:color="000000"/>
            </w:tcBorders>
            <w:shd w:val="clear" w:color="auto" w:fill="auto"/>
            <w:tcMar>
              <w:top w:w="-240" w:type="dxa"/>
              <w:left w:w="-240" w:type="dxa"/>
              <w:bottom w:w="-240" w:type="dxa"/>
              <w:right w:w="-240" w:type="dxa"/>
            </w:tcMar>
          </w:tcPr>
          <w:p w14:paraId="13A12A17" w14:textId="77777777" w:rsidR="00507798" w:rsidRPr="00F15F8D" w:rsidRDefault="00507798" w:rsidP="00230161">
            <w:pPr>
              <w:spacing w:line="240" w:lineRule="auto"/>
              <w:ind w:left="720"/>
              <w:rPr>
                <w:rFonts w:asciiTheme="majorHAnsi" w:hAnsiTheme="majorHAnsi" w:cstheme="majorHAnsi"/>
                <w:sz w:val="16"/>
                <w:szCs w:val="16"/>
              </w:rPr>
            </w:pPr>
          </w:p>
          <w:p w14:paraId="28D87552" w14:textId="77777777" w:rsidR="00507798" w:rsidRPr="00894C24" w:rsidRDefault="00507798" w:rsidP="00230161">
            <w:pPr>
              <w:numPr>
                <w:ilvl w:val="0"/>
                <w:numId w:val="2"/>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Rate the usefulness of the CEFR/CV  (1-10) (LS)</w:t>
            </w:r>
          </w:p>
          <w:p w14:paraId="131990C6" w14:textId="77777777" w:rsidR="00507798" w:rsidRPr="00894C24" w:rsidRDefault="00507798" w:rsidP="000F5C6E">
            <w:pPr>
              <w:numPr>
                <w:ilvl w:val="0"/>
                <w:numId w:val="2"/>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Usefulness of CEFR/CV on my evaluation (OQ)</w:t>
            </w:r>
          </w:p>
          <w:p w14:paraId="56D3C86E" w14:textId="77777777" w:rsidR="00507798" w:rsidRPr="00894C24" w:rsidRDefault="00507798" w:rsidP="00BC7B45">
            <w:pPr>
              <w:numPr>
                <w:ilvl w:val="0"/>
                <w:numId w:val="2"/>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Missing aspects of CEFR/CV for my evaluation (OQ)</w:t>
            </w:r>
          </w:p>
          <w:p w14:paraId="15BD0F43" w14:textId="77777777" w:rsidR="00507798" w:rsidRPr="00894C24" w:rsidRDefault="00507798" w:rsidP="00792AE8">
            <w:pPr>
              <w:numPr>
                <w:ilvl w:val="0"/>
                <w:numId w:val="2"/>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Rate the usefulness of the CEFR/CV to evaluate students’ communicative competence (1-10) (LS)</w:t>
            </w:r>
          </w:p>
          <w:p w14:paraId="10FF3504" w14:textId="77777777" w:rsidR="00507798" w:rsidRPr="00894C24" w:rsidRDefault="00507798" w:rsidP="00792AE8">
            <w:pPr>
              <w:numPr>
                <w:ilvl w:val="0"/>
                <w:numId w:val="2"/>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Impact of CEFR/CV on my evaluation (OQ)</w:t>
            </w:r>
          </w:p>
          <w:p w14:paraId="29A18C5B" w14:textId="77777777" w:rsidR="00507798" w:rsidRPr="00894C24" w:rsidRDefault="00507798" w:rsidP="004630CE">
            <w:pPr>
              <w:numPr>
                <w:ilvl w:val="0"/>
                <w:numId w:val="2"/>
              </w:numPr>
              <w:spacing w:after="0" w:line="240" w:lineRule="auto"/>
              <w:rPr>
                <w:rFonts w:asciiTheme="majorHAnsi" w:hAnsiTheme="majorHAnsi" w:cstheme="majorHAnsi"/>
                <w:sz w:val="16"/>
                <w:szCs w:val="16"/>
                <w:lang w:val="en-US"/>
              </w:rPr>
            </w:pPr>
            <w:r w:rsidRPr="00894C24">
              <w:rPr>
                <w:rFonts w:asciiTheme="majorHAnsi" w:hAnsiTheme="majorHAnsi" w:cstheme="majorHAnsi"/>
                <w:sz w:val="16"/>
                <w:szCs w:val="16"/>
                <w:lang w:val="en-US"/>
              </w:rPr>
              <w:t>Impact of CEFR/CV on my language centre (OQ)</w:t>
            </w:r>
          </w:p>
          <w:p w14:paraId="359257D9" w14:textId="77777777" w:rsidR="00507798" w:rsidRPr="00894C24" w:rsidRDefault="00507798" w:rsidP="004630CE">
            <w:pPr>
              <w:spacing w:line="240" w:lineRule="auto"/>
              <w:ind w:left="720"/>
              <w:rPr>
                <w:rFonts w:asciiTheme="majorHAnsi" w:hAnsiTheme="majorHAnsi" w:cstheme="majorHAnsi"/>
                <w:sz w:val="16"/>
                <w:szCs w:val="16"/>
                <w:lang w:val="en-US"/>
              </w:rPr>
            </w:pPr>
          </w:p>
        </w:tc>
      </w:tr>
    </w:tbl>
    <w:p w14:paraId="16E24542" w14:textId="77777777" w:rsidR="00507798" w:rsidRPr="00F15F8D" w:rsidRDefault="00507798">
      <w:pPr>
        <w:rPr>
          <w:rFonts w:asciiTheme="majorHAnsi" w:hAnsiTheme="majorHAnsi" w:cstheme="majorHAnsi"/>
          <w:lang w:val="en-GB"/>
        </w:rPr>
      </w:pPr>
    </w:p>
    <w:sectPr w:rsidR="00507798" w:rsidRPr="00F15F8D">
      <w:endnotePr>
        <w:numFmt w:val="decimal"/>
      </w:endnotePr>
      <w:pgSz w:w="11906" w:h="16838"/>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973366" w16cex:dateUtc="2023-02-15T09:33:00Z"/>
  <w16cex:commentExtensible w16cex:durableId="27972847" w16cex:dateUtc="2023-02-15T08:45:00Z"/>
  <w16cex:commentExtensible w16cex:durableId="279733D4" w16cex:dateUtc="2023-02-15T09:35:00Z"/>
  <w16cex:commentExtensible w16cex:durableId="27972F8C" w16cex:dateUtc="2023-02-15T09: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41FBB5" w16cid:durableId="2797222F"/>
  <w16cid:commentId w16cid:paraId="6578F3BC" w16cid:durableId="27972230"/>
  <w16cid:commentId w16cid:paraId="1423A419" w16cid:durableId="27972231"/>
  <w16cid:commentId w16cid:paraId="7C4A5DB7" w16cid:durableId="27972232"/>
  <w16cid:commentId w16cid:paraId="3DF0A3E3" w16cid:durableId="27972233"/>
  <w16cid:commentId w16cid:paraId="3F7CC7D2" w16cid:durableId="27972243"/>
  <w16cid:commentId w16cid:paraId="2B87D8CE" w16cid:durableId="27972234"/>
  <w16cid:commentId w16cid:paraId="64712102" w16cid:durableId="27972235"/>
  <w16cid:commentId w16cid:paraId="4249E0B6" w16cid:durableId="27972236"/>
  <w16cid:commentId w16cid:paraId="0612795A" w16cid:durableId="27972237"/>
  <w16cid:commentId w16cid:paraId="278D43FC" w16cid:durableId="27972239"/>
  <w16cid:commentId w16cid:paraId="078628D4" w16cid:durableId="27973366"/>
  <w16cid:commentId w16cid:paraId="7DE33B07" w16cid:durableId="2797223A"/>
  <w16cid:commentId w16cid:paraId="4A8D8E8B" w16cid:durableId="2797223B"/>
  <w16cid:commentId w16cid:paraId="28D198E7" w16cid:durableId="2797223C"/>
  <w16cid:commentId w16cid:paraId="1EA1763A" w16cid:durableId="27972847"/>
  <w16cid:commentId w16cid:paraId="6C8417BD" w16cid:durableId="279733D4"/>
  <w16cid:commentId w16cid:paraId="7C4D1088" w16cid:durableId="2797223E"/>
  <w16cid:commentId w16cid:paraId="0D396DF6" w16cid:durableId="2797223F"/>
  <w16cid:commentId w16cid:paraId="712CD2BF" w16cid:durableId="27972240"/>
  <w16cid:commentId w16cid:paraId="735FCFE0" w16cid:durableId="27972241"/>
  <w16cid:commentId w16cid:paraId="0D8ACF72" w16cid:durableId="27972F8C"/>
  <w16cid:commentId w16cid:paraId="6E2D7D8F" w16cid:durableId="2797224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D9F56D" w14:textId="77777777" w:rsidR="00190F59" w:rsidRDefault="00190F59" w:rsidP="00657B70">
      <w:pPr>
        <w:spacing w:after="0" w:line="240" w:lineRule="auto"/>
      </w:pPr>
      <w:r>
        <w:separator/>
      </w:r>
    </w:p>
  </w:endnote>
  <w:endnote w:type="continuationSeparator" w:id="0">
    <w:p w14:paraId="5A52FCCC" w14:textId="77777777" w:rsidR="00190F59" w:rsidRDefault="00190F59" w:rsidP="00657B70">
      <w:pPr>
        <w:spacing w:after="0" w:line="240" w:lineRule="auto"/>
      </w:pPr>
      <w:r>
        <w:continuationSeparator/>
      </w:r>
    </w:p>
  </w:endnote>
  <w:endnote w:id="1">
    <w:p w14:paraId="1D1437AC" w14:textId="1B9EA26E" w:rsidR="00CD7490" w:rsidRPr="00CD7490" w:rsidRDefault="00CD7490" w:rsidP="002758D7">
      <w:pPr>
        <w:spacing w:after="0" w:line="240" w:lineRule="auto"/>
        <w:rPr>
          <w:rFonts w:ascii="Times New Roman" w:hAnsi="Times New Roman" w:cs="Times New Roman"/>
          <w:b/>
          <w:sz w:val="24"/>
          <w:szCs w:val="24"/>
          <w:lang w:val="en-US"/>
        </w:rPr>
      </w:pPr>
      <w:r w:rsidRPr="00CD7490">
        <w:rPr>
          <w:rFonts w:ascii="Times New Roman" w:hAnsi="Times New Roman" w:cs="Times New Roman"/>
          <w:b/>
          <w:sz w:val="24"/>
          <w:szCs w:val="24"/>
          <w:lang w:val="en-US"/>
        </w:rPr>
        <w:t>Endnotes</w:t>
      </w:r>
    </w:p>
    <w:p w14:paraId="7A0EA25A" w14:textId="77777777" w:rsidR="00CD7490" w:rsidRDefault="00CD7490" w:rsidP="002758D7">
      <w:pPr>
        <w:spacing w:after="0" w:line="240" w:lineRule="auto"/>
        <w:rPr>
          <w:rFonts w:asciiTheme="majorHAnsi" w:hAnsiTheme="majorHAnsi" w:cstheme="majorHAnsi"/>
          <w:sz w:val="20"/>
          <w:szCs w:val="20"/>
          <w:lang w:val="en-US"/>
        </w:rPr>
      </w:pPr>
    </w:p>
    <w:p w14:paraId="640E1EB6" w14:textId="77777777" w:rsidR="00CD7490" w:rsidRDefault="00CD7490" w:rsidP="002758D7">
      <w:pPr>
        <w:spacing w:after="0" w:line="240" w:lineRule="auto"/>
        <w:rPr>
          <w:rFonts w:asciiTheme="majorHAnsi" w:hAnsiTheme="majorHAnsi" w:cstheme="majorHAnsi"/>
          <w:sz w:val="20"/>
          <w:szCs w:val="20"/>
          <w:lang w:val="en-US"/>
        </w:rPr>
      </w:pPr>
    </w:p>
    <w:p w14:paraId="46CF6445" w14:textId="20B889BC" w:rsidR="00CD7490" w:rsidRPr="00CD7490" w:rsidRDefault="00CD7490" w:rsidP="002758D7">
      <w:pPr>
        <w:spacing w:after="0" w:line="240" w:lineRule="auto"/>
        <w:rPr>
          <w:rFonts w:ascii="Times New Roman" w:hAnsi="Times New Roman" w:cs="Times New Roman"/>
          <w:sz w:val="20"/>
          <w:szCs w:val="20"/>
          <w:lang w:val="en-US"/>
        </w:rPr>
      </w:pPr>
      <w:r w:rsidRPr="00CD7490">
        <w:rPr>
          <w:rStyle w:val="Refdenotaalfinal"/>
          <w:rFonts w:ascii="Times New Roman" w:hAnsi="Times New Roman" w:cs="Times New Roman"/>
          <w:sz w:val="20"/>
          <w:szCs w:val="20"/>
        </w:rPr>
        <w:endnoteRef/>
      </w:r>
      <w:r w:rsidRPr="00CD7490">
        <w:rPr>
          <w:rFonts w:ascii="Times New Roman" w:hAnsi="Times New Roman" w:cs="Times New Roman"/>
          <w:sz w:val="20"/>
          <w:szCs w:val="20"/>
          <w:lang w:val="en-US"/>
        </w:rPr>
        <w:t xml:space="preserve"> </w:t>
      </w:r>
      <w:r w:rsidRPr="00CD7490">
        <w:rPr>
          <w:rFonts w:ascii="Times New Roman" w:eastAsia="Times New Roman" w:hAnsi="Times New Roman" w:cs="Times New Roman"/>
          <w:color w:val="333333"/>
          <w:sz w:val="20"/>
          <w:szCs w:val="20"/>
          <w:lang w:val="en-US"/>
        </w:rPr>
        <w:t xml:space="preserve">‘Making the CEFR/CV more user-friendly: fine-tuning descriptors with Learner Corpus Research (LCR)’ (MCIN/AEI/10.13039/501100011033)’. </w:t>
      </w:r>
    </w:p>
  </w:endnote>
  <w:endnote w:id="2">
    <w:p w14:paraId="1D468CC6" w14:textId="3233EE6D" w:rsidR="00CD7490" w:rsidRPr="00CD7490" w:rsidRDefault="00CD7490" w:rsidP="002758D7">
      <w:pPr>
        <w:spacing w:after="0" w:line="240" w:lineRule="auto"/>
        <w:rPr>
          <w:rFonts w:ascii="Times New Roman" w:hAnsi="Times New Roman" w:cs="Times New Roman"/>
          <w:color w:val="000000"/>
          <w:sz w:val="20"/>
          <w:szCs w:val="20"/>
          <w:lang w:val="en-GB"/>
        </w:rPr>
      </w:pPr>
      <w:r w:rsidRPr="00CD7490">
        <w:rPr>
          <w:rStyle w:val="Refdenotaalfinal"/>
          <w:rFonts w:ascii="Times New Roman" w:hAnsi="Times New Roman" w:cs="Times New Roman"/>
          <w:sz w:val="20"/>
          <w:szCs w:val="20"/>
        </w:rPr>
        <w:endnoteRef/>
      </w:r>
      <w:r w:rsidRPr="00CD7490">
        <w:rPr>
          <w:rFonts w:ascii="Times New Roman" w:hAnsi="Times New Roman" w:cs="Times New Roman"/>
          <w:sz w:val="20"/>
          <w:szCs w:val="20"/>
          <w:lang w:val="en-GB"/>
        </w:rPr>
        <w:t xml:space="preserve"> This study is part of the on-going national research project. See endnote 1. </w:t>
      </w:r>
    </w:p>
  </w:endnote>
  <w:endnote w:id="3">
    <w:p w14:paraId="36935C60" w14:textId="43A04CA2" w:rsidR="00CD7490" w:rsidRPr="00CD7490" w:rsidRDefault="00CD7490" w:rsidP="002758D7">
      <w:pPr>
        <w:pStyle w:val="Textonotaalfinal"/>
        <w:rPr>
          <w:rFonts w:ascii="Times New Roman" w:hAnsi="Times New Roman" w:cs="Times New Roman"/>
          <w:lang w:val="en-US"/>
        </w:rPr>
      </w:pPr>
      <w:r w:rsidRPr="00CD7490">
        <w:rPr>
          <w:rStyle w:val="Refdenotaalfinal"/>
          <w:rFonts w:ascii="Times New Roman" w:hAnsi="Times New Roman" w:cs="Times New Roman"/>
        </w:rPr>
        <w:endnoteRef/>
      </w:r>
      <w:r w:rsidRPr="00CD7490">
        <w:rPr>
          <w:rFonts w:ascii="Times New Roman" w:hAnsi="Times New Roman" w:cs="Times New Roman"/>
          <w:lang w:val="en-US"/>
        </w:rPr>
        <w:t xml:space="preserve"> An overview of the five blocks of the questionnaire and the type of questions made can be seen in the Appendix.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Roboto">
    <w:altName w:val="Times New Roman"/>
    <w:charset w:val="00"/>
    <w:family w:val="auto"/>
    <w:pitch w:val="default"/>
  </w:font>
  <w:font w:name="Palatino">
    <w:charset w:val="00"/>
    <w:family w:val="auto"/>
    <w:pitch w:val="variable"/>
    <w:sig w:usb0="A00002FF" w:usb1="7800205A" w:usb2="14600000" w:usb3="00000000" w:csb0="00000193" w:csb1="00000000"/>
  </w:font>
  <w:font w:name="AdvOT46dcae81">
    <w:altName w:val="Times New Roma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9BEF99" w14:textId="77777777" w:rsidR="00190F59" w:rsidRDefault="00190F59" w:rsidP="00657B70">
      <w:pPr>
        <w:spacing w:after="0" w:line="240" w:lineRule="auto"/>
      </w:pPr>
      <w:r>
        <w:separator/>
      </w:r>
    </w:p>
  </w:footnote>
  <w:footnote w:type="continuationSeparator" w:id="0">
    <w:p w14:paraId="4CDF8B1B" w14:textId="77777777" w:rsidR="00190F59" w:rsidRDefault="00190F59" w:rsidP="00657B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1F36B0B2"/>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1124E86"/>
    <w:multiLevelType w:val="multilevel"/>
    <w:tmpl w:val="77B27D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87E3DA0"/>
    <w:multiLevelType w:val="multilevel"/>
    <w:tmpl w:val="C74E92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11F7433"/>
    <w:multiLevelType w:val="hybridMultilevel"/>
    <w:tmpl w:val="50C03E9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 w15:restartNumberingAfterBreak="0">
    <w:nsid w:val="4E6953CA"/>
    <w:multiLevelType w:val="multilevel"/>
    <w:tmpl w:val="60F87E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59B238BB"/>
    <w:multiLevelType w:val="multilevel"/>
    <w:tmpl w:val="34922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2"/>
  </w:num>
  <w:num w:numId="3">
    <w:abstractNumId w:val="1"/>
  </w:num>
  <w:num w:numId="4">
    <w:abstractNumId w:val="5"/>
  </w:num>
  <w:num w:numId="5">
    <w:abstractNumId w:val="0"/>
  </w:num>
  <w:num w:numId="6">
    <w:abstractNumId w:val="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loria Luque">
    <w15:presenceInfo w15:providerId="None" w15:userId="Gloria Luqu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trackRevisions/>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5370"/>
    <w:rsid w:val="00021E29"/>
    <w:rsid w:val="000347B5"/>
    <w:rsid w:val="00046F0F"/>
    <w:rsid w:val="00047B28"/>
    <w:rsid w:val="000510CD"/>
    <w:rsid w:val="00052DAF"/>
    <w:rsid w:val="00057635"/>
    <w:rsid w:val="00062BF3"/>
    <w:rsid w:val="000632C1"/>
    <w:rsid w:val="000641A7"/>
    <w:rsid w:val="00071E05"/>
    <w:rsid w:val="000746ED"/>
    <w:rsid w:val="00084DF8"/>
    <w:rsid w:val="00093885"/>
    <w:rsid w:val="0009581A"/>
    <w:rsid w:val="00095C48"/>
    <w:rsid w:val="000B45A4"/>
    <w:rsid w:val="000E79B5"/>
    <w:rsid w:val="000F5C6E"/>
    <w:rsid w:val="000F6A05"/>
    <w:rsid w:val="00106BAA"/>
    <w:rsid w:val="00111FF8"/>
    <w:rsid w:val="0011262A"/>
    <w:rsid w:val="00112FD8"/>
    <w:rsid w:val="001176F3"/>
    <w:rsid w:val="00120FED"/>
    <w:rsid w:val="00125825"/>
    <w:rsid w:val="00131E5B"/>
    <w:rsid w:val="00132C45"/>
    <w:rsid w:val="00137CA9"/>
    <w:rsid w:val="00140517"/>
    <w:rsid w:val="00142D09"/>
    <w:rsid w:val="001439C2"/>
    <w:rsid w:val="0014579A"/>
    <w:rsid w:val="0015419C"/>
    <w:rsid w:val="001616BB"/>
    <w:rsid w:val="00164E83"/>
    <w:rsid w:val="00165408"/>
    <w:rsid w:val="00166316"/>
    <w:rsid w:val="00173476"/>
    <w:rsid w:val="00177104"/>
    <w:rsid w:val="001774E2"/>
    <w:rsid w:val="00180D09"/>
    <w:rsid w:val="00183CF4"/>
    <w:rsid w:val="001864DD"/>
    <w:rsid w:val="00190F59"/>
    <w:rsid w:val="0019245B"/>
    <w:rsid w:val="00194DDD"/>
    <w:rsid w:val="001A2925"/>
    <w:rsid w:val="001A2CB1"/>
    <w:rsid w:val="001B0623"/>
    <w:rsid w:val="001C5940"/>
    <w:rsid w:val="001C7305"/>
    <w:rsid w:val="001E394A"/>
    <w:rsid w:val="001E4932"/>
    <w:rsid w:val="001F473A"/>
    <w:rsid w:val="001F67CD"/>
    <w:rsid w:val="00204B12"/>
    <w:rsid w:val="00206031"/>
    <w:rsid w:val="00216C4A"/>
    <w:rsid w:val="00221D4E"/>
    <w:rsid w:val="00230161"/>
    <w:rsid w:val="00232937"/>
    <w:rsid w:val="00232B60"/>
    <w:rsid w:val="00251BD1"/>
    <w:rsid w:val="002523C8"/>
    <w:rsid w:val="0025445A"/>
    <w:rsid w:val="0025542A"/>
    <w:rsid w:val="00261034"/>
    <w:rsid w:val="00265AA8"/>
    <w:rsid w:val="0027166C"/>
    <w:rsid w:val="00273A51"/>
    <w:rsid w:val="002758D7"/>
    <w:rsid w:val="0028361C"/>
    <w:rsid w:val="002837F0"/>
    <w:rsid w:val="002856F3"/>
    <w:rsid w:val="002A313A"/>
    <w:rsid w:val="002A4206"/>
    <w:rsid w:val="002A5E26"/>
    <w:rsid w:val="002A6446"/>
    <w:rsid w:val="002B35C0"/>
    <w:rsid w:val="002D4D0D"/>
    <w:rsid w:val="002D5667"/>
    <w:rsid w:val="002E362E"/>
    <w:rsid w:val="002E4597"/>
    <w:rsid w:val="002E4BD2"/>
    <w:rsid w:val="002F0E31"/>
    <w:rsid w:val="002F4D00"/>
    <w:rsid w:val="002F65AC"/>
    <w:rsid w:val="003126F3"/>
    <w:rsid w:val="00313514"/>
    <w:rsid w:val="003142B0"/>
    <w:rsid w:val="00314A64"/>
    <w:rsid w:val="00315925"/>
    <w:rsid w:val="003205FD"/>
    <w:rsid w:val="00323DCA"/>
    <w:rsid w:val="00335F8C"/>
    <w:rsid w:val="00340481"/>
    <w:rsid w:val="00346AC4"/>
    <w:rsid w:val="003473E8"/>
    <w:rsid w:val="00352C76"/>
    <w:rsid w:val="003564FA"/>
    <w:rsid w:val="00357071"/>
    <w:rsid w:val="00357630"/>
    <w:rsid w:val="0036754E"/>
    <w:rsid w:val="00380D16"/>
    <w:rsid w:val="0038507A"/>
    <w:rsid w:val="0038573E"/>
    <w:rsid w:val="003870EE"/>
    <w:rsid w:val="00390693"/>
    <w:rsid w:val="003942D0"/>
    <w:rsid w:val="00394D2B"/>
    <w:rsid w:val="0039538E"/>
    <w:rsid w:val="00396CAF"/>
    <w:rsid w:val="003A1291"/>
    <w:rsid w:val="003A30C1"/>
    <w:rsid w:val="003A3AD3"/>
    <w:rsid w:val="003A5937"/>
    <w:rsid w:val="003A5A62"/>
    <w:rsid w:val="003B5370"/>
    <w:rsid w:val="003B7031"/>
    <w:rsid w:val="003B733E"/>
    <w:rsid w:val="003B746F"/>
    <w:rsid w:val="003B78E1"/>
    <w:rsid w:val="003C0C11"/>
    <w:rsid w:val="003D32B5"/>
    <w:rsid w:val="003D341D"/>
    <w:rsid w:val="003D3E90"/>
    <w:rsid w:val="003E2A6A"/>
    <w:rsid w:val="003E4EC9"/>
    <w:rsid w:val="003E73B5"/>
    <w:rsid w:val="003E75A9"/>
    <w:rsid w:val="003F0DB6"/>
    <w:rsid w:val="003F1F81"/>
    <w:rsid w:val="00400A3E"/>
    <w:rsid w:val="00401803"/>
    <w:rsid w:val="004021A8"/>
    <w:rsid w:val="00406DE5"/>
    <w:rsid w:val="00411298"/>
    <w:rsid w:val="004125D6"/>
    <w:rsid w:val="00413616"/>
    <w:rsid w:val="00416A52"/>
    <w:rsid w:val="004211BA"/>
    <w:rsid w:val="00423835"/>
    <w:rsid w:val="00424351"/>
    <w:rsid w:val="00425122"/>
    <w:rsid w:val="00430A51"/>
    <w:rsid w:val="0043436A"/>
    <w:rsid w:val="00436BF0"/>
    <w:rsid w:val="00441FD4"/>
    <w:rsid w:val="004506BC"/>
    <w:rsid w:val="00451252"/>
    <w:rsid w:val="00455554"/>
    <w:rsid w:val="00456B95"/>
    <w:rsid w:val="0046014F"/>
    <w:rsid w:val="004630CE"/>
    <w:rsid w:val="00471466"/>
    <w:rsid w:val="004804F8"/>
    <w:rsid w:val="00481CF8"/>
    <w:rsid w:val="00482C34"/>
    <w:rsid w:val="004868CA"/>
    <w:rsid w:val="00491D36"/>
    <w:rsid w:val="00492B4C"/>
    <w:rsid w:val="00496CAB"/>
    <w:rsid w:val="004A2BBC"/>
    <w:rsid w:val="004B7579"/>
    <w:rsid w:val="004C4E63"/>
    <w:rsid w:val="004D3F41"/>
    <w:rsid w:val="004E0342"/>
    <w:rsid w:val="004F03D2"/>
    <w:rsid w:val="004F0988"/>
    <w:rsid w:val="00503A28"/>
    <w:rsid w:val="00503E23"/>
    <w:rsid w:val="005062BD"/>
    <w:rsid w:val="005065B5"/>
    <w:rsid w:val="00507798"/>
    <w:rsid w:val="005105E3"/>
    <w:rsid w:val="00516D9F"/>
    <w:rsid w:val="00517021"/>
    <w:rsid w:val="00517DB5"/>
    <w:rsid w:val="00524353"/>
    <w:rsid w:val="00535284"/>
    <w:rsid w:val="00537769"/>
    <w:rsid w:val="005432A4"/>
    <w:rsid w:val="00543F29"/>
    <w:rsid w:val="00545D21"/>
    <w:rsid w:val="00550BA0"/>
    <w:rsid w:val="00557C28"/>
    <w:rsid w:val="00561069"/>
    <w:rsid w:val="00567B39"/>
    <w:rsid w:val="0058123D"/>
    <w:rsid w:val="005833FB"/>
    <w:rsid w:val="00584A88"/>
    <w:rsid w:val="0058769C"/>
    <w:rsid w:val="005967BF"/>
    <w:rsid w:val="005A0A23"/>
    <w:rsid w:val="005A0BBB"/>
    <w:rsid w:val="005A32BC"/>
    <w:rsid w:val="005B62ED"/>
    <w:rsid w:val="005C7686"/>
    <w:rsid w:val="005D4F72"/>
    <w:rsid w:val="005F42E7"/>
    <w:rsid w:val="00601CF0"/>
    <w:rsid w:val="00604E7B"/>
    <w:rsid w:val="00612C91"/>
    <w:rsid w:val="00630973"/>
    <w:rsid w:val="00631428"/>
    <w:rsid w:val="00634984"/>
    <w:rsid w:val="006365FF"/>
    <w:rsid w:val="00650590"/>
    <w:rsid w:val="00656CD0"/>
    <w:rsid w:val="00657B70"/>
    <w:rsid w:val="00662C97"/>
    <w:rsid w:val="00673624"/>
    <w:rsid w:val="00674B78"/>
    <w:rsid w:val="00675146"/>
    <w:rsid w:val="006769E9"/>
    <w:rsid w:val="00685933"/>
    <w:rsid w:val="00693EE8"/>
    <w:rsid w:val="006964AC"/>
    <w:rsid w:val="006B007E"/>
    <w:rsid w:val="006B0E3A"/>
    <w:rsid w:val="006B41B2"/>
    <w:rsid w:val="006B5445"/>
    <w:rsid w:val="006B6395"/>
    <w:rsid w:val="006B7E8D"/>
    <w:rsid w:val="006C1F58"/>
    <w:rsid w:val="006C76FF"/>
    <w:rsid w:val="006D4303"/>
    <w:rsid w:val="006D72F4"/>
    <w:rsid w:val="006E2817"/>
    <w:rsid w:val="006E4C68"/>
    <w:rsid w:val="006F0482"/>
    <w:rsid w:val="006F18C5"/>
    <w:rsid w:val="006F1FF3"/>
    <w:rsid w:val="006F25A5"/>
    <w:rsid w:val="006F488A"/>
    <w:rsid w:val="007039D0"/>
    <w:rsid w:val="00704F9E"/>
    <w:rsid w:val="0071315A"/>
    <w:rsid w:val="00714D55"/>
    <w:rsid w:val="00716586"/>
    <w:rsid w:val="007221D0"/>
    <w:rsid w:val="00722397"/>
    <w:rsid w:val="00724FF4"/>
    <w:rsid w:val="007274A7"/>
    <w:rsid w:val="0073146D"/>
    <w:rsid w:val="0073164E"/>
    <w:rsid w:val="00733D5A"/>
    <w:rsid w:val="00733DC9"/>
    <w:rsid w:val="007367CD"/>
    <w:rsid w:val="007370AB"/>
    <w:rsid w:val="00737722"/>
    <w:rsid w:val="007521B8"/>
    <w:rsid w:val="00756E0A"/>
    <w:rsid w:val="00764FFD"/>
    <w:rsid w:val="00774C1D"/>
    <w:rsid w:val="007803D1"/>
    <w:rsid w:val="0078761E"/>
    <w:rsid w:val="00792AE8"/>
    <w:rsid w:val="0079345A"/>
    <w:rsid w:val="007A01D1"/>
    <w:rsid w:val="007B0C7A"/>
    <w:rsid w:val="007B4093"/>
    <w:rsid w:val="007B574D"/>
    <w:rsid w:val="007B5C52"/>
    <w:rsid w:val="007C1AE1"/>
    <w:rsid w:val="007D1F20"/>
    <w:rsid w:val="007D7229"/>
    <w:rsid w:val="007E04A4"/>
    <w:rsid w:val="007E04E5"/>
    <w:rsid w:val="007E0776"/>
    <w:rsid w:val="007E60D1"/>
    <w:rsid w:val="007E6DB1"/>
    <w:rsid w:val="00800058"/>
    <w:rsid w:val="008001E1"/>
    <w:rsid w:val="0080477C"/>
    <w:rsid w:val="00810C0E"/>
    <w:rsid w:val="00820017"/>
    <w:rsid w:val="0082076A"/>
    <w:rsid w:val="00821C8A"/>
    <w:rsid w:val="00823535"/>
    <w:rsid w:val="00824683"/>
    <w:rsid w:val="00842557"/>
    <w:rsid w:val="00842B3D"/>
    <w:rsid w:val="00846BC7"/>
    <w:rsid w:val="00846F85"/>
    <w:rsid w:val="00847956"/>
    <w:rsid w:val="008522D6"/>
    <w:rsid w:val="00855DB9"/>
    <w:rsid w:val="008610C9"/>
    <w:rsid w:val="008708E8"/>
    <w:rsid w:val="00874278"/>
    <w:rsid w:val="0087466D"/>
    <w:rsid w:val="008762DA"/>
    <w:rsid w:val="008831CD"/>
    <w:rsid w:val="00887DDA"/>
    <w:rsid w:val="00887F8B"/>
    <w:rsid w:val="00894C24"/>
    <w:rsid w:val="00894C87"/>
    <w:rsid w:val="008B1C10"/>
    <w:rsid w:val="008C1A55"/>
    <w:rsid w:val="008C3A7A"/>
    <w:rsid w:val="008D32A0"/>
    <w:rsid w:val="008E428A"/>
    <w:rsid w:val="008E79D1"/>
    <w:rsid w:val="009065F6"/>
    <w:rsid w:val="009149C6"/>
    <w:rsid w:val="00940B40"/>
    <w:rsid w:val="0094196B"/>
    <w:rsid w:val="00942D83"/>
    <w:rsid w:val="00944103"/>
    <w:rsid w:val="0094581B"/>
    <w:rsid w:val="00947129"/>
    <w:rsid w:val="00947345"/>
    <w:rsid w:val="00953D1A"/>
    <w:rsid w:val="00954CC8"/>
    <w:rsid w:val="0095675A"/>
    <w:rsid w:val="00961979"/>
    <w:rsid w:val="009652EC"/>
    <w:rsid w:val="00965953"/>
    <w:rsid w:val="00972C25"/>
    <w:rsid w:val="009743D4"/>
    <w:rsid w:val="00975AF0"/>
    <w:rsid w:val="00982863"/>
    <w:rsid w:val="00994779"/>
    <w:rsid w:val="009A070D"/>
    <w:rsid w:val="009A4729"/>
    <w:rsid w:val="009A77AD"/>
    <w:rsid w:val="009C2BD2"/>
    <w:rsid w:val="009D4F48"/>
    <w:rsid w:val="009E23C7"/>
    <w:rsid w:val="009E5A96"/>
    <w:rsid w:val="009F3394"/>
    <w:rsid w:val="009F532A"/>
    <w:rsid w:val="009F79DB"/>
    <w:rsid w:val="00A066CE"/>
    <w:rsid w:val="00A1203B"/>
    <w:rsid w:val="00A13486"/>
    <w:rsid w:val="00A1592E"/>
    <w:rsid w:val="00A164EE"/>
    <w:rsid w:val="00A16BBD"/>
    <w:rsid w:val="00A17131"/>
    <w:rsid w:val="00A23B9B"/>
    <w:rsid w:val="00A23E0B"/>
    <w:rsid w:val="00A25A6D"/>
    <w:rsid w:val="00A324A5"/>
    <w:rsid w:val="00A46D2F"/>
    <w:rsid w:val="00A545C1"/>
    <w:rsid w:val="00A611AB"/>
    <w:rsid w:val="00A63198"/>
    <w:rsid w:val="00A63278"/>
    <w:rsid w:val="00A65DB2"/>
    <w:rsid w:val="00A71028"/>
    <w:rsid w:val="00A92CC2"/>
    <w:rsid w:val="00A9521A"/>
    <w:rsid w:val="00AA0FEC"/>
    <w:rsid w:val="00AA1876"/>
    <w:rsid w:val="00AB0AF5"/>
    <w:rsid w:val="00AB33E5"/>
    <w:rsid w:val="00AB370C"/>
    <w:rsid w:val="00AB4B43"/>
    <w:rsid w:val="00AB6BF0"/>
    <w:rsid w:val="00AC03B1"/>
    <w:rsid w:val="00AC4AEF"/>
    <w:rsid w:val="00AC550E"/>
    <w:rsid w:val="00AD2A4D"/>
    <w:rsid w:val="00AD6ADF"/>
    <w:rsid w:val="00AD7BB4"/>
    <w:rsid w:val="00AE4A8E"/>
    <w:rsid w:val="00AE579D"/>
    <w:rsid w:val="00AE6AAA"/>
    <w:rsid w:val="00AF6D87"/>
    <w:rsid w:val="00B00669"/>
    <w:rsid w:val="00B00E06"/>
    <w:rsid w:val="00B040FF"/>
    <w:rsid w:val="00B04BF9"/>
    <w:rsid w:val="00B12E4C"/>
    <w:rsid w:val="00B13626"/>
    <w:rsid w:val="00B16CAF"/>
    <w:rsid w:val="00B17B32"/>
    <w:rsid w:val="00B2063C"/>
    <w:rsid w:val="00B20A9C"/>
    <w:rsid w:val="00B20C2E"/>
    <w:rsid w:val="00B2111D"/>
    <w:rsid w:val="00B262D8"/>
    <w:rsid w:val="00B26B95"/>
    <w:rsid w:val="00B27000"/>
    <w:rsid w:val="00B27696"/>
    <w:rsid w:val="00B43A98"/>
    <w:rsid w:val="00B4538A"/>
    <w:rsid w:val="00B47FB2"/>
    <w:rsid w:val="00B511AA"/>
    <w:rsid w:val="00B52326"/>
    <w:rsid w:val="00B57478"/>
    <w:rsid w:val="00B635D5"/>
    <w:rsid w:val="00B6701B"/>
    <w:rsid w:val="00B714C2"/>
    <w:rsid w:val="00B729E6"/>
    <w:rsid w:val="00B74115"/>
    <w:rsid w:val="00B82F82"/>
    <w:rsid w:val="00B85C8B"/>
    <w:rsid w:val="00B907BE"/>
    <w:rsid w:val="00B924F5"/>
    <w:rsid w:val="00BA1ED5"/>
    <w:rsid w:val="00BA3980"/>
    <w:rsid w:val="00BB3C46"/>
    <w:rsid w:val="00BC4901"/>
    <w:rsid w:val="00BC5FFF"/>
    <w:rsid w:val="00BC7B45"/>
    <w:rsid w:val="00BD0431"/>
    <w:rsid w:val="00BD44F7"/>
    <w:rsid w:val="00BD7452"/>
    <w:rsid w:val="00BE7620"/>
    <w:rsid w:val="00BE772B"/>
    <w:rsid w:val="00BF0CC3"/>
    <w:rsid w:val="00BF27CB"/>
    <w:rsid w:val="00BF6356"/>
    <w:rsid w:val="00C00D93"/>
    <w:rsid w:val="00C01C14"/>
    <w:rsid w:val="00C01E04"/>
    <w:rsid w:val="00C100C5"/>
    <w:rsid w:val="00C147BE"/>
    <w:rsid w:val="00C155D5"/>
    <w:rsid w:val="00C166A6"/>
    <w:rsid w:val="00C17F31"/>
    <w:rsid w:val="00C204A1"/>
    <w:rsid w:val="00C20DCA"/>
    <w:rsid w:val="00C2575B"/>
    <w:rsid w:val="00C318DA"/>
    <w:rsid w:val="00C32B0F"/>
    <w:rsid w:val="00C44950"/>
    <w:rsid w:val="00C54DDA"/>
    <w:rsid w:val="00C54E44"/>
    <w:rsid w:val="00C60017"/>
    <w:rsid w:val="00C62226"/>
    <w:rsid w:val="00C6251D"/>
    <w:rsid w:val="00C62F2C"/>
    <w:rsid w:val="00C6559C"/>
    <w:rsid w:val="00C6598C"/>
    <w:rsid w:val="00C67E64"/>
    <w:rsid w:val="00C77A8F"/>
    <w:rsid w:val="00C80F7D"/>
    <w:rsid w:val="00C81E1B"/>
    <w:rsid w:val="00C84F49"/>
    <w:rsid w:val="00C87B1B"/>
    <w:rsid w:val="00C91789"/>
    <w:rsid w:val="00C94E05"/>
    <w:rsid w:val="00CA49D6"/>
    <w:rsid w:val="00CA544A"/>
    <w:rsid w:val="00CC38CB"/>
    <w:rsid w:val="00CC61CF"/>
    <w:rsid w:val="00CD14AD"/>
    <w:rsid w:val="00CD1504"/>
    <w:rsid w:val="00CD2D70"/>
    <w:rsid w:val="00CD5DBE"/>
    <w:rsid w:val="00CD7490"/>
    <w:rsid w:val="00CE018C"/>
    <w:rsid w:val="00CE5390"/>
    <w:rsid w:val="00CF415C"/>
    <w:rsid w:val="00CF5F55"/>
    <w:rsid w:val="00D00B9F"/>
    <w:rsid w:val="00D01549"/>
    <w:rsid w:val="00D01D47"/>
    <w:rsid w:val="00D13A49"/>
    <w:rsid w:val="00D30B14"/>
    <w:rsid w:val="00D3546C"/>
    <w:rsid w:val="00D36CC3"/>
    <w:rsid w:val="00D43B98"/>
    <w:rsid w:val="00D5429C"/>
    <w:rsid w:val="00D7293F"/>
    <w:rsid w:val="00D7360F"/>
    <w:rsid w:val="00D7692B"/>
    <w:rsid w:val="00D9065E"/>
    <w:rsid w:val="00D922DD"/>
    <w:rsid w:val="00D94C1B"/>
    <w:rsid w:val="00D9568A"/>
    <w:rsid w:val="00D95706"/>
    <w:rsid w:val="00D961BE"/>
    <w:rsid w:val="00DA288C"/>
    <w:rsid w:val="00DA44D1"/>
    <w:rsid w:val="00DB18A9"/>
    <w:rsid w:val="00DB39CA"/>
    <w:rsid w:val="00DB56DA"/>
    <w:rsid w:val="00DC1811"/>
    <w:rsid w:val="00DC24B8"/>
    <w:rsid w:val="00DD0E7E"/>
    <w:rsid w:val="00DD1FFF"/>
    <w:rsid w:val="00DE1BEA"/>
    <w:rsid w:val="00DF2DFB"/>
    <w:rsid w:val="00DF5380"/>
    <w:rsid w:val="00E02F43"/>
    <w:rsid w:val="00E11679"/>
    <w:rsid w:val="00E2027E"/>
    <w:rsid w:val="00E27B50"/>
    <w:rsid w:val="00E61A21"/>
    <w:rsid w:val="00E72C49"/>
    <w:rsid w:val="00E809A9"/>
    <w:rsid w:val="00E81579"/>
    <w:rsid w:val="00E83A4F"/>
    <w:rsid w:val="00E90CDA"/>
    <w:rsid w:val="00E93EC3"/>
    <w:rsid w:val="00E95FB0"/>
    <w:rsid w:val="00E96ADF"/>
    <w:rsid w:val="00EB0CE2"/>
    <w:rsid w:val="00EB565E"/>
    <w:rsid w:val="00EB6BD5"/>
    <w:rsid w:val="00EC2FD7"/>
    <w:rsid w:val="00EC3829"/>
    <w:rsid w:val="00EC4A1B"/>
    <w:rsid w:val="00EC63E6"/>
    <w:rsid w:val="00ED04F5"/>
    <w:rsid w:val="00ED6EFA"/>
    <w:rsid w:val="00EE1E5A"/>
    <w:rsid w:val="00EF15BB"/>
    <w:rsid w:val="00EF1650"/>
    <w:rsid w:val="00F04805"/>
    <w:rsid w:val="00F06019"/>
    <w:rsid w:val="00F06BE3"/>
    <w:rsid w:val="00F113E4"/>
    <w:rsid w:val="00F13D0C"/>
    <w:rsid w:val="00F15F8D"/>
    <w:rsid w:val="00F22023"/>
    <w:rsid w:val="00F34288"/>
    <w:rsid w:val="00F40F0C"/>
    <w:rsid w:val="00F416AF"/>
    <w:rsid w:val="00F45186"/>
    <w:rsid w:val="00F478F5"/>
    <w:rsid w:val="00F51B51"/>
    <w:rsid w:val="00F550CD"/>
    <w:rsid w:val="00F57147"/>
    <w:rsid w:val="00F614F7"/>
    <w:rsid w:val="00F65FBD"/>
    <w:rsid w:val="00F661B3"/>
    <w:rsid w:val="00F67096"/>
    <w:rsid w:val="00F716B0"/>
    <w:rsid w:val="00F72BF8"/>
    <w:rsid w:val="00F73A69"/>
    <w:rsid w:val="00F742A2"/>
    <w:rsid w:val="00F77E98"/>
    <w:rsid w:val="00F80FC7"/>
    <w:rsid w:val="00F81580"/>
    <w:rsid w:val="00F856E3"/>
    <w:rsid w:val="00F872FD"/>
    <w:rsid w:val="00F91DFF"/>
    <w:rsid w:val="00F9479B"/>
    <w:rsid w:val="00FA3D7E"/>
    <w:rsid w:val="00FA6595"/>
    <w:rsid w:val="00FB2D15"/>
    <w:rsid w:val="00FB57BA"/>
    <w:rsid w:val="00FD51BA"/>
    <w:rsid w:val="00FD6BD4"/>
    <w:rsid w:val="00FE09A1"/>
    <w:rsid w:val="00FE74AF"/>
    <w:rsid w:val="00FF3C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0C1B7"/>
  <w15:docId w15:val="{9794749C-EDD3-4A18-955C-19C31A54C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41FD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41FD4"/>
    <w:rPr>
      <w:rFonts w:ascii="Tahoma" w:hAnsi="Tahoma" w:cs="Tahoma"/>
      <w:sz w:val="16"/>
      <w:szCs w:val="16"/>
    </w:rPr>
  </w:style>
  <w:style w:type="paragraph" w:styleId="NormalWeb">
    <w:name w:val="Normal (Web)"/>
    <w:basedOn w:val="Normal"/>
    <w:uiPriority w:val="99"/>
    <w:semiHidden/>
    <w:unhideWhenUsed/>
    <w:rsid w:val="001C730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Textonotapie">
    <w:name w:val="footnote text"/>
    <w:basedOn w:val="Normal"/>
    <w:link w:val="TextonotapieCar"/>
    <w:uiPriority w:val="99"/>
    <w:semiHidden/>
    <w:unhideWhenUsed/>
    <w:rsid w:val="00657B7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57B70"/>
    <w:rPr>
      <w:sz w:val="20"/>
      <w:szCs w:val="20"/>
    </w:rPr>
  </w:style>
  <w:style w:type="character" w:styleId="Refdenotaalpie">
    <w:name w:val="footnote reference"/>
    <w:basedOn w:val="Fuentedeprrafopredeter"/>
    <w:uiPriority w:val="99"/>
    <w:semiHidden/>
    <w:unhideWhenUsed/>
    <w:rsid w:val="00657B70"/>
    <w:rPr>
      <w:vertAlign w:val="superscript"/>
    </w:rPr>
  </w:style>
  <w:style w:type="paragraph" w:styleId="Textocomentario">
    <w:name w:val="annotation text"/>
    <w:basedOn w:val="Normal"/>
    <w:link w:val="TextocomentarioCar"/>
    <w:uiPriority w:val="99"/>
    <w:semiHidden/>
    <w:unhideWhenUsed/>
    <w:rsid w:val="00D7293F"/>
    <w:pPr>
      <w:spacing w:after="0" w:line="240" w:lineRule="auto"/>
    </w:pPr>
    <w:rPr>
      <w:rFonts w:ascii="Arial" w:eastAsia="Arial" w:hAnsi="Arial" w:cs="Arial"/>
      <w:sz w:val="20"/>
      <w:szCs w:val="20"/>
      <w:lang w:val="es" w:eastAsia="en-GB"/>
    </w:rPr>
  </w:style>
  <w:style w:type="character" w:customStyle="1" w:styleId="TextocomentarioCar">
    <w:name w:val="Texto comentario Car"/>
    <w:basedOn w:val="Fuentedeprrafopredeter"/>
    <w:link w:val="Textocomentario"/>
    <w:uiPriority w:val="99"/>
    <w:semiHidden/>
    <w:rsid w:val="00D7293F"/>
    <w:rPr>
      <w:rFonts w:ascii="Arial" w:eastAsia="Arial" w:hAnsi="Arial" w:cs="Arial"/>
      <w:sz w:val="20"/>
      <w:szCs w:val="20"/>
      <w:lang w:val="es" w:eastAsia="en-GB"/>
    </w:rPr>
  </w:style>
  <w:style w:type="character" w:styleId="Refdecomentario">
    <w:name w:val="annotation reference"/>
    <w:basedOn w:val="Fuentedeprrafopredeter"/>
    <w:uiPriority w:val="99"/>
    <w:semiHidden/>
    <w:unhideWhenUsed/>
    <w:rsid w:val="00D7293F"/>
    <w:rPr>
      <w:sz w:val="16"/>
      <w:szCs w:val="16"/>
    </w:rPr>
  </w:style>
  <w:style w:type="paragraph" w:styleId="Revisin">
    <w:name w:val="Revision"/>
    <w:hidden/>
    <w:uiPriority w:val="99"/>
    <w:semiHidden/>
    <w:rsid w:val="00894C24"/>
    <w:pPr>
      <w:spacing w:after="0" w:line="240" w:lineRule="auto"/>
    </w:pPr>
  </w:style>
  <w:style w:type="paragraph" w:styleId="Encabezado">
    <w:name w:val="header"/>
    <w:basedOn w:val="Normal"/>
    <w:link w:val="EncabezadoCar"/>
    <w:uiPriority w:val="99"/>
    <w:unhideWhenUsed/>
    <w:rsid w:val="00894C2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94C24"/>
  </w:style>
  <w:style w:type="paragraph" w:styleId="Piedepgina">
    <w:name w:val="footer"/>
    <w:basedOn w:val="Normal"/>
    <w:link w:val="PiedepginaCar"/>
    <w:uiPriority w:val="99"/>
    <w:unhideWhenUsed/>
    <w:rsid w:val="00894C2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94C24"/>
  </w:style>
  <w:style w:type="paragraph" w:styleId="Asuntodelcomentario">
    <w:name w:val="annotation subject"/>
    <w:basedOn w:val="Textocomentario"/>
    <w:next w:val="Textocomentario"/>
    <w:link w:val="AsuntodelcomentarioCar"/>
    <w:uiPriority w:val="99"/>
    <w:semiHidden/>
    <w:unhideWhenUsed/>
    <w:rsid w:val="00C01E04"/>
    <w:pPr>
      <w:spacing w:after="160"/>
    </w:pPr>
    <w:rPr>
      <w:rFonts w:asciiTheme="minorHAnsi" w:eastAsiaTheme="minorHAnsi" w:hAnsiTheme="minorHAnsi" w:cstheme="minorBidi"/>
      <w:b/>
      <w:bCs/>
      <w:lang w:val="es-ES" w:eastAsia="en-US"/>
    </w:rPr>
  </w:style>
  <w:style w:type="character" w:customStyle="1" w:styleId="AsuntodelcomentarioCar">
    <w:name w:val="Asunto del comentario Car"/>
    <w:basedOn w:val="TextocomentarioCar"/>
    <w:link w:val="Asuntodelcomentario"/>
    <w:uiPriority w:val="99"/>
    <w:semiHidden/>
    <w:rsid w:val="00C01E04"/>
    <w:rPr>
      <w:rFonts w:ascii="Arial" w:eastAsia="Arial" w:hAnsi="Arial" w:cs="Arial"/>
      <w:b/>
      <w:bCs/>
      <w:sz w:val="20"/>
      <w:szCs w:val="20"/>
      <w:lang w:val="es" w:eastAsia="en-GB"/>
    </w:rPr>
  </w:style>
  <w:style w:type="character" w:styleId="Hipervnculo">
    <w:name w:val="Hyperlink"/>
    <w:basedOn w:val="Fuentedeprrafopredeter"/>
    <w:uiPriority w:val="99"/>
    <w:unhideWhenUsed/>
    <w:rsid w:val="00346AC4"/>
    <w:rPr>
      <w:color w:val="0000FF"/>
      <w:u w:val="single"/>
    </w:rPr>
  </w:style>
  <w:style w:type="paragraph" w:styleId="Listaconvietas">
    <w:name w:val="List Bullet"/>
    <w:basedOn w:val="Normal"/>
    <w:uiPriority w:val="99"/>
    <w:unhideWhenUsed/>
    <w:rsid w:val="0087466D"/>
    <w:pPr>
      <w:numPr>
        <w:numId w:val="5"/>
      </w:numPr>
      <w:contextualSpacing/>
    </w:pPr>
  </w:style>
  <w:style w:type="paragraph" w:styleId="Prrafodelista">
    <w:name w:val="List Paragraph"/>
    <w:basedOn w:val="Normal"/>
    <w:uiPriority w:val="34"/>
    <w:qFormat/>
    <w:rsid w:val="00AB6BF0"/>
    <w:pPr>
      <w:ind w:left="720"/>
      <w:contextualSpacing/>
    </w:pPr>
  </w:style>
  <w:style w:type="table" w:styleId="Tablaconcuadrcula">
    <w:name w:val="Table Grid"/>
    <w:basedOn w:val="Tablanormal"/>
    <w:uiPriority w:val="39"/>
    <w:rsid w:val="00F048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CD749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D7490"/>
    <w:rPr>
      <w:sz w:val="20"/>
      <w:szCs w:val="20"/>
    </w:rPr>
  </w:style>
  <w:style w:type="character" w:styleId="Refdenotaalfinal">
    <w:name w:val="endnote reference"/>
    <w:basedOn w:val="Fuentedeprrafopredeter"/>
    <w:uiPriority w:val="99"/>
    <w:semiHidden/>
    <w:unhideWhenUsed/>
    <w:rsid w:val="00CD74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8412">
      <w:bodyDiv w:val="1"/>
      <w:marLeft w:val="0"/>
      <w:marRight w:val="0"/>
      <w:marTop w:val="0"/>
      <w:marBottom w:val="0"/>
      <w:divBdr>
        <w:top w:val="none" w:sz="0" w:space="0" w:color="auto"/>
        <w:left w:val="none" w:sz="0" w:space="0" w:color="auto"/>
        <w:bottom w:val="none" w:sz="0" w:space="0" w:color="auto"/>
        <w:right w:val="none" w:sz="0" w:space="0" w:color="auto"/>
      </w:divBdr>
    </w:div>
    <w:div w:id="287853646">
      <w:bodyDiv w:val="1"/>
      <w:marLeft w:val="0"/>
      <w:marRight w:val="0"/>
      <w:marTop w:val="0"/>
      <w:marBottom w:val="0"/>
      <w:divBdr>
        <w:top w:val="none" w:sz="0" w:space="0" w:color="auto"/>
        <w:left w:val="none" w:sz="0" w:space="0" w:color="auto"/>
        <w:bottom w:val="none" w:sz="0" w:space="0" w:color="auto"/>
        <w:right w:val="none" w:sz="0" w:space="0" w:color="auto"/>
      </w:divBdr>
    </w:div>
    <w:div w:id="925072070">
      <w:bodyDiv w:val="1"/>
      <w:marLeft w:val="0"/>
      <w:marRight w:val="0"/>
      <w:marTop w:val="0"/>
      <w:marBottom w:val="0"/>
      <w:divBdr>
        <w:top w:val="none" w:sz="0" w:space="0" w:color="auto"/>
        <w:left w:val="none" w:sz="0" w:space="0" w:color="auto"/>
        <w:bottom w:val="none" w:sz="0" w:space="0" w:color="auto"/>
        <w:right w:val="none" w:sz="0" w:space="0" w:color="auto"/>
      </w:divBdr>
    </w:div>
    <w:div w:id="1423381886">
      <w:bodyDiv w:val="1"/>
      <w:marLeft w:val="0"/>
      <w:marRight w:val="0"/>
      <w:marTop w:val="0"/>
      <w:marBottom w:val="0"/>
      <w:divBdr>
        <w:top w:val="none" w:sz="0" w:space="0" w:color="auto"/>
        <w:left w:val="none" w:sz="0" w:space="0" w:color="auto"/>
        <w:bottom w:val="none" w:sz="0" w:space="0" w:color="auto"/>
        <w:right w:val="none" w:sz="0" w:space="0" w:color="auto"/>
      </w:divBdr>
    </w:div>
    <w:div w:id="1547791116">
      <w:bodyDiv w:val="1"/>
      <w:marLeft w:val="0"/>
      <w:marRight w:val="0"/>
      <w:marTop w:val="0"/>
      <w:marBottom w:val="0"/>
      <w:divBdr>
        <w:top w:val="none" w:sz="0" w:space="0" w:color="auto"/>
        <w:left w:val="none" w:sz="0" w:space="0" w:color="auto"/>
        <w:bottom w:val="none" w:sz="0" w:space="0" w:color="auto"/>
        <w:right w:val="none" w:sz="0" w:space="0" w:color="auto"/>
      </w:divBdr>
    </w:div>
    <w:div w:id="1960334095">
      <w:bodyDiv w:val="1"/>
      <w:marLeft w:val="0"/>
      <w:marRight w:val="0"/>
      <w:marTop w:val="0"/>
      <w:marBottom w:val="0"/>
      <w:divBdr>
        <w:top w:val="none" w:sz="0" w:space="0" w:color="auto"/>
        <w:left w:val="none" w:sz="0" w:space="0" w:color="auto"/>
        <w:bottom w:val="none" w:sz="0" w:space="0" w:color="auto"/>
        <w:right w:val="none" w:sz="0" w:space="0" w:color="auto"/>
      </w:divBdr>
    </w:div>
    <w:div w:id="2012875441">
      <w:bodyDiv w:val="1"/>
      <w:marLeft w:val="0"/>
      <w:marRight w:val="0"/>
      <w:marTop w:val="0"/>
      <w:marBottom w:val="0"/>
      <w:divBdr>
        <w:top w:val="none" w:sz="0" w:space="0" w:color="auto"/>
        <w:left w:val="none" w:sz="0" w:space="0" w:color="auto"/>
        <w:bottom w:val="none" w:sz="0" w:space="0" w:color="auto"/>
        <w:right w:val="none" w:sz="0" w:space="0" w:color="auto"/>
      </w:divBdr>
    </w:div>
    <w:div w:id="2137403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diagramLayout" Target="diagrams/layout1.xml"/><Relationship Id="rId18" Type="http://schemas.openxmlformats.org/officeDocument/2006/relationships/chart" Target="charts/chart6.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chart" Target="charts/chart5.xml"/><Relationship Id="rId25" Type="http://schemas.microsoft.com/office/2011/relationships/people" Target="people.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chart" Target="charts/chart11.xml"/><Relationship Id="rId10" Type="http://schemas.openxmlformats.org/officeDocument/2006/relationships/chart" Target="charts/chart3.xml"/><Relationship Id="rId19" Type="http://schemas.openxmlformats.org/officeDocument/2006/relationships/chart" Target="charts/chart7.xml"/><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diagramQuickStyle" Target="diagrams/quickStyle1.xml"/><Relationship Id="rId22" Type="http://schemas.openxmlformats.org/officeDocument/2006/relationships/chart" Target="charts/chart10.xml"/><Relationship Id="rId30" Type="http://schemas.microsoft.com/office/2018/08/relationships/commentsExtensible" Target="commentsExtensi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_m&#225;s%20gr&#225;fico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_m&#225;s%20gr&#225;fic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_m&#225;s%20gr&#225;fico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paper%20con%20Gloria\paper%20con%20Glori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Bel&#233;n\Documents\Investigaci&#243;n\Investigaci&#243;n%20en%20curso\paper%20con%20Gloria\paper%20con%20Glor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explosion val="25"/>
          <c:dLbls>
            <c:dLbl>
              <c:idx val="0"/>
              <c:layout/>
              <c:tx>
                <c:rich>
                  <a:bodyPr/>
                  <a:lstStyle/>
                  <a:p>
                    <a:r>
                      <a:rPr lang="en-US"/>
                      <a:t>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9A73-42E5-93F1-72DD63FC7463}"/>
                </c:ext>
              </c:extLst>
            </c:dLbl>
            <c:dLbl>
              <c:idx val="1"/>
              <c:layout/>
              <c:tx>
                <c:rich>
                  <a:bodyPr/>
                  <a:lstStyle/>
                  <a:p>
                    <a:r>
                      <a:rPr lang="en-US"/>
                      <a:t>20.5%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9A73-42E5-93F1-72DD63FC7463}"/>
                </c:ext>
              </c:extLst>
            </c:dLbl>
            <c:dLbl>
              <c:idx val="2"/>
              <c:layout/>
              <c:tx>
                <c:rich>
                  <a:bodyPr/>
                  <a:lstStyle/>
                  <a:p>
                    <a:r>
                      <a:rPr lang="en-US"/>
                      <a:t>38.6%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9A73-42E5-93F1-72DD63FC7463}"/>
                </c:ext>
              </c:extLst>
            </c:dLbl>
            <c:dLbl>
              <c:idx val="3"/>
              <c:layout/>
              <c:tx>
                <c:rich>
                  <a:bodyPr/>
                  <a:lstStyle/>
                  <a:p>
                    <a:r>
                      <a:rPr lang="en-US"/>
                      <a:t>29.5%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9A73-42E5-93F1-72DD63FC7463}"/>
                </c:ext>
              </c:extLst>
            </c:dLbl>
            <c:dLbl>
              <c:idx val="4"/>
              <c:layout>
                <c:manualLayout>
                  <c:x val="3.5149924441263025E-2"/>
                  <c:y val="4.185918413080178E-3"/>
                </c:manualLayout>
              </c:layout>
              <c:tx>
                <c:rich>
                  <a:bodyPr/>
                  <a:lstStyle/>
                  <a:p>
                    <a:r>
                      <a:rPr lang="en-US"/>
                      <a:t>9.1%</a:t>
                    </a:r>
                  </a:p>
                </c:rich>
              </c:tx>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9A73-42E5-93F1-72DD63FC7463}"/>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Hoja22!$A$2:$A$6</c:f>
              <c:strCache>
                <c:ptCount val="5"/>
                <c:pt idx="0">
                  <c:v>20-30 years</c:v>
                </c:pt>
                <c:pt idx="1">
                  <c:v>30-40 years</c:v>
                </c:pt>
                <c:pt idx="2">
                  <c:v>40-50 years</c:v>
                </c:pt>
                <c:pt idx="3">
                  <c:v>50-60 years</c:v>
                </c:pt>
                <c:pt idx="4">
                  <c:v>60 years and above</c:v>
                </c:pt>
              </c:strCache>
            </c:strRef>
          </c:cat>
          <c:val>
            <c:numRef>
              <c:f>Hoja22!$B$2:$B$6</c:f>
              <c:numCache>
                <c:formatCode>General</c:formatCode>
                <c:ptCount val="5"/>
                <c:pt idx="0">
                  <c:v>2.2999999999999998</c:v>
                </c:pt>
                <c:pt idx="1">
                  <c:v>20.5</c:v>
                </c:pt>
                <c:pt idx="2">
                  <c:v>38.6</c:v>
                </c:pt>
                <c:pt idx="3">
                  <c:v>29.5</c:v>
                </c:pt>
                <c:pt idx="4">
                  <c:v>9.1</c:v>
                </c:pt>
              </c:numCache>
            </c:numRef>
          </c:val>
          <c:extLst>
            <c:ext xmlns:c16="http://schemas.microsoft.com/office/drawing/2014/chart" uri="{C3380CC4-5D6E-409C-BE32-E72D297353CC}">
              <c16:uniqueId val="{00000005-9A73-42E5-93F1-72DD63FC7463}"/>
            </c:ext>
          </c:extLst>
        </c:ser>
        <c:dLbls>
          <c:showLegendKey val="0"/>
          <c:showVal val="0"/>
          <c:showCatName val="0"/>
          <c:showSerName val="0"/>
          <c:showPercent val="0"/>
          <c:showBubbleSize val="0"/>
          <c:showLeaderLines val="1"/>
        </c:dLbls>
      </c:pie3DChart>
    </c:plotArea>
    <c:legend>
      <c:legendPos val="b"/>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Hoja20!$A$13</c:f>
              <c:strCache>
                <c:ptCount val="1"/>
                <c:pt idx="0">
                  <c:v>Mediation</c:v>
                </c:pt>
              </c:strCache>
            </c:strRef>
          </c:tx>
          <c:invertIfNegative val="0"/>
          <c:dLbls>
            <c:dLbl>
              <c:idx val="0"/>
              <c:layout/>
              <c:tx>
                <c:rich>
                  <a:bodyPr/>
                  <a:lstStyle/>
                  <a:p>
                    <a:r>
                      <a:rPr lang="en-US"/>
                      <a:t>50%</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66B7-4D20-8358-D36557313D16}"/>
                </c:ext>
              </c:extLst>
            </c:dLbl>
            <c:dLbl>
              <c:idx val="1"/>
              <c:layout>
                <c:manualLayout>
                  <c:x val="-8.5882984433709071E-3"/>
                  <c:y val="-1.133144475920673E-2"/>
                </c:manualLayout>
              </c:layout>
              <c:tx>
                <c:rich>
                  <a:bodyPr/>
                  <a:lstStyle/>
                  <a:p>
                    <a:r>
                      <a:rPr lang="en-US"/>
                      <a:t>13.7%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6B7-4D20-8358-D36557313D16}"/>
                </c:ext>
              </c:extLst>
            </c:dLbl>
            <c:dLbl>
              <c:idx val="2"/>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66B7-4D20-8358-D36557313D16}"/>
                </c:ext>
              </c:extLst>
            </c:dLbl>
            <c:dLbl>
              <c:idx val="3"/>
              <c:layout/>
              <c:tx>
                <c:rich>
                  <a:bodyPr/>
                  <a:lstStyle/>
                  <a:p>
                    <a:r>
                      <a:rPr lang="en-US"/>
                      <a:t>11.3%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66B7-4D20-8358-D36557313D1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Hoja20!$B$12:$E$12</c:f>
              <c:strCache>
                <c:ptCount val="4"/>
                <c:pt idx="0">
                  <c:v>Insufficent</c:v>
                </c:pt>
                <c:pt idx="1">
                  <c:v>sufficient</c:v>
                </c:pt>
                <c:pt idx="2">
                  <c:v>advanced </c:v>
                </c:pt>
                <c:pt idx="3">
                  <c:v>Excellent</c:v>
                </c:pt>
              </c:strCache>
            </c:strRef>
          </c:cat>
          <c:val>
            <c:numRef>
              <c:f>Hoja20!$B$13:$E$13</c:f>
              <c:numCache>
                <c:formatCode>General</c:formatCode>
                <c:ptCount val="4"/>
                <c:pt idx="0">
                  <c:v>50</c:v>
                </c:pt>
                <c:pt idx="1">
                  <c:v>13.7</c:v>
                </c:pt>
                <c:pt idx="2">
                  <c:v>25</c:v>
                </c:pt>
                <c:pt idx="3">
                  <c:v>11.3</c:v>
                </c:pt>
              </c:numCache>
            </c:numRef>
          </c:val>
          <c:extLst>
            <c:ext xmlns:c16="http://schemas.microsoft.com/office/drawing/2014/chart" uri="{C3380CC4-5D6E-409C-BE32-E72D297353CC}">
              <c16:uniqueId val="{00000004-66B7-4D20-8358-D36557313D16}"/>
            </c:ext>
          </c:extLst>
        </c:ser>
        <c:ser>
          <c:idx val="1"/>
          <c:order val="1"/>
          <c:tx>
            <c:strRef>
              <c:f>Hoja20!$A$14</c:f>
              <c:strCache>
                <c:ptCount val="1"/>
                <c:pt idx="0">
                  <c:v>Action-oriented approach</c:v>
                </c:pt>
              </c:strCache>
            </c:strRef>
          </c:tx>
          <c:invertIfNegative val="0"/>
          <c:dLbls>
            <c:dLbl>
              <c:idx val="0"/>
              <c:layout>
                <c:manualLayout>
                  <c:x val="2.7911800879962468E-2"/>
                  <c:y val="-1.5108593012275733E-2"/>
                </c:manualLayout>
              </c:layout>
              <c:tx>
                <c:rich>
                  <a:bodyPr/>
                  <a:lstStyle/>
                  <a:p>
                    <a:r>
                      <a:rPr lang="en-US"/>
                      <a:t>38.6%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66B7-4D20-8358-D36557313D16}"/>
                </c:ext>
              </c:extLst>
            </c:dLbl>
            <c:dLbl>
              <c:idx val="1"/>
              <c:layout>
                <c:manualLayout>
                  <c:x val="1.2882447665056321E-2"/>
                  <c:y val="-2.2662889518413599E-2"/>
                </c:manualLayout>
              </c:layout>
              <c:tx>
                <c:rich>
                  <a:bodyPr/>
                  <a:lstStyle/>
                  <a:p>
                    <a:r>
                      <a:rPr lang="en-US"/>
                      <a:t>20.4%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66B7-4D20-8358-D36557313D16}"/>
                </c:ext>
              </c:extLst>
            </c:dLbl>
            <c:dLbl>
              <c:idx val="2"/>
              <c:layout>
                <c:manualLayout>
                  <c:x val="1.2882447665056361E-2"/>
                  <c:y val="-1.1331444759206799E-2"/>
                </c:manualLayout>
              </c:layout>
              <c:tx>
                <c:rich>
                  <a:bodyPr/>
                  <a:lstStyle/>
                  <a:p>
                    <a:r>
                      <a:rPr lang="en-US"/>
                      <a:t>27.3%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66B7-4D20-8358-D36557313D16}"/>
                </c:ext>
              </c:extLst>
            </c:dLbl>
            <c:dLbl>
              <c:idx val="3"/>
              <c:layout>
                <c:manualLayout>
                  <c:x val="1.932367149758462E-2"/>
                  <c:y val="-7.5542965061377969E-3"/>
                </c:manualLayout>
              </c:layout>
              <c:tx>
                <c:rich>
                  <a:bodyPr/>
                  <a:lstStyle/>
                  <a:p>
                    <a:r>
                      <a:rPr lang="en-US"/>
                      <a:t>13.7%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66B7-4D20-8358-D36557313D1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Hoja20!$B$12:$E$12</c:f>
              <c:strCache>
                <c:ptCount val="4"/>
                <c:pt idx="0">
                  <c:v>Insufficent</c:v>
                </c:pt>
                <c:pt idx="1">
                  <c:v>sufficient</c:v>
                </c:pt>
                <c:pt idx="2">
                  <c:v>advanced </c:v>
                </c:pt>
                <c:pt idx="3">
                  <c:v>Excellent</c:v>
                </c:pt>
              </c:strCache>
            </c:strRef>
          </c:cat>
          <c:val>
            <c:numRef>
              <c:f>Hoja20!$B$14:$E$14</c:f>
              <c:numCache>
                <c:formatCode>General</c:formatCode>
                <c:ptCount val="4"/>
                <c:pt idx="0">
                  <c:v>38.6</c:v>
                </c:pt>
                <c:pt idx="1">
                  <c:v>20.399999999999999</c:v>
                </c:pt>
                <c:pt idx="2">
                  <c:v>27.3</c:v>
                </c:pt>
                <c:pt idx="3">
                  <c:v>13.7</c:v>
                </c:pt>
              </c:numCache>
            </c:numRef>
          </c:val>
          <c:extLst>
            <c:ext xmlns:c16="http://schemas.microsoft.com/office/drawing/2014/chart" uri="{C3380CC4-5D6E-409C-BE32-E72D297353CC}">
              <c16:uniqueId val="{00000009-66B7-4D20-8358-D36557313D16}"/>
            </c:ext>
          </c:extLst>
        </c:ser>
        <c:dLbls>
          <c:showLegendKey val="0"/>
          <c:showVal val="0"/>
          <c:showCatName val="0"/>
          <c:showSerName val="0"/>
          <c:showPercent val="0"/>
          <c:showBubbleSize val="0"/>
        </c:dLbls>
        <c:gapWidth val="150"/>
        <c:shape val="box"/>
        <c:axId val="222991872"/>
        <c:axId val="222993408"/>
        <c:axId val="0"/>
      </c:bar3DChart>
      <c:catAx>
        <c:axId val="222991872"/>
        <c:scaling>
          <c:orientation val="minMax"/>
        </c:scaling>
        <c:delete val="0"/>
        <c:axPos val="b"/>
        <c:numFmt formatCode="General" sourceLinked="0"/>
        <c:majorTickMark val="out"/>
        <c:minorTickMark val="none"/>
        <c:tickLblPos val="nextTo"/>
        <c:crossAx val="222993408"/>
        <c:crosses val="autoZero"/>
        <c:auto val="1"/>
        <c:lblAlgn val="ctr"/>
        <c:lblOffset val="100"/>
        <c:noMultiLvlLbl val="0"/>
      </c:catAx>
      <c:valAx>
        <c:axId val="222993408"/>
        <c:scaling>
          <c:orientation val="minMax"/>
        </c:scaling>
        <c:delete val="0"/>
        <c:axPos val="l"/>
        <c:majorGridlines/>
        <c:numFmt formatCode="General" sourceLinked="1"/>
        <c:majorTickMark val="out"/>
        <c:minorTickMark val="none"/>
        <c:tickLblPos val="nextTo"/>
        <c:crossAx val="22299187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Hoja21!$A$2</c:f>
              <c:strCache>
                <c:ptCount val="1"/>
                <c:pt idx="0">
                  <c:v>The CEFR/CV are useful documents</c:v>
                </c:pt>
              </c:strCache>
            </c:strRef>
          </c:tx>
          <c:invertIfNegative val="0"/>
          <c:dLbls>
            <c:dLbl>
              <c:idx val="0"/>
              <c:layout>
                <c:manualLayout>
                  <c:x val="1.398601141897263E-2"/>
                  <c:y val="9.0533933568142166E-17"/>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5A59-4F97-A8D5-003E764056D8}"/>
                </c:ext>
              </c:extLst>
            </c:dLbl>
            <c:dLbl>
              <c:idx val="3"/>
              <c:layout>
                <c:manualLayout>
                  <c:x val="6.9930057094863152E-3"/>
                  <c:y val="2.4691358024691358E-3"/>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A59-4F97-A8D5-003E764056D8}"/>
                </c:ext>
              </c:extLst>
            </c:dLbl>
            <c:dLbl>
              <c:idx val="4"/>
              <c:layout>
                <c:manualLayout>
                  <c:x val="1.1655009515810525E-2"/>
                  <c:y val="0"/>
                </c:manualLayout>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5A59-4F97-A8D5-003E764056D8}"/>
                </c:ext>
              </c:extLst>
            </c:dLbl>
            <c:dLbl>
              <c:idx val="5"/>
              <c:layout>
                <c:manualLayout>
                  <c:x val="1.398601141897263E-2"/>
                  <c:y val="2.4691358024691358E-3"/>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5A59-4F97-A8D5-003E764056D8}"/>
                </c:ext>
              </c:extLst>
            </c:dLbl>
            <c:dLbl>
              <c:idx val="6"/>
              <c:layout>
                <c:manualLayout>
                  <c:x val="6.9930057094863152E-3"/>
                  <c:y val="0"/>
                </c:manualLayout>
              </c:layout>
              <c:tx>
                <c:rich>
                  <a:bodyPr/>
                  <a:lstStyle/>
                  <a:p>
                    <a:r>
                      <a:rPr lang="en-US"/>
                      <a:t>6 (13.6%)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5A59-4F97-A8D5-003E764056D8}"/>
                </c:ext>
              </c:extLst>
            </c:dLbl>
            <c:dLbl>
              <c:idx val="7"/>
              <c:layout>
                <c:manualLayout>
                  <c:x val="0"/>
                  <c:y val="-4.9382716049382715E-3"/>
                </c:manualLayout>
              </c:layout>
              <c:tx>
                <c:rich>
                  <a:bodyPr/>
                  <a:lstStyle/>
                  <a:p>
                    <a:r>
                      <a:rPr lang="en-US"/>
                      <a:t>13 (29.5%)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5A59-4F97-A8D5-003E764056D8}"/>
                </c:ext>
              </c:extLst>
            </c:dLbl>
            <c:dLbl>
              <c:idx val="8"/>
              <c:layout>
                <c:manualLayout>
                  <c:x val="9.3240076126484203E-3"/>
                  <c:y val="-2.2633483392035541E-17"/>
                </c:manualLayout>
              </c:layout>
              <c:tx>
                <c:rich>
                  <a:bodyPr/>
                  <a:lstStyle/>
                  <a:p>
                    <a:r>
                      <a:rPr lang="en-US"/>
                      <a:t>7 (18.2%)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5A59-4F97-A8D5-003E764056D8}"/>
                </c:ext>
              </c:extLst>
            </c:dLbl>
            <c:dLbl>
              <c:idx val="9"/>
              <c:layout>
                <c:manualLayout>
                  <c:x val="2.0979017128458944E-2"/>
                  <c:y val="1.1316741696017771E-17"/>
                </c:manualLayout>
              </c:layout>
              <c:tx>
                <c:rich>
                  <a:bodyPr/>
                  <a:lstStyle/>
                  <a:p>
                    <a:r>
                      <a:rPr lang="en-US"/>
                      <a:t>10 (22.7%)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5A59-4F97-A8D5-003E764056D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Hoja21!$B$1:$K$1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Hoja21!$B$2:$K$2</c:f>
              <c:numCache>
                <c:formatCode>General</c:formatCode>
                <c:ptCount val="10"/>
                <c:pt idx="0">
                  <c:v>1</c:v>
                </c:pt>
                <c:pt idx="1">
                  <c:v>0</c:v>
                </c:pt>
                <c:pt idx="2">
                  <c:v>0</c:v>
                </c:pt>
                <c:pt idx="3">
                  <c:v>1</c:v>
                </c:pt>
                <c:pt idx="4">
                  <c:v>2</c:v>
                </c:pt>
                <c:pt idx="5">
                  <c:v>4</c:v>
                </c:pt>
                <c:pt idx="6">
                  <c:v>6</c:v>
                </c:pt>
                <c:pt idx="7">
                  <c:v>13</c:v>
                </c:pt>
                <c:pt idx="8">
                  <c:v>7</c:v>
                </c:pt>
                <c:pt idx="9">
                  <c:v>10</c:v>
                </c:pt>
              </c:numCache>
            </c:numRef>
          </c:val>
          <c:extLst>
            <c:ext xmlns:c16="http://schemas.microsoft.com/office/drawing/2014/chart" uri="{C3380CC4-5D6E-409C-BE32-E72D297353CC}">
              <c16:uniqueId val="{00000008-5A59-4F97-A8D5-003E764056D8}"/>
            </c:ext>
          </c:extLst>
        </c:ser>
        <c:ser>
          <c:idx val="1"/>
          <c:order val="1"/>
          <c:tx>
            <c:strRef>
              <c:f>Hoja21!$A$3</c:f>
              <c:strCache>
                <c:ptCount val="1"/>
                <c:pt idx="0">
                  <c:v>The CEFR/CV are effective tools to evaluate the candidates' communicative competence</c:v>
                </c:pt>
              </c:strCache>
            </c:strRef>
          </c:tx>
          <c:invertIfNegative val="0"/>
          <c:dLbls>
            <c:dLbl>
              <c:idx val="0"/>
              <c:layout>
                <c:manualLayout>
                  <c:x val="1.1655009515810525E-2"/>
                  <c:y val="-2.4691358024691358E-3"/>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5A59-4F97-A8D5-003E764056D8}"/>
                </c:ext>
              </c:extLst>
            </c:dLbl>
            <c:dLbl>
              <c:idx val="3"/>
              <c:layout>
                <c:manualLayout>
                  <c:x val="6.9930057094863152E-3"/>
                  <c:y val="0"/>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5A59-4F97-A8D5-003E764056D8}"/>
                </c:ext>
              </c:extLst>
            </c:dLbl>
            <c:dLbl>
              <c:idx val="4"/>
              <c:layout>
                <c:manualLayout>
                  <c:x val="1.1655009515810525E-2"/>
                  <c:y val="0"/>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5A59-4F97-A8D5-003E764056D8}"/>
                </c:ext>
              </c:extLst>
            </c:dLbl>
            <c:dLbl>
              <c:idx val="5"/>
              <c:layout>
                <c:manualLayout>
                  <c:x val="1.398601141897263E-2"/>
                  <c:y val="-7.4074074074074077E-3"/>
                </c:manualLayout>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5A59-4F97-A8D5-003E764056D8}"/>
                </c:ext>
              </c:extLst>
            </c:dLbl>
            <c:dLbl>
              <c:idx val="6"/>
              <c:layout/>
              <c:tx>
                <c:rich>
                  <a:bodyPr/>
                  <a:lstStyle/>
                  <a:p>
                    <a:r>
                      <a:rPr lang="en-US"/>
                      <a:t>8 (18.2%)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5A59-4F97-A8D5-003E764056D8}"/>
                </c:ext>
              </c:extLst>
            </c:dLbl>
            <c:dLbl>
              <c:idx val="7"/>
              <c:layout>
                <c:manualLayout>
                  <c:x val="9.3240076126484203E-3"/>
                  <c:y val="-4.9382716049382715E-3"/>
                </c:manualLayout>
              </c:layout>
              <c:tx>
                <c:rich>
                  <a:bodyPr/>
                  <a:lstStyle/>
                  <a:p>
                    <a:r>
                      <a:rPr lang="en-US"/>
                      <a:t>12 (27.3%)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5A59-4F97-A8D5-003E764056D8}"/>
                </c:ext>
              </c:extLst>
            </c:dLbl>
            <c:dLbl>
              <c:idx val="8"/>
              <c:layout>
                <c:manualLayout>
                  <c:x val="6.9930057094863152E-3"/>
                  <c:y val="0"/>
                </c:manualLayout>
              </c:layout>
              <c:tx>
                <c:rich>
                  <a:bodyPr/>
                  <a:lstStyle/>
                  <a:p>
                    <a:r>
                      <a:rPr lang="en-US"/>
                      <a:t>9 (20.5%)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F-5A59-4F97-A8D5-003E764056D8}"/>
                </c:ext>
              </c:extLst>
            </c:dLbl>
            <c:dLbl>
              <c:idx val="9"/>
              <c:layout>
                <c:manualLayout>
                  <c:x val="1.8648015225296841E-2"/>
                  <c:y val="-7.4074074074074077E-3"/>
                </c:manualLayout>
              </c:layout>
              <c:tx>
                <c:rich>
                  <a:bodyPr/>
                  <a:lstStyle/>
                  <a:p>
                    <a:r>
                      <a:rPr lang="en-US"/>
                      <a:t>7 (18.2%)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5A59-4F97-A8D5-003E764056D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Hoja21!$B$1:$K$1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Hoja21!$B$3:$K$3</c:f>
              <c:numCache>
                <c:formatCode>General</c:formatCode>
                <c:ptCount val="10"/>
                <c:pt idx="0">
                  <c:v>1</c:v>
                </c:pt>
                <c:pt idx="1">
                  <c:v>0</c:v>
                </c:pt>
                <c:pt idx="2">
                  <c:v>0</c:v>
                </c:pt>
                <c:pt idx="3">
                  <c:v>1</c:v>
                </c:pt>
                <c:pt idx="4">
                  <c:v>4</c:v>
                </c:pt>
                <c:pt idx="5">
                  <c:v>2</c:v>
                </c:pt>
                <c:pt idx="6">
                  <c:v>8</c:v>
                </c:pt>
                <c:pt idx="7">
                  <c:v>12</c:v>
                </c:pt>
                <c:pt idx="8">
                  <c:v>9</c:v>
                </c:pt>
                <c:pt idx="9">
                  <c:v>7</c:v>
                </c:pt>
              </c:numCache>
            </c:numRef>
          </c:val>
          <c:extLst>
            <c:ext xmlns:c16="http://schemas.microsoft.com/office/drawing/2014/chart" uri="{C3380CC4-5D6E-409C-BE32-E72D297353CC}">
              <c16:uniqueId val="{00000011-5A59-4F97-A8D5-003E764056D8}"/>
            </c:ext>
          </c:extLst>
        </c:ser>
        <c:dLbls>
          <c:showLegendKey val="0"/>
          <c:showVal val="1"/>
          <c:showCatName val="0"/>
          <c:showSerName val="0"/>
          <c:showPercent val="0"/>
          <c:showBubbleSize val="0"/>
        </c:dLbls>
        <c:gapWidth val="75"/>
        <c:shape val="box"/>
        <c:axId val="223453184"/>
        <c:axId val="223454720"/>
        <c:axId val="0"/>
      </c:bar3DChart>
      <c:catAx>
        <c:axId val="223453184"/>
        <c:scaling>
          <c:orientation val="minMax"/>
        </c:scaling>
        <c:delete val="0"/>
        <c:axPos val="l"/>
        <c:numFmt formatCode="General" sourceLinked="1"/>
        <c:majorTickMark val="none"/>
        <c:minorTickMark val="none"/>
        <c:tickLblPos val="nextTo"/>
        <c:crossAx val="223454720"/>
        <c:crosses val="autoZero"/>
        <c:auto val="1"/>
        <c:lblAlgn val="ctr"/>
        <c:lblOffset val="100"/>
        <c:noMultiLvlLbl val="0"/>
      </c:catAx>
      <c:valAx>
        <c:axId val="223454720"/>
        <c:scaling>
          <c:orientation val="minMax"/>
        </c:scaling>
        <c:delete val="0"/>
        <c:axPos val="b"/>
        <c:numFmt formatCode="General" sourceLinked="1"/>
        <c:majorTickMark val="none"/>
        <c:minorTickMark val="none"/>
        <c:tickLblPos val="nextTo"/>
        <c:crossAx val="22345318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explosion val="25"/>
          <c:dLbls>
            <c:dLbl>
              <c:idx val="0"/>
              <c:layout/>
              <c:tx>
                <c:rich>
                  <a:bodyPr/>
                  <a:lstStyle/>
                  <a:p>
                    <a:r>
                      <a:rPr lang="en-US"/>
                      <a:t>65.9%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5B62-41B7-AB50-02D75BD05EB6}"/>
                </c:ext>
              </c:extLst>
            </c:dLbl>
            <c:dLbl>
              <c:idx val="1"/>
              <c:layout/>
              <c:tx>
                <c:rich>
                  <a:bodyPr/>
                  <a:lstStyle/>
                  <a:p>
                    <a:r>
                      <a:rPr lang="en-US"/>
                      <a:t>29.5%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B62-41B7-AB50-02D75BD05EB6}"/>
                </c:ext>
              </c:extLst>
            </c:dLbl>
            <c:dLbl>
              <c:idx val="2"/>
              <c:layout/>
              <c:tx>
                <c:rich>
                  <a:bodyPr/>
                  <a:lstStyle/>
                  <a:p>
                    <a:r>
                      <a:rPr lang="en-US"/>
                      <a:t>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5B62-41B7-AB50-02D75BD05EB6}"/>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Hoja22!$A$12:$A$14</c:f>
              <c:strCache>
                <c:ptCount val="3"/>
                <c:pt idx="0">
                  <c:v>Female</c:v>
                </c:pt>
                <c:pt idx="1">
                  <c:v>Male</c:v>
                </c:pt>
                <c:pt idx="2">
                  <c:v>Prefers not to answer</c:v>
                </c:pt>
              </c:strCache>
            </c:strRef>
          </c:cat>
          <c:val>
            <c:numRef>
              <c:f>Hoja22!$B$12:$B$14</c:f>
              <c:numCache>
                <c:formatCode>General</c:formatCode>
                <c:ptCount val="3"/>
                <c:pt idx="0">
                  <c:v>65.900000000000006</c:v>
                </c:pt>
                <c:pt idx="1">
                  <c:v>29.5</c:v>
                </c:pt>
                <c:pt idx="2">
                  <c:v>4.5</c:v>
                </c:pt>
              </c:numCache>
            </c:numRef>
          </c:val>
          <c:extLst>
            <c:ext xmlns:c16="http://schemas.microsoft.com/office/drawing/2014/chart" uri="{C3380CC4-5D6E-409C-BE32-E72D297353CC}">
              <c16:uniqueId val="{00000003-5B62-41B7-AB50-02D75BD05EB6}"/>
            </c:ext>
          </c:extLst>
        </c:ser>
        <c:dLbls>
          <c:showLegendKey val="0"/>
          <c:showVal val="0"/>
          <c:showCatName val="0"/>
          <c:showSerName val="0"/>
          <c:showPercent val="0"/>
          <c:showBubbleSize val="0"/>
          <c:showLeaderLines val="1"/>
        </c:dLbls>
      </c:pie3DChart>
    </c:plotArea>
    <c:legend>
      <c:legendPos val="b"/>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explosion val="25"/>
          <c:dLbls>
            <c:dLbl>
              <c:idx val="0"/>
              <c:layout/>
              <c:tx>
                <c:rich>
                  <a:bodyPr/>
                  <a:lstStyle/>
                  <a:p>
                    <a:r>
                      <a:rPr lang="en-US"/>
                      <a:t>47.8%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60B-42FA-A67E-1B95350B7A1E}"/>
                </c:ext>
              </c:extLst>
            </c:dLbl>
            <c:dLbl>
              <c:idx val="1"/>
              <c:layout/>
              <c:tx>
                <c:rich>
                  <a:bodyPr/>
                  <a:lstStyle/>
                  <a:p>
                    <a:r>
                      <a:rPr lang="en-US"/>
                      <a:t>34.1%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160B-42FA-A67E-1B95350B7A1E}"/>
                </c:ext>
              </c:extLst>
            </c:dLbl>
            <c:dLbl>
              <c:idx val="2"/>
              <c:layout/>
              <c:tx>
                <c:rich>
                  <a:bodyPr/>
                  <a:lstStyle/>
                  <a:p>
                    <a:r>
                      <a:rPr lang="en-US"/>
                      <a:t>13.6%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160B-42FA-A67E-1B95350B7A1E}"/>
                </c:ext>
              </c:extLst>
            </c:dLbl>
            <c:dLbl>
              <c:idx val="3"/>
              <c:layout/>
              <c:tx>
                <c:rich>
                  <a:bodyPr/>
                  <a:lstStyle/>
                  <a:p>
                    <a:r>
                      <a:rPr lang="en-US"/>
                      <a:t>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160B-42FA-A67E-1B95350B7A1E}"/>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Hoja22!$A$19:$A$22</c:f>
              <c:strCache>
                <c:ptCount val="4"/>
                <c:pt idx="0">
                  <c:v>Degree</c:v>
                </c:pt>
                <c:pt idx="1">
                  <c:v>MA</c:v>
                </c:pt>
                <c:pt idx="2">
                  <c:v>PhD</c:v>
                </c:pt>
                <c:pt idx="3">
                  <c:v>Other</c:v>
                </c:pt>
              </c:strCache>
            </c:strRef>
          </c:cat>
          <c:val>
            <c:numRef>
              <c:f>Hoja22!$B$19:$B$22</c:f>
              <c:numCache>
                <c:formatCode>General</c:formatCode>
                <c:ptCount val="4"/>
                <c:pt idx="0">
                  <c:v>47.8</c:v>
                </c:pt>
                <c:pt idx="1">
                  <c:v>34.1</c:v>
                </c:pt>
                <c:pt idx="2">
                  <c:v>13.6</c:v>
                </c:pt>
                <c:pt idx="3">
                  <c:v>4.5</c:v>
                </c:pt>
              </c:numCache>
            </c:numRef>
          </c:val>
          <c:extLst>
            <c:ext xmlns:c16="http://schemas.microsoft.com/office/drawing/2014/chart" uri="{C3380CC4-5D6E-409C-BE32-E72D297353CC}">
              <c16:uniqueId val="{00000004-160B-42FA-A67E-1B95350B7A1E}"/>
            </c:ext>
          </c:extLst>
        </c:ser>
        <c:dLbls>
          <c:showLegendKey val="0"/>
          <c:showVal val="0"/>
          <c:showCatName val="0"/>
          <c:showSerName val="0"/>
          <c:showPercent val="0"/>
          <c:showBubbleSize val="0"/>
          <c:showLeaderLines val="1"/>
        </c:dLbls>
      </c:pie3DChart>
    </c:plotArea>
    <c:legend>
      <c:legendPos val="b"/>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invertIfNegative val="0"/>
          <c:dPt>
            <c:idx val="10"/>
            <c:invertIfNegative val="0"/>
            <c:bubble3D val="0"/>
            <c:spPr>
              <a:solidFill>
                <a:schemeClr val="accent2"/>
              </a:solidFill>
            </c:spPr>
            <c:extLst>
              <c:ext xmlns:c16="http://schemas.microsoft.com/office/drawing/2014/chart" uri="{C3380CC4-5D6E-409C-BE32-E72D297353CC}">
                <c16:uniqueId val="{00000001-6C36-45E7-A838-3F08A63B2CD8}"/>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Hoja16!$A$1:$A$11</c:f>
              <c:strCache>
                <c:ptCount val="11"/>
                <c:pt idx="0">
                  <c:v>B2 CertAcles</c:v>
                </c:pt>
                <c:pt idx="1">
                  <c:v>B2 Cambridge</c:v>
                </c:pt>
                <c:pt idx="2">
                  <c:v>B2 (not specified)</c:v>
                </c:pt>
                <c:pt idx="3">
                  <c:v>C1 CertAcles</c:v>
                </c:pt>
                <c:pt idx="4">
                  <c:v>C1 Cambridge</c:v>
                </c:pt>
                <c:pt idx="5">
                  <c:v>C1 (not specified)</c:v>
                </c:pt>
                <c:pt idx="6">
                  <c:v>C2 CertAcles</c:v>
                </c:pt>
                <c:pt idx="7">
                  <c:v>C2 Cambridge</c:v>
                </c:pt>
                <c:pt idx="8">
                  <c:v>C2 (not specified)</c:v>
                </c:pt>
                <c:pt idx="10">
                  <c:v>B1 (DELF)</c:v>
                </c:pt>
              </c:strCache>
            </c:strRef>
          </c:cat>
          <c:val>
            <c:numRef>
              <c:f>Hoja16!$B$1:$B$11</c:f>
              <c:numCache>
                <c:formatCode>General</c:formatCode>
                <c:ptCount val="11"/>
                <c:pt idx="0">
                  <c:v>1</c:v>
                </c:pt>
                <c:pt idx="1">
                  <c:v>1</c:v>
                </c:pt>
                <c:pt idx="2">
                  <c:v>3</c:v>
                </c:pt>
                <c:pt idx="3">
                  <c:v>4</c:v>
                </c:pt>
                <c:pt idx="4">
                  <c:v>1</c:v>
                </c:pt>
                <c:pt idx="5">
                  <c:v>6</c:v>
                </c:pt>
                <c:pt idx="6">
                  <c:v>1</c:v>
                </c:pt>
                <c:pt idx="7">
                  <c:v>7</c:v>
                </c:pt>
                <c:pt idx="8">
                  <c:v>13</c:v>
                </c:pt>
                <c:pt idx="10">
                  <c:v>1</c:v>
                </c:pt>
              </c:numCache>
            </c:numRef>
          </c:val>
          <c:extLst>
            <c:ext xmlns:c16="http://schemas.microsoft.com/office/drawing/2014/chart" uri="{C3380CC4-5D6E-409C-BE32-E72D297353CC}">
              <c16:uniqueId val="{00000002-6C36-45E7-A838-3F08A63B2CD8}"/>
            </c:ext>
          </c:extLst>
        </c:ser>
        <c:dLbls>
          <c:showLegendKey val="0"/>
          <c:showVal val="0"/>
          <c:showCatName val="0"/>
          <c:showSerName val="0"/>
          <c:showPercent val="0"/>
          <c:showBubbleSize val="0"/>
        </c:dLbls>
        <c:gapWidth val="150"/>
        <c:axId val="220536192"/>
        <c:axId val="220554368"/>
      </c:barChart>
      <c:catAx>
        <c:axId val="220536192"/>
        <c:scaling>
          <c:orientation val="minMax"/>
        </c:scaling>
        <c:delete val="0"/>
        <c:axPos val="l"/>
        <c:numFmt formatCode="General" sourceLinked="0"/>
        <c:majorTickMark val="out"/>
        <c:minorTickMark val="none"/>
        <c:tickLblPos val="nextTo"/>
        <c:crossAx val="220554368"/>
        <c:crosses val="autoZero"/>
        <c:auto val="1"/>
        <c:lblAlgn val="ctr"/>
        <c:lblOffset val="100"/>
        <c:noMultiLvlLbl val="0"/>
      </c:catAx>
      <c:valAx>
        <c:axId val="220554368"/>
        <c:scaling>
          <c:orientation val="minMax"/>
        </c:scaling>
        <c:delete val="0"/>
        <c:axPos val="b"/>
        <c:majorGridlines/>
        <c:numFmt formatCode="General" sourceLinked="1"/>
        <c:majorTickMark val="out"/>
        <c:minorTickMark val="none"/>
        <c:tickLblPos val="nextTo"/>
        <c:crossAx val="22053619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Hoja18!$A$2</c:f>
              <c:strCache>
                <c:ptCount val="1"/>
                <c:pt idx="0">
                  <c:v>CEFR</c:v>
                </c:pt>
              </c:strCache>
            </c:strRef>
          </c:tx>
          <c:invertIfNegative val="0"/>
          <c:dLbls>
            <c:dLbl>
              <c:idx val="1"/>
              <c:layout/>
              <c:tx>
                <c:rich>
                  <a:bodyPr/>
                  <a:lstStyle/>
                  <a:p>
                    <a:r>
                      <a:rPr lang="en-US" sz="800"/>
                      <a:t>2.27%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847E-4667-A17A-A5B692596076}"/>
                </c:ext>
              </c:extLst>
            </c:dLbl>
            <c:dLbl>
              <c:idx val="4"/>
              <c:layout/>
              <c:tx>
                <c:rich>
                  <a:bodyPr/>
                  <a:lstStyle/>
                  <a:p>
                    <a:r>
                      <a:rPr lang="en-US" sz="800"/>
                      <a:t>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47E-4667-A17A-A5B692596076}"/>
                </c:ext>
              </c:extLst>
            </c:dLbl>
            <c:dLbl>
              <c:idx val="5"/>
              <c:layout/>
              <c:tx>
                <c:rich>
                  <a:bodyPr/>
                  <a:lstStyle/>
                  <a:p>
                    <a:r>
                      <a:rPr lang="en-US" sz="800" b="0" i="0" baseline="0">
                        <a:effectLst/>
                      </a:rPr>
                      <a:t>4.5%</a:t>
                    </a:r>
                    <a:endParaRPr lang="en-US" sz="800">
                      <a:effectLst/>
                    </a:endParaRP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847E-4667-A17A-A5B692596076}"/>
                </c:ext>
              </c:extLst>
            </c:dLbl>
            <c:dLbl>
              <c:idx val="6"/>
              <c:layout/>
              <c:tx>
                <c:rich>
                  <a:bodyPr/>
                  <a:lstStyle/>
                  <a:p>
                    <a:r>
                      <a:rPr lang="en-US" sz="800"/>
                      <a:t>31.8%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847E-4667-A17A-A5B692596076}"/>
                </c:ext>
              </c:extLst>
            </c:dLbl>
            <c:dLbl>
              <c:idx val="7"/>
              <c:layout/>
              <c:tx>
                <c:rich>
                  <a:bodyPr/>
                  <a:lstStyle/>
                  <a:p>
                    <a:r>
                      <a:rPr lang="en-US" sz="800" b="0" i="0" baseline="0">
                        <a:effectLst/>
                      </a:rPr>
                      <a:t>31.8%</a:t>
                    </a:r>
                    <a:endParaRPr lang="en-US" sz="800">
                      <a:effectLst/>
                    </a:endParaRP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847E-4667-A17A-A5B692596076}"/>
                </c:ext>
              </c:extLst>
            </c:dLbl>
            <c:dLbl>
              <c:idx val="8"/>
              <c:layout/>
              <c:tx>
                <c:rich>
                  <a:bodyPr/>
                  <a:lstStyle/>
                  <a:p>
                    <a:r>
                      <a:rPr lang="en-US" sz="800"/>
                      <a:t>18.2%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847E-4667-A17A-A5B692596076}"/>
                </c:ext>
              </c:extLst>
            </c:dLbl>
            <c:dLbl>
              <c:idx val="9"/>
              <c:layout>
                <c:manualLayout>
                  <c:x val="1.1749437599754576E-2"/>
                  <c:y val="8.4039335791811149E-17"/>
                </c:manualLayout>
              </c:layout>
              <c:tx>
                <c:rich>
                  <a:bodyPr/>
                  <a:lstStyle/>
                  <a:p>
                    <a:r>
                      <a:rPr lang="en-US" sz="800" b="0" i="0" baseline="0">
                        <a:effectLst/>
                      </a:rPr>
                      <a:t>4.5%</a:t>
                    </a:r>
                    <a:endParaRPr lang="en-US" sz="800">
                      <a:effectLst/>
                    </a:endParaRP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847E-4667-A17A-A5B69259607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Hoja18!$B$1:$K$1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Hoja18!$B$2:$K$2</c:f>
              <c:numCache>
                <c:formatCode>General</c:formatCode>
                <c:ptCount val="10"/>
                <c:pt idx="0">
                  <c:v>0</c:v>
                </c:pt>
                <c:pt idx="1">
                  <c:v>1</c:v>
                </c:pt>
                <c:pt idx="2">
                  <c:v>0</c:v>
                </c:pt>
                <c:pt idx="3">
                  <c:v>0</c:v>
                </c:pt>
                <c:pt idx="4">
                  <c:v>3</c:v>
                </c:pt>
                <c:pt idx="5">
                  <c:v>2</c:v>
                </c:pt>
                <c:pt idx="6">
                  <c:v>14</c:v>
                </c:pt>
                <c:pt idx="7">
                  <c:v>14</c:v>
                </c:pt>
                <c:pt idx="8">
                  <c:v>8</c:v>
                </c:pt>
                <c:pt idx="9">
                  <c:v>2</c:v>
                </c:pt>
              </c:numCache>
            </c:numRef>
          </c:val>
          <c:extLst>
            <c:ext xmlns:c16="http://schemas.microsoft.com/office/drawing/2014/chart" uri="{C3380CC4-5D6E-409C-BE32-E72D297353CC}">
              <c16:uniqueId val="{00000000-D7BA-493E-AEA8-6097DDCFD01E}"/>
            </c:ext>
          </c:extLst>
        </c:ser>
        <c:ser>
          <c:idx val="1"/>
          <c:order val="1"/>
          <c:tx>
            <c:strRef>
              <c:f>Hoja18!$A$3</c:f>
              <c:strCache>
                <c:ptCount val="1"/>
                <c:pt idx="0">
                  <c:v>CV</c:v>
                </c:pt>
              </c:strCache>
            </c:strRef>
          </c:tx>
          <c:invertIfNegative val="0"/>
          <c:dLbls>
            <c:dLbl>
              <c:idx val="0"/>
              <c:layout/>
              <c:tx>
                <c:rich>
                  <a:bodyPr/>
                  <a:lstStyle/>
                  <a:p>
                    <a:r>
                      <a:rPr lang="en-US" sz="800"/>
                      <a:t>25%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847E-4667-A17A-A5B692596076}"/>
                </c:ext>
              </c:extLst>
            </c:dLbl>
            <c:dLbl>
              <c:idx val="1"/>
              <c:layout/>
              <c:tx>
                <c:rich>
                  <a:bodyPr/>
                  <a:lstStyle/>
                  <a:p>
                    <a:r>
                      <a:rPr lang="en-US" sz="800"/>
                      <a:t>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847E-4667-A17A-A5B692596076}"/>
                </c:ext>
              </c:extLst>
            </c:dLbl>
            <c:dLbl>
              <c:idx val="2"/>
              <c:layout/>
              <c:tx>
                <c:rich>
                  <a:bodyPr/>
                  <a:lstStyle/>
                  <a:p>
                    <a:r>
                      <a:rPr lang="en-US" sz="800"/>
                      <a:t>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847E-4667-A17A-A5B692596076}"/>
                </c:ext>
              </c:extLst>
            </c:dLbl>
            <c:dLbl>
              <c:idx val="3"/>
              <c:layout/>
              <c:tx>
                <c:rich>
                  <a:bodyPr/>
                  <a:lstStyle/>
                  <a:p>
                    <a:r>
                      <a:rPr lang="en-US" sz="800" b="0" i="0" baseline="0">
                        <a:effectLst/>
                      </a:rPr>
                      <a:t>4.5%</a:t>
                    </a:r>
                    <a:endParaRPr lang="en-US" sz="800">
                      <a:effectLst/>
                    </a:endParaRP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847E-4667-A17A-A5B692596076}"/>
                </c:ext>
              </c:extLst>
            </c:dLbl>
            <c:dLbl>
              <c:idx val="4"/>
              <c:layout/>
              <c:tx>
                <c:rich>
                  <a:bodyPr/>
                  <a:lstStyle/>
                  <a:p>
                    <a:r>
                      <a:rPr lang="en-US" sz="800"/>
                      <a:t>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847E-4667-A17A-A5B692596076}"/>
                </c:ext>
              </c:extLst>
            </c:dLbl>
            <c:dLbl>
              <c:idx val="5"/>
              <c:layout/>
              <c:tx>
                <c:rich>
                  <a:bodyPr/>
                  <a:lstStyle/>
                  <a:p>
                    <a:r>
                      <a:rPr lang="en-US" sz="800" b="0" i="0" baseline="0">
                        <a:effectLst/>
                      </a:rPr>
                      <a:t>9.1%</a:t>
                    </a:r>
                    <a:endParaRPr lang="en-US" sz="800">
                      <a:effectLst/>
                    </a:endParaRP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847E-4667-A17A-A5B692596076}"/>
                </c:ext>
              </c:extLst>
            </c:dLbl>
            <c:dLbl>
              <c:idx val="6"/>
              <c:layout>
                <c:manualLayout>
                  <c:x val="2.0655141239341781E-2"/>
                  <c:y val="0"/>
                </c:manualLayout>
              </c:layout>
              <c:tx>
                <c:rich>
                  <a:bodyPr/>
                  <a:lstStyle/>
                  <a:p>
                    <a:r>
                      <a:rPr lang="en-US" sz="800" b="0" i="0" baseline="0">
                        <a:effectLst/>
                      </a:rPr>
                      <a:t>15.9%</a:t>
                    </a:r>
                    <a:endParaRPr lang="en-US" sz="800">
                      <a:effectLst/>
                    </a:endParaRP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D7BA-493E-AEA8-6097DDCFD01E}"/>
                </c:ext>
              </c:extLst>
            </c:dLbl>
            <c:dLbl>
              <c:idx val="7"/>
              <c:layout>
                <c:manualLayout>
                  <c:x val="1.8551899393729018E-2"/>
                  <c:y val="-4.415093903763081E-3"/>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r>
                      <a:rPr lang="en-US" sz="800" b="0" i="0" baseline="0">
                        <a:effectLst/>
                      </a:rPr>
                      <a:t>9.1%</a:t>
                    </a:r>
                    <a:endParaRPr lang="en-US" sz="800">
                      <a:effectLst/>
                    </a:endParaRP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D7BA-493E-AEA8-6097DDCFD01E}"/>
                </c:ext>
              </c:extLst>
            </c:dLbl>
            <c:dLbl>
              <c:idx val="8"/>
              <c:layout>
                <c:manualLayout>
                  <c:x val="1.6037519747381542E-2"/>
                  <c:y val="8.4039335791811149E-17"/>
                </c:manualLayout>
              </c:layout>
              <c:tx>
                <c:rich>
                  <a:bodyPr/>
                  <a:lstStyle/>
                  <a:p>
                    <a:r>
                      <a:rPr lang="en-US" sz="800" b="0" i="0" baseline="0">
                        <a:effectLst/>
                      </a:rPr>
                      <a:t>4.5%</a:t>
                    </a:r>
                    <a:endParaRPr lang="en-US" sz="800">
                      <a:effectLst/>
                    </a:endParaRP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D7BA-493E-AEA8-6097DDCFD01E}"/>
                </c:ext>
              </c:extLst>
            </c:dLbl>
            <c:dLbl>
              <c:idx val="9"/>
              <c:layout>
                <c:manualLayout>
                  <c:x val="3.4836804937502241E-2"/>
                  <c:y val="5.0930591489754901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r>
                      <a:rPr lang="en-US" sz="800" b="0" i="0" baseline="0">
                        <a:effectLst/>
                      </a:rPr>
                      <a:t>2.27%</a:t>
                    </a:r>
                    <a:endParaRPr lang="en-US" sz="800">
                      <a:effectLst/>
                    </a:endParaRPr>
                  </a:p>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endParaRPr lang="en-US"/>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D7BA-493E-AEA8-6097DDCFD01E}"/>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Hoja18!$B$1:$K$1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Hoja18!$B$3:$K$3</c:f>
              <c:numCache>
                <c:formatCode>General</c:formatCode>
                <c:ptCount val="10"/>
                <c:pt idx="0">
                  <c:v>11</c:v>
                </c:pt>
                <c:pt idx="1">
                  <c:v>4</c:v>
                </c:pt>
                <c:pt idx="2">
                  <c:v>2</c:v>
                </c:pt>
                <c:pt idx="3">
                  <c:v>2</c:v>
                </c:pt>
                <c:pt idx="4">
                  <c:v>7</c:v>
                </c:pt>
                <c:pt idx="5">
                  <c:v>4</c:v>
                </c:pt>
                <c:pt idx="6">
                  <c:v>7</c:v>
                </c:pt>
                <c:pt idx="7">
                  <c:v>4</c:v>
                </c:pt>
                <c:pt idx="8">
                  <c:v>2</c:v>
                </c:pt>
                <c:pt idx="9">
                  <c:v>1</c:v>
                </c:pt>
              </c:numCache>
            </c:numRef>
          </c:val>
          <c:extLst>
            <c:ext xmlns:c16="http://schemas.microsoft.com/office/drawing/2014/chart" uri="{C3380CC4-5D6E-409C-BE32-E72D297353CC}">
              <c16:uniqueId val="{00000005-D7BA-493E-AEA8-6097DDCFD01E}"/>
            </c:ext>
          </c:extLst>
        </c:ser>
        <c:dLbls>
          <c:showLegendKey val="0"/>
          <c:showVal val="0"/>
          <c:showCatName val="0"/>
          <c:showSerName val="0"/>
          <c:showPercent val="0"/>
          <c:showBubbleSize val="0"/>
        </c:dLbls>
        <c:gapWidth val="150"/>
        <c:shape val="box"/>
        <c:axId val="220726784"/>
        <c:axId val="220728320"/>
        <c:axId val="0"/>
      </c:bar3DChart>
      <c:catAx>
        <c:axId val="220726784"/>
        <c:scaling>
          <c:orientation val="minMax"/>
        </c:scaling>
        <c:delete val="0"/>
        <c:axPos val="b"/>
        <c:numFmt formatCode="General" sourceLinked="1"/>
        <c:majorTickMark val="out"/>
        <c:minorTickMark val="none"/>
        <c:tickLblPos val="nextTo"/>
        <c:crossAx val="220728320"/>
        <c:crosses val="autoZero"/>
        <c:auto val="1"/>
        <c:lblAlgn val="ctr"/>
        <c:lblOffset val="100"/>
        <c:noMultiLvlLbl val="0"/>
      </c:catAx>
      <c:valAx>
        <c:axId val="220728320"/>
        <c:scaling>
          <c:orientation val="minMax"/>
        </c:scaling>
        <c:delete val="0"/>
        <c:axPos val="l"/>
        <c:majorGridlines/>
        <c:numFmt formatCode="General" sourceLinked="1"/>
        <c:majorTickMark val="out"/>
        <c:minorTickMark val="none"/>
        <c:tickLblPos val="nextTo"/>
        <c:crossAx val="22072678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Hoja17!$A$2</c:f>
              <c:strCache>
                <c:ptCount val="1"/>
                <c:pt idx="0">
                  <c:v>Knowledge of the CEFR/CV descriptors</c:v>
                </c:pt>
              </c:strCache>
            </c:strRef>
          </c:tx>
          <c:spPr>
            <a:solidFill>
              <a:schemeClr val="accent1"/>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2-3CB4-4DB2-B319-6C7DD36BA345}"/>
                </c:ext>
              </c:extLst>
            </c:dLbl>
            <c:dLbl>
              <c:idx val="1"/>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3CB4-4DB2-B319-6C7DD36BA345}"/>
                </c:ext>
              </c:extLst>
            </c:dLbl>
            <c:dLbl>
              <c:idx val="2"/>
              <c:delete val="1"/>
              <c:extLst>
                <c:ext xmlns:c15="http://schemas.microsoft.com/office/drawing/2012/chart" uri="{CE6537A1-D6FC-4f65-9D91-7224C49458BB}"/>
                <c:ext xmlns:c16="http://schemas.microsoft.com/office/drawing/2014/chart" uri="{C3380CC4-5D6E-409C-BE32-E72D297353CC}">
                  <c16:uniqueId val="{00000007-3CB4-4DB2-B319-6C7DD36BA345}"/>
                </c:ext>
              </c:extLst>
            </c:dLbl>
            <c:dLbl>
              <c:idx val="3"/>
              <c:layout>
                <c:manualLayout>
                  <c:x val="4.7036688617121142E-3"/>
                  <c:y val="4.2598509052183178E-3"/>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3CB4-4DB2-B319-6C7DD36BA345}"/>
                </c:ext>
              </c:extLst>
            </c:dLbl>
            <c:dLbl>
              <c:idx val="4"/>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3CB4-4DB2-B319-6C7DD36BA345}"/>
                </c:ext>
              </c:extLst>
            </c:dLbl>
            <c:dLbl>
              <c:idx val="5"/>
              <c:layout/>
              <c:tx>
                <c:rich>
                  <a:bodyPr/>
                  <a:lstStyle/>
                  <a:p>
                    <a:r>
                      <a:rPr lang="en-US"/>
                      <a:t>5 (11.4%)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3CB4-4DB2-B319-6C7DD36BA345}"/>
                </c:ext>
              </c:extLst>
            </c:dLbl>
            <c:dLbl>
              <c:idx val="6"/>
              <c:layout/>
              <c:tx>
                <c:rich>
                  <a:bodyPr/>
                  <a:lstStyle/>
                  <a:p>
                    <a:r>
                      <a:rPr lang="en-US"/>
                      <a:t>10 (22.7%)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3CB4-4DB2-B319-6C7DD36BA345}"/>
                </c:ext>
              </c:extLst>
            </c:dLbl>
            <c:dLbl>
              <c:idx val="7"/>
              <c:layout/>
              <c:tx>
                <c:rich>
                  <a:bodyPr/>
                  <a:lstStyle/>
                  <a:p>
                    <a:r>
                      <a:rPr lang="en-US"/>
                      <a:t>13 (29.5%)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3CB4-4DB2-B319-6C7DD36BA345}"/>
                </c:ext>
              </c:extLst>
            </c:dLbl>
            <c:dLbl>
              <c:idx val="8"/>
              <c:layout/>
              <c:tx>
                <c:rich>
                  <a:bodyPr/>
                  <a:lstStyle/>
                  <a:p>
                    <a:r>
                      <a:rPr lang="en-US"/>
                      <a:t>8 (18.2%)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3CB4-4DB2-B319-6C7DD36BA345}"/>
                </c:ext>
              </c:extLst>
            </c:dLbl>
            <c:dLbl>
              <c:idx val="9"/>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F-3CB4-4DB2-B319-6C7DD36BA34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Hoja17!$B$1:$K$1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Hoja17!$B$2:$K$2</c:f>
              <c:numCache>
                <c:formatCode>General</c:formatCode>
                <c:ptCount val="10"/>
                <c:pt idx="0">
                  <c:v>0</c:v>
                </c:pt>
                <c:pt idx="1">
                  <c:v>1</c:v>
                </c:pt>
                <c:pt idx="2">
                  <c:v>0</c:v>
                </c:pt>
                <c:pt idx="3">
                  <c:v>1</c:v>
                </c:pt>
                <c:pt idx="4">
                  <c:v>4</c:v>
                </c:pt>
                <c:pt idx="5">
                  <c:v>5</c:v>
                </c:pt>
                <c:pt idx="6">
                  <c:v>10</c:v>
                </c:pt>
                <c:pt idx="7">
                  <c:v>13</c:v>
                </c:pt>
                <c:pt idx="8">
                  <c:v>8</c:v>
                </c:pt>
                <c:pt idx="9">
                  <c:v>2</c:v>
                </c:pt>
              </c:numCache>
            </c:numRef>
          </c:val>
          <c:extLst>
            <c:ext xmlns:c16="http://schemas.microsoft.com/office/drawing/2014/chart" uri="{C3380CC4-5D6E-409C-BE32-E72D297353CC}">
              <c16:uniqueId val="{00000000-3CB4-4DB2-B319-6C7DD36BA345}"/>
            </c:ext>
          </c:extLst>
        </c:ser>
        <c:ser>
          <c:idx val="1"/>
          <c:order val="1"/>
          <c:tx>
            <c:strRef>
              <c:f>Hoja17!$A$3</c:f>
              <c:strCache>
                <c:ptCount val="1"/>
                <c:pt idx="0">
                  <c:v>Use of the CEFR/CV descriptors</c:v>
                </c:pt>
              </c:strCache>
            </c:strRef>
          </c:tx>
          <c:spPr>
            <a:solidFill>
              <a:schemeClr val="accent2"/>
            </a:solidFill>
            <a:ln>
              <a:noFill/>
            </a:ln>
            <a:effectLst/>
          </c:spPr>
          <c:invertIfNegative val="0"/>
          <c:dLbls>
            <c:dLbl>
              <c:idx val="0"/>
              <c:layout>
                <c:manualLayout>
                  <c:x val="1.6462841015992474E-2"/>
                  <c:y val="0"/>
                </c:manualLayout>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3CB4-4DB2-B319-6C7DD36BA345}"/>
                </c:ext>
              </c:extLst>
            </c:dLbl>
            <c:dLbl>
              <c:idx val="1"/>
              <c:delete val="1"/>
              <c:extLst>
                <c:ext xmlns:c15="http://schemas.microsoft.com/office/drawing/2012/chart" uri="{CE6537A1-D6FC-4f65-9D91-7224C49458BB}"/>
                <c:ext xmlns:c16="http://schemas.microsoft.com/office/drawing/2014/chart" uri="{C3380CC4-5D6E-409C-BE32-E72D297353CC}">
                  <c16:uniqueId val="{00000005-3CB4-4DB2-B319-6C7DD36BA345}"/>
                </c:ext>
              </c:extLst>
            </c:dLbl>
            <c:dLbl>
              <c:idx val="2"/>
              <c:delete val="1"/>
              <c:extLst>
                <c:ext xmlns:c15="http://schemas.microsoft.com/office/drawing/2012/chart" uri="{CE6537A1-D6FC-4f65-9D91-7224C49458BB}"/>
                <c:ext xmlns:c16="http://schemas.microsoft.com/office/drawing/2014/chart" uri="{C3380CC4-5D6E-409C-BE32-E72D297353CC}">
                  <c16:uniqueId val="{00000006-3CB4-4DB2-B319-6C7DD36BA345}"/>
                </c:ext>
              </c:extLst>
            </c:dLbl>
            <c:dLbl>
              <c:idx val="3"/>
              <c:delete val="1"/>
              <c:extLst>
                <c:ext xmlns:c15="http://schemas.microsoft.com/office/drawing/2012/chart" uri="{CE6537A1-D6FC-4f65-9D91-7224C49458BB}"/>
                <c:ext xmlns:c16="http://schemas.microsoft.com/office/drawing/2014/chart" uri="{C3380CC4-5D6E-409C-BE32-E72D297353CC}">
                  <c16:uniqueId val="{00000009-3CB4-4DB2-B319-6C7DD36BA345}"/>
                </c:ext>
              </c:extLst>
            </c:dLbl>
            <c:dLbl>
              <c:idx val="4"/>
              <c:layout/>
              <c:tx>
                <c:rich>
                  <a:bodyPr/>
                  <a:lstStyle/>
                  <a:p>
                    <a:r>
                      <a:rPr lang="en-US"/>
                      <a:t>2 (4.5%) </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1-3CB4-4DB2-B319-6C7DD36BA345}"/>
                </c:ext>
              </c:extLst>
            </c:dLbl>
            <c:dLbl>
              <c:idx val="5"/>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3CB4-4DB2-B319-6C7DD36BA345}"/>
                </c:ext>
              </c:extLst>
            </c:dLbl>
            <c:dLbl>
              <c:idx val="6"/>
              <c:layout/>
              <c:tx>
                <c:rich>
                  <a:bodyPr/>
                  <a:lstStyle/>
                  <a:p>
                    <a:r>
                      <a:rPr lang="en-US"/>
                      <a:t>6 (13.6%)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2-3CB4-4DB2-B319-6C7DD36BA345}"/>
                </c:ext>
              </c:extLst>
            </c:dLbl>
            <c:dLbl>
              <c:idx val="7"/>
              <c:layout/>
              <c:tx>
                <c:rich>
                  <a:bodyPr/>
                  <a:lstStyle/>
                  <a:p>
                    <a:r>
                      <a:rPr lang="en-US"/>
                      <a:t>3 (6.9%)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3-3CB4-4DB2-B319-6C7DD36BA345}"/>
                </c:ext>
              </c:extLst>
            </c:dLbl>
            <c:dLbl>
              <c:idx val="8"/>
              <c:layout/>
              <c:tx>
                <c:rich>
                  <a:bodyPr/>
                  <a:lstStyle/>
                  <a:p>
                    <a:r>
                      <a:rPr lang="en-US"/>
                      <a:t>7 (16%)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5-3CB4-4DB2-B319-6C7DD36BA345}"/>
                </c:ext>
              </c:extLst>
            </c:dLbl>
            <c:dLbl>
              <c:idx val="9"/>
              <c:layout/>
              <c:tx>
                <c:rich>
                  <a:bodyPr/>
                  <a:lstStyle/>
                  <a:p>
                    <a:r>
                      <a:rPr lang="en-US"/>
                      <a:t>22 (50%)</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4-3CB4-4DB2-B319-6C7DD36BA34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Hoja17!$B$1:$K$1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Hoja17!$B$3:$K$3</c:f>
              <c:numCache>
                <c:formatCode>General</c:formatCode>
                <c:ptCount val="10"/>
                <c:pt idx="0">
                  <c:v>2</c:v>
                </c:pt>
                <c:pt idx="1">
                  <c:v>0</c:v>
                </c:pt>
                <c:pt idx="2">
                  <c:v>0</c:v>
                </c:pt>
                <c:pt idx="3">
                  <c:v>0</c:v>
                </c:pt>
                <c:pt idx="4">
                  <c:v>2</c:v>
                </c:pt>
                <c:pt idx="5">
                  <c:v>2</c:v>
                </c:pt>
                <c:pt idx="6">
                  <c:v>6</c:v>
                </c:pt>
                <c:pt idx="7">
                  <c:v>3</c:v>
                </c:pt>
                <c:pt idx="8">
                  <c:v>7</c:v>
                </c:pt>
                <c:pt idx="9">
                  <c:v>22</c:v>
                </c:pt>
              </c:numCache>
            </c:numRef>
          </c:val>
          <c:extLst>
            <c:ext xmlns:c16="http://schemas.microsoft.com/office/drawing/2014/chart" uri="{C3380CC4-5D6E-409C-BE32-E72D297353CC}">
              <c16:uniqueId val="{00000001-3CB4-4DB2-B319-6C7DD36BA345}"/>
            </c:ext>
          </c:extLst>
        </c:ser>
        <c:dLbls>
          <c:showLegendKey val="0"/>
          <c:showVal val="0"/>
          <c:showCatName val="0"/>
          <c:showSerName val="0"/>
          <c:showPercent val="0"/>
          <c:showBubbleSize val="0"/>
        </c:dLbls>
        <c:gapWidth val="75"/>
        <c:overlap val="-25"/>
        <c:axId val="222655616"/>
        <c:axId val="222657152"/>
      </c:barChart>
      <c:catAx>
        <c:axId val="2226556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2657152"/>
        <c:crosses val="autoZero"/>
        <c:auto val="1"/>
        <c:lblAlgn val="ctr"/>
        <c:lblOffset val="100"/>
        <c:noMultiLvlLbl val="0"/>
      </c:catAx>
      <c:valAx>
        <c:axId val="2226571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26556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Hoja19!$A$2</c:f>
              <c:strCache>
                <c:ptCount val="1"/>
                <c:pt idx="0">
                  <c:v>Linguistic competence</c:v>
                </c:pt>
              </c:strCache>
            </c:strRef>
          </c:tx>
          <c:invertIfNegative val="0"/>
          <c:dLbls>
            <c:dLbl>
              <c:idx val="4"/>
              <c:layout>
                <c:manualLayout>
                  <c:x val="1.3651877133105788E-2"/>
                  <c:y val="0"/>
                </c:manualLayout>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E9B3-4BFC-B0A0-841A10724418}"/>
                </c:ext>
              </c:extLst>
            </c:dLbl>
            <c:dLbl>
              <c:idx val="5"/>
              <c:layout>
                <c:manualLayout>
                  <c:x val="1.0618126659082291E-2"/>
                  <c:y val="1.2995450262165303E-3"/>
                </c:manualLayout>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E9B3-4BFC-B0A0-841A10724418}"/>
                </c:ext>
              </c:extLst>
            </c:dLbl>
            <c:dLbl>
              <c:idx val="6"/>
              <c:layout>
                <c:manualLayout>
                  <c:x val="1.0618126659082291E-2"/>
                  <c:y val="1.2995450262165303E-3"/>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E9B3-4BFC-B0A0-841A10724418}"/>
                </c:ext>
              </c:extLst>
            </c:dLbl>
            <c:dLbl>
              <c:idx val="7"/>
              <c:layout>
                <c:manualLayout>
                  <c:x val="1.2135001896094046E-2"/>
                  <c:y val="0"/>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E9B3-4BFC-B0A0-841A10724418}"/>
                </c:ext>
              </c:extLst>
            </c:dLbl>
            <c:dLbl>
              <c:idx val="8"/>
              <c:layout>
                <c:manualLayout>
                  <c:x val="1.0618007220087251E-2"/>
                  <c:y val="-1.0232638001704962E-7"/>
                </c:manualLayout>
              </c:layout>
              <c:tx>
                <c:rich>
                  <a:bodyPr/>
                  <a:lstStyle/>
                  <a:p>
                    <a:r>
                      <a:rPr lang="en-US"/>
                      <a:t>13 (29.3%)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E9B3-4BFC-B0A0-841A10724418}"/>
                </c:ext>
              </c:extLst>
            </c:dLbl>
            <c:dLbl>
              <c:idx val="9"/>
              <c:layout>
                <c:manualLayout>
                  <c:x val="1.0618126659082291E-2"/>
                  <c:y val="-2.5990900524330484E-3"/>
                </c:manualLayout>
              </c:layout>
              <c:tx>
                <c:rich>
                  <a:bodyPr/>
                  <a:lstStyle/>
                  <a:p>
                    <a:r>
                      <a:rPr lang="en-US"/>
                      <a:t>21 (47.7%)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E9B3-4BFC-B0A0-841A1072441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Hoja19!$B$1:$K$1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Hoja19!$B$2:$K$2</c:f>
              <c:numCache>
                <c:formatCode>General</c:formatCode>
                <c:ptCount val="10"/>
                <c:pt idx="0">
                  <c:v>0</c:v>
                </c:pt>
                <c:pt idx="1">
                  <c:v>0</c:v>
                </c:pt>
                <c:pt idx="2">
                  <c:v>0</c:v>
                </c:pt>
                <c:pt idx="3">
                  <c:v>0</c:v>
                </c:pt>
                <c:pt idx="4">
                  <c:v>2</c:v>
                </c:pt>
                <c:pt idx="5">
                  <c:v>3</c:v>
                </c:pt>
                <c:pt idx="6">
                  <c:v>1</c:v>
                </c:pt>
                <c:pt idx="7">
                  <c:v>4</c:v>
                </c:pt>
                <c:pt idx="8">
                  <c:v>13</c:v>
                </c:pt>
                <c:pt idx="9">
                  <c:v>21</c:v>
                </c:pt>
              </c:numCache>
            </c:numRef>
          </c:val>
          <c:extLst>
            <c:ext xmlns:c16="http://schemas.microsoft.com/office/drawing/2014/chart" uri="{C3380CC4-5D6E-409C-BE32-E72D297353CC}">
              <c16:uniqueId val="{00000006-E9B3-4BFC-B0A0-841A10724418}"/>
            </c:ext>
          </c:extLst>
        </c:ser>
        <c:ser>
          <c:idx val="1"/>
          <c:order val="1"/>
          <c:tx>
            <c:strRef>
              <c:f>Hoja19!$A$3</c:f>
              <c:strCache>
                <c:ptCount val="1"/>
                <c:pt idx="0">
                  <c:v>Sociolinguistic competence</c:v>
                </c:pt>
              </c:strCache>
            </c:strRef>
          </c:tx>
          <c:invertIfNegative val="0"/>
          <c:dLbls>
            <c:dLbl>
              <c:idx val="3"/>
              <c:layout>
                <c:manualLayout>
                  <c:x val="9.1012514220705342E-3"/>
                  <c:y val="0"/>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E9B3-4BFC-B0A0-841A10724418}"/>
                </c:ext>
              </c:extLst>
            </c:dLbl>
            <c:dLbl>
              <c:idx val="4"/>
              <c:layout>
                <c:manualLayout>
                  <c:x val="1.3651877133105802E-2"/>
                  <c:y val="-2.5990900524330606E-3"/>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E9B3-4BFC-B0A0-841A10724418}"/>
                </c:ext>
              </c:extLst>
            </c:dLbl>
            <c:dLbl>
              <c:idx val="5"/>
              <c:layout>
                <c:manualLayout>
                  <c:x val="1.3651877133105802E-2"/>
                  <c:y val="-1.2995450262165303E-3"/>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E9B3-4BFC-B0A0-841A10724418}"/>
                </c:ext>
              </c:extLst>
            </c:dLbl>
            <c:dLbl>
              <c:idx val="6"/>
              <c:layout>
                <c:manualLayout>
                  <c:x val="3.0337504740235114E-3"/>
                  <c:y val="0"/>
                </c:manualLayout>
              </c:layout>
              <c:tx>
                <c:rich>
                  <a:bodyPr/>
                  <a:lstStyle/>
                  <a:p>
                    <a:r>
                      <a:rPr lang="en-US"/>
                      <a:t>7 (15.9%)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E9B3-4BFC-B0A0-841A10724418}"/>
                </c:ext>
              </c:extLst>
            </c:dLbl>
            <c:dLbl>
              <c:idx val="7"/>
              <c:layout>
                <c:manualLayout>
                  <c:x val="1.0618126659082291E-2"/>
                  <c:y val="-1.2995450262165303E-3"/>
                </c:manualLayout>
              </c:layout>
              <c:tx>
                <c:rich>
                  <a:bodyPr/>
                  <a:lstStyle/>
                  <a:p>
                    <a:r>
                      <a:rPr lang="en-US"/>
                      <a:t>13 (29.5%)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E9B3-4BFC-B0A0-841A10724418}"/>
                </c:ext>
              </c:extLst>
            </c:dLbl>
            <c:dLbl>
              <c:idx val="8"/>
              <c:layout>
                <c:manualLayout>
                  <c:x val="1.3651877133105802E-2"/>
                  <c:y val="-2.5991923788130774E-3"/>
                </c:manualLayout>
              </c:layout>
              <c:tx>
                <c:rich>
                  <a:bodyPr/>
                  <a:lstStyle/>
                  <a:p>
                    <a:r>
                      <a:rPr lang="en-US"/>
                      <a:t>11 (25%)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E9B3-4BFC-B0A0-841A10724418}"/>
                </c:ext>
              </c:extLst>
            </c:dLbl>
            <c:dLbl>
              <c:idx val="9"/>
              <c:layout>
                <c:manualLayout>
                  <c:x val="7.5843761850587785E-3"/>
                  <c:y val="-3.8986350786495904E-3"/>
                </c:manualLayout>
              </c:layout>
              <c:tx>
                <c:rich>
                  <a:bodyPr/>
                  <a:lstStyle/>
                  <a:p>
                    <a:r>
                      <a:rPr lang="en-US"/>
                      <a:t>7 (15.9%)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E9B3-4BFC-B0A0-841A1072441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Hoja19!$B$1:$K$1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Hoja19!$B$3:$K$3</c:f>
              <c:numCache>
                <c:formatCode>General</c:formatCode>
                <c:ptCount val="10"/>
                <c:pt idx="0">
                  <c:v>0</c:v>
                </c:pt>
                <c:pt idx="1">
                  <c:v>0</c:v>
                </c:pt>
                <c:pt idx="2">
                  <c:v>0</c:v>
                </c:pt>
                <c:pt idx="3">
                  <c:v>1</c:v>
                </c:pt>
                <c:pt idx="4">
                  <c:v>1</c:v>
                </c:pt>
                <c:pt idx="5">
                  <c:v>4</c:v>
                </c:pt>
                <c:pt idx="6">
                  <c:v>7</c:v>
                </c:pt>
                <c:pt idx="7">
                  <c:v>13</c:v>
                </c:pt>
                <c:pt idx="8">
                  <c:v>11</c:v>
                </c:pt>
                <c:pt idx="9">
                  <c:v>7</c:v>
                </c:pt>
              </c:numCache>
            </c:numRef>
          </c:val>
          <c:extLst>
            <c:ext xmlns:c16="http://schemas.microsoft.com/office/drawing/2014/chart" uri="{C3380CC4-5D6E-409C-BE32-E72D297353CC}">
              <c16:uniqueId val="{0000000E-E9B3-4BFC-B0A0-841A10724418}"/>
            </c:ext>
          </c:extLst>
        </c:ser>
        <c:ser>
          <c:idx val="2"/>
          <c:order val="2"/>
          <c:tx>
            <c:strRef>
              <c:f>Hoja19!$A$4</c:f>
              <c:strCache>
                <c:ptCount val="1"/>
                <c:pt idx="0">
                  <c:v>Pragmatic competence</c:v>
                </c:pt>
              </c:strCache>
            </c:strRef>
          </c:tx>
          <c:spPr>
            <a:solidFill>
              <a:schemeClr val="accent6">
                <a:lumMod val="60000"/>
                <a:lumOff val="40000"/>
              </a:schemeClr>
            </a:solidFill>
          </c:spPr>
          <c:invertIfNegative val="0"/>
          <c:dLbls>
            <c:dLbl>
              <c:idx val="0"/>
              <c:layout>
                <c:manualLayout>
                  <c:x val="7.5843761850587785E-3"/>
                  <c:y val="-1.2995450262165303E-3"/>
                </c:manualLayout>
              </c:layout>
              <c:tx>
                <c:rich>
                  <a:bodyPr/>
                  <a:lstStyle/>
                  <a:p>
                    <a:r>
                      <a:rPr lang="en-US"/>
                      <a:t>6 (13.6%)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F-E9B3-4BFC-B0A0-841A10724418}"/>
                </c:ext>
              </c:extLst>
            </c:dLbl>
            <c:dLbl>
              <c:idx val="2"/>
              <c:layout>
                <c:manualLayout>
                  <c:x val="1.3651877133105802E-2"/>
                  <c:y val="0"/>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E9B3-4BFC-B0A0-841A10724418}"/>
                </c:ext>
              </c:extLst>
            </c:dLbl>
            <c:dLbl>
              <c:idx val="3"/>
              <c:layout>
                <c:manualLayout>
                  <c:x val="7.5843761850587785E-3"/>
                  <c:y val="-1.2995450262165303E-3"/>
                </c:manualLayout>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1-E9B3-4BFC-B0A0-841A10724418}"/>
                </c:ext>
              </c:extLst>
            </c:dLbl>
            <c:dLbl>
              <c:idx val="4"/>
              <c:layout>
                <c:manualLayout>
                  <c:x val="1.0618126659082291E-2"/>
                  <c:y val="0"/>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2-E9B3-4BFC-B0A0-841A10724418}"/>
                </c:ext>
              </c:extLst>
            </c:dLbl>
            <c:dLbl>
              <c:idx val="5"/>
              <c:layout>
                <c:manualLayout>
                  <c:x val="1.2135001896094046E-2"/>
                  <c:y val="-1.2995450262165303E-3"/>
                </c:manualLayout>
              </c:layout>
              <c:tx>
                <c:rich>
                  <a:bodyPr/>
                  <a:lstStyle/>
                  <a:p>
                    <a:r>
                      <a:rPr lang="en-US"/>
                      <a:t>5 (11.4%)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3-E9B3-4BFC-B0A0-841A10724418}"/>
                </c:ext>
              </c:extLst>
            </c:dLbl>
            <c:dLbl>
              <c:idx val="6"/>
              <c:layout>
                <c:manualLayout>
                  <c:x val="7.5843761850587785E-3"/>
                  <c:y val="-3.8986350786495904E-3"/>
                </c:manualLayout>
              </c:layout>
              <c:tx>
                <c:rich>
                  <a:bodyPr/>
                  <a:lstStyle/>
                  <a:p>
                    <a:r>
                      <a:rPr lang="en-US"/>
                      <a:t>7 (15.9%)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4-E9B3-4BFC-B0A0-841A10724418}"/>
                </c:ext>
              </c:extLst>
            </c:dLbl>
            <c:dLbl>
              <c:idx val="7"/>
              <c:layout>
                <c:manualLayout>
                  <c:x val="1.5168752370117557E-3"/>
                  <c:y val="-2.5990900524330606E-3"/>
                </c:manualLayout>
              </c:layout>
              <c:tx>
                <c:rich>
                  <a:bodyPr/>
                  <a:lstStyle/>
                  <a:p>
                    <a:r>
                      <a:rPr lang="en-US"/>
                      <a:t>8 (18.2%)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5-E9B3-4BFC-B0A0-841A10724418}"/>
                </c:ext>
              </c:extLst>
            </c:dLbl>
            <c:dLbl>
              <c:idx val="8"/>
              <c:layout>
                <c:manualLayout>
                  <c:x val="1.3651877133105802E-2"/>
                  <c:y val="-3.8986350786495904E-3"/>
                </c:manualLayout>
              </c:layout>
              <c:tx>
                <c:rich>
                  <a:bodyPr/>
                  <a:lstStyle/>
                  <a:p>
                    <a:r>
                      <a:rPr lang="en-US"/>
                      <a:t>10 (22.7%)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6-E9B3-4BFC-B0A0-841A10724418}"/>
                </c:ext>
              </c:extLst>
            </c:dLbl>
            <c:dLbl>
              <c:idx val="9"/>
              <c:layout>
                <c:manualLayout>
                  <c:x val="7.5843761850587785E-3"/>
                  <c:y val="-2.5990900524330606E-3"/>
                </c:manualLayout>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7-E9B3-4BFC-B0A0-841A1072441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Hoja19!$B$1:$K$1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Hoja19!$B$4:$K$4</c:f>
              <c:numCache>
                <c:formatCode>General</c:formatCode>
                <c:ptCount val="10"/>
                <c:pt idx="0">
                  <c:v>6</c:v>
                </c:pt>
                <c:pt idx="1">
                  <c:v>0</c:v>
                </c:pt>
                <c:pt idx="2">
                  <c:v>1</c:v>
                </c:pt>
                <c:pt idx="3">
                  <c:v>3</c:v>
                </c:pt>
                <c:pt idx="4">
                  <c:v>1</c:v>
                </c:pt>
                <c:pt idx="5">
                  <c:v>5</c:v>
                </c:pt>
                <c:pt idx="6">
                  <c:v>7</c:v>
                </c:pt>
                <c:pt idx="7">
                  <c:v>8</c:v>
                </c:pt>
                <c:pt idx="8">
                  <c:v>10</c:v>
                </c:pt>
                <c:pt idx="9">
                  <c:v>3</c:v>
                </c:pt>
              </c:numCache>
            </c:numRef>
          </c:val>
          <c:extLst>
            <c:ext xmlns:c16="http://schemas.microsoft.com/office/drawing/2014/chart" uri="{C3380CC4-5D6E-409C-BE32-E72D297353CC}">
              <c16:uniqueId val="{00000018-E9B3-4BFC-B0A0-841A10724418}"/>
            </c:ext>
          </c:extLst>
        </c:ser>
        <c:ser>
          <c:idx val="3"/>
          <c:order val="3"/>
          <c:tx>
            <c:strRef>
              <c:f>Hoja19!$A$5</c:f>
              <c:strCache>
                <c:ptCount val="1"/>
                <c:pt idx="0">
                  <c:v>Plurilingual and pluricultural competence</c:v>
                </c:pt>
              </c:strCache>
            </c:strRef>
          </c:tx>
          <c:invertIfNegative val="0"/>
          <c:dLbls>
            <c:dLbl>
              <c:idx val="0"/>
              <c:layout>
                <c:manualLayout>
                  <c:x val="1.3651877133105802E-2"/>
                  <c:y val="-3.8986350786495904E-3"/>
                </c:manualLayout>
              </c:layout>
              <c:tx>
                <c:rich>
                  <a:bodyPr/>
                  <a:lstStyle/>
                  <a:p>
                    <a:r>
                      <a:rPr lang="en-US"/>
                      <a:t>5 (11.4%)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9-E9B3-4BFC-B0A0-841A10724418}"/>
                </c:ext>
              </c:extLst>
            </c:dLbl>
            <c:dLbl>
              <c:idx val="1"/>
              <c:layout>
                <c:manualLayout>
                  <c:x val="1.2135001896094046E-2"/>
                  <c:y val="0"/>
                </c:manualLayout>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A-E9B3-4BFC-B0A0-841A10724418}"/>
                </c:ext>
              </c:extLst>
            </c:dLbl>
            <c:dLbl>
              <c:idx val="3"/>
              <c:layout>
                <c:manualLayout>
                  <c:x val="-3.0338699130185521E-3"/>
                  <c:y val="-3.8986350786495904E-3"/>
                </c:manualLayout>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B-E9B3-4BFC-B0A0-841A10724418}"/>
                </c:ext>
              </c:extLst>
            </c:dLbl>
            <c:dLbl>
              <c:idx val="4"/>
              <c:layout/>
              <c:tx>
                <c:rich>
                  <a:bodyPr/>
                  <a:lstStyle/>
                  <a:p>
                    <a:r>
                      <a:rPr lang="en-US"/>
                      <a:t>2 (4.6%)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C-E9B3-4BFC-B0A0-841A10724418}"/>
                </c:ext>
              </c:extLst>
            </c:dLbl>
            <c:dLbl>
              <c:idx val="5"/>
              <c:layout>
                <c:manualLayout>
                  <c:x val="9.1012514220705342E-3"/>
                  <c:y val="-2.5990900524330606E-3"/>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D-E9B3-4BFC-B0A0-841A10724418}"/>
                </c:ext>
              </c:extLst>
            </c:dLbl>
            <c:dLbl>
              <c:idx val="6"/>
              <c:layout>
                <c:manualLayout>
                  <c:x val="1.0618126659082291E-2"/>
                  <c:y val="-5.1981801048661212E-3"/>
                </c:manualLayout>
              </c:layout>
              <c:tx>
                <c:rich>
                  <a:bodyPr/>
                  <a:lstStyle/>
                  <a:p>
                    <a:r>
                      <a:rPr lang="en-US"/>
                      <a:t>5 (11.4%)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E-E9B3-4BFC-B0A0-841A10724418}"/>
                </c:ext>
              </c:extLst>
            </c:dLbl>
            <c:dLbl>
              <c:idx val="7"/>
              <c:layout>
                <c:manualLayout>
                  <c:x val="3.0337504740235114E-3"/>
                  <c:y val="-2.5990900524330606E-3"/>
                </c:manualLayout>
              </c:layout>
              <c:tx>
                <c:rich>
                  <a:bodyPr/>
                  <a:lstStyle/>
                  <a:p>
                    <a:r>
                      <a:rPr lang="en-US"/>
                      <a:t>10 (22.7%)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F-E9B3-4BFC-B0A0-841A10724418}"/>
                </c:ext>
              </c:extLst>
            </c:dLbl>
            <c:dLbl>
              <c:idx val="8"/>
              <c:layout>
                <c:manualLayout>
                  <c:x val="1.2135001896094046E-2"/>
                  <c:y val="-3.8986350786495904E-3"/>
                </c:manualLayout>
              </c:layout>
              <c:tx>
                <c:rich>
                  <a:bodyPr/>
                  <a:lstStyle/>
                  <a:p>
                    <a:r>
                      <a:rPr lang="en-US"/>
                      <a:t>6 (13.6%)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0-E9B3-4BFC-B0A0-841A10724418}"/>
                </c:ext>
              </c:extLst>
            </c:dLbl>
            <c:dLbl>
              <c:idx val="9"/>
              <c:layout>
                <c:manualLayout>
                  <c:x val="9.1012514220705342E-3"/>
                  <c:y val="-3.8986350786495904E-3"/>
                </c:manualLayout>
              </c:layout>
              <c:tx>
                <c:rich>
                  <a:bodyPr/>
                  <a:lstStyle/>
                  <a:p>
                    <a:r>
                      <a:rPr lang="en-US"/>
                      <a:t>7 (15.9%)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1-E9B3-4BFC-B0A0-841A1072441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Hoja19!$B$1:$K$1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Hoja19!$B$5:$K$5</c:f>
              <c:numCache>
                <c:formatCode>General</c:formatCode>
                <c:ptCount val="10"/>
                <c:pt idx="0">
                  <c:v>5</c:v>
                </c:pt>
                <c:pt idx="1">
                  <c:v>3</c:v>
                </c:pt>
                <c:pt idx="2">
                  <c:v>0</c:v>
                </c:pt>
                <c:pt idx="3">
                  <c:v>2</c:v>
                </c:pt>
                <c:pt idx="4">
                  <c:v>2</c:v>
                </c:pt>
                <c:pt idx="5">
                  <c:v>4</c:v>
                </c:pt>
                <c:pt idx="6">
                  <c:v>5</c:v>
                </c:pt>
                <c:pt idx="7">
                  <c:v>10</c:v>
                </c:pt>
                <c:pt idx="8">
                  <c:v>6</c:v>
                </c:pt>
                <c:pt idx="9">
                  <c:v>7</c:v>
                </c:pt>
              </c:numCache>
            </c:numRef>
          </c:val>
          <c:extLst>
            <c:ext xmlns:c16="http://schemas.microsoft.com/office/drawing/2014/chart" uri="{C3380CC4-5D6E-409C-BE32-E72D297353CC}">
              <c16:uniqueId val="{00000022-E9B3-4BFC-B0A0-841A10724418}"/>
            </c:ext>
          </c:extLst>
        </c:ser>
        <c:dLbls>
          <c:showLegendKey val="0"/>
          <c:showVal val="0"/>
          <c:showCatName val="0"/>
          <c:showSerName val="0"/>
          <c:showPercent val="0"/>
          <c:showBubbleSize val="0"/>
        </c:dLbls>
        <c:gapWidth val="150"/>
        <c:shape val="box"/>
        <c:axId val="220943104"/>
        <c:axId val="220944640"/>
        <c:axId val="0"/>
      </c:bar3DChart>
      <c:catAx>
        <c:axId val="220943104"/>
        <c:scaling>
          <c:orientation val="minMax"/>
        </c:scaling>
        <c:delete val="0"/>
        <c:axPos val="l"/>
        <c:numFmt formatCode="General" sourceLinked="1"/>
        <c:majorTickMark val="out"/>
        <c:minorTickMark val="none"/>
        <c:tickLblPos val="nextTo"/>
        <c:crossAx val="220944640"/>
        <c:crosses val="autoZero"/>
        <c:auto val="1"/>
        <c:lblAlgn val="ctr"/>
        <c:lblOffset val="100"/>
        <c:noMultiLvlLbl val="0"/>
      </c:catAx>
      <c:valAx>
        <c:axId val="220944640"/>
        <c:scaling>
          <c:orientation val="minMax"/>
        </c:scaling>
        <c:delete val="0"/>
        <c:axPos val="b"/>
        <c:majorGridlines/>
        <c:numFmt formatCode="General" sourceLinked="1"/>
        <c:majorTickMark val="out"/>
        <c:minorTickMark val="none"/>
        <c:tickLblPos val="nextTo"/>
        <c:crossAx val="22094310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Hoja20!$A$2</c:f>
              <c:strCache>
                <c:ptCount val="1"/>
                <c:pt idx="0">
                  <c:v>Linguistic competence</c:v>
                </c:pt>
              </c:strCache>
            </c:strRef>
          </c:tx>
          <c:invertIfNegative val="0"/>
          <c:dLbls>
            <c:dLbl>
              <c:idx val="2"/>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A068-4318-9867-E2E20A88F290}"/>
                </c:ext>
              </c:extLst>
            </c:dLbl>
            <c:dLbl>
              <c:idx val="4"/>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A068-4318-9867-E2E20A88F290}"/>
                </c:ext>
              </c:extLst>
            </c:dLbl>
            <c:dLbl>
              <c:idx val="6"/>
              <c:layout>
                <c:manualLayout>
                  <c:x val="5.0505040462689799E-3"/>
                  <c:y val="0"/>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A068-4318-9867-E2E20A88F290}"/>
                </c:ext>
              </c:extLst>
            </c:dLbl>
            <c:dLbl>
              <c:idx val="7"/>
              <c:layout>
                <c:manualLayout>
                  <c:x val="1.767676416194143E-2"/>
                  <c:y val="0"/>
                </c:manualLayout>
              </c:layout>
              <c:tx>
                <c:rich>
                  <a:bodyPr/>
                  <a:lstStyle/>
                  <a:p>
                    <a:r>
                      <a:rPr lang="en-US"/>
                      <a:t>10 (22.7%)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A068-4318-9867-E2E20A88F290}"/>
                </c:ext>
              </c:extLst>
            </c:dLbl>
            <c:dLbl>
              <c:idx val="8"/>
              <c:layout>
                <c:manualLayout>
                  <c:x val="7.5757560694035163E-3"/>
                  <c:y val="0"/>
                </c:manualLayout>
              </c:layout>
              <c:tx>
                <c:rich>
                  <a:bodyPr/>
                  <a:lstStyle/>
                  <a:p>
                    <a:r>
                      <a:rPr lang="en-US"/>
                      <a:t>11 (25%)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A068-4318-9867-E2E20A88F290}"/>
                </c:ext>
              </c:extLst>
            </c:dLbl>
            <c:dLbl>
              <c:idx val="9"/>
              <c:layout>
                <c:manualLayout>
                  <c:x val="1.010100809253796E-2"/>
                  <c:y val="0"/>
                </c:manualLayout>
              </c:layout>
              <c:tx>
                <c:rich>
                  <a:bodyPr/>
                  <a:lstStyle/>
                  <a:p>
                    <a:r>
                      <a:rPr lang="en-US"/>
                      <a:t>20 (45.5%)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A068-4318-9867-E2E20A88F29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val>
            <c:numRef>
              <c:f>Hoja20!$B$2:$K$2</c:f>
              <c:numCache>
                <c:formatCode>General</c:formatCode>
                <c:ptCount val="10"/>
                <c:pt idx="0">
                  <c:v>0</c:v>
                </c:pt>
                <c:pt idx="1">
                  <c:v>0</c:v>
                </c:pt>
                <c:pt idx="2">
                  <c:v>1</c:v>
                </c:pt>
                <c:pt idx="3">
                  <c:v>0</c:v>
                </c:pt>
                <c:pt idx="4">
                  <c:v>1</c:v>
                </c:pt>
                <c:pt idx="5">
                  <c:v>0</c:v>
                </c:pt>
                <c:pt idx="6">
                  <c:v>1</c:v>
                </c:pt>
                <c:pt idx="7">
                  <c:v>10</c:v>
                </c:pt>
                <c:pt idx="8">
                  <c:v>11</c:v>
                </c:pt>
                <c:pt idx="9">
                  <c:v>20</c:v>
                </c:pt>
              </c:numCache>
            </c:numRef>
          </c:val>
          <c:extLst>
            <c:ext xmlns:c16="http://schemas.microsoft.com/office/drawing/2014/chart" uri="{C3380CC4-5D6E-409C-BE32-E72D297353CC}">
              <c16:uniqueId val="{00000006-A068-4318-9867-E2E20A88F290}"/>
            </c:ext>
          </c:extLst>
        </c:ser>
        <c:ser>
          <c:idx val="1"/>
          <c:order val="1"/>
          <c:tx>
            <c:strRef>
              <c:f>Hoja20!$A$3</c:f>
              <c:strCache>
                <c:ptCount val="1"/>
                <c:pt idx="0">
                  <c:v>Sociolinguistic competence</c:v>
                </c:pt>
              </c:strCache>
            </c:strRef>
          </c:tx>
          <c:invertIfNegative val="0"/>
          <c:dLbls>
            <c:dLbl>
              <c:idx val="0"/>
              <c:layout>
                <c:manualLayout>
                  <c:x val="7.5757560694034703E-3"/>
                  <c:y val="3.325020346113673E-3"/>
                </c:manualLayout>
              </c:layout>
              <c:tx>
                <c:rich>
                  <a:bodyPr/>
                  <a:lstStyle/>
                  <a:p>
                    <a:r>
                      <a:rPr lang="en-US"/>
                      <a:t>5 (11.4%)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A068-4318-9867-E2E20A88F290}"/>
                </c:ext>
              </c:extLst>
            </c:dLbl>
            <c:dLbl>
              <c:idx val="1"/>
              <c:layout>
                <c:manualLayout>
                  <c:x val="5.0505040462689799E-3"/>
                  <c:y val="0"/>
                </c:manualLayout>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A068-4318-9867-E2E20A88F290}"/>
                </c:ext>
              </c:extLst>
            </c:dLbl>
            <c:dLbl>
              <c:idx val="2"/>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A068-4318-9867-E2E20A88F290}"/>
                </c:ext>
              </c:extLst>
            </c:dLbl>
            <c:dLbl>
              <c:idx val="3"/>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A068-4318-9867-E2E20A88F290}"/>
                </c:ext>
              </c:extLst>
            </c:dLbl>
            <c:dLbl>
              <c:idx val="4"/>
              <c:layout>
                <c:manualLayout>
                  <c:x val="7.5757560694034703E-3"/>
                  <c:y val="-1.6625101730568365E-3"/>
                </c:manualLayout>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A068-4318-9867-E2E20A88F290}"/>
                </c:ext>
              </c:extLst>
            </c:dLbl>
            <c:dLbl>
              <c:idx val="5"/>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A068-4318-9867-E2E20A88F290}"/>
                </c:ext>
              </c:extLst>
            </c:dLbl>
            <c:dLbl>
              <c:idx val="6"/>
              <c:layout>
                <c:manualLayout>
                  <c:x val="1.010100809253796E-2"/>
                  <c:y val="0"/>
                </c:manualLayout>
              </c:layout>
              <c:tx>
                <c:rich>
                  <a:bodyPr/>
                  <a:lstStyle/>
                  <a:p>
                    <a:r>
                      <a:rPr lang="en-US"/>
                      <a:t>5 (11.4%)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A068-4318-9867-E2E20A88F290}"/>
                </c:ext>
              </c:extLst>
            </c:dLbl>
            <c:dLbl>
              <c:idx val="7"/>
              <c:layout>
                <c:manualLayout>
                  <c:x val="0"/>
                  <c:y val="-4.9875305191705091E-3"/>
                </c:manualLayout>
              </c:layout>
              <c:tx>
                <c:rich>
                  <a:bodyPr/>
                  <a:lstStyle/>
                  <a:p>
                    <a:r>
                      <a:rPr lang="en-US"/>
                      <a:t>7 (15.9%)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A068-4318-9867-E2E20A88F290}"/>
                </c:ext>
              </c:extLst>
            </c:dLbl>
            <c:dLbl>
              <c:idx val="8"/>
              <c:layout>
                <c:manualLayout>
                  <c:x val="5.0505040462689799E-3"/>
                  <c:y val="-3.325020346113673E-3"/>
                </c:manualLayout>
              </c:layout>
              <c:tx>
                <c:rich>
                  <a:bodyPr/>
                  <a:lstStyle/>
                  <a:p>
                    <a:r>
                      <a:rPr lang="en-US"/>
                      <a:t>7 (15.9%)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F-A068-4318-9867-E2E20A88F290}"/>
                </c:ext>
              </c:extLst>
            </c:dLbl>
            <c:dLbl>
              <c:idx val="9"/>
              <c:layout>
                <c:manualLayout>
                  <c:x val="4.6295752278318095E-17"/>
                  <c:y val="-4.9875305191705091E-3"/>
                </c:manualLayout>
              </c:layout>
              <c:tx>
                <c:rich>
                  <a:bodyPr/>
                  <a:lstStyle/>
                  <a:p>
                    <a:r>
                      <a:rPr lang="en-US"/>
                      <a:t>11 (25%)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A068-4318-9867-E2E20A88F29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Hoja20!$B$3:$K$3</c:f>
              <c:numCache>
                <c:formatCode>General</c:formatCode>
                <c:ptCount val="10"/>
                <c:pt idx="0">
                  <c:v>5</c:v>
                </c:pt>
                <c:pt idx="1">
                  <c:v>1</c:v>
                </c:pt>
                <c:pt idx="2">
                  <c:v>1</c:v>
                </c:pt>
                <c:pt idx="3">
                  <c:v>1</c:v>
                </c:pt>
                <c:pt idx="4">
                  <c:v>3</c:v>
                </c:pt>
                <c:pt idx="5">
                  <c:v>3</c:v>
                </c:pt>
                <c:pt idx="6">
                  <c:v>5</c:v>
                </c:pt>
                <c:pt idx="7">
                  <c:v>7</c:v>
                </c:pt>
                <c:pt idx="8">
                  <c:v>7</c:v>
                </c:pt>
                <c:pt idx="9">
                  <c:v>11</c:v>
                </c:pt>
              </c:numCache>
            </c:numRef>
          </c:val>
          <c:extLst>
            <c:ext xmlns:c16="http://schemas.microsoft.com/office/drawing/2014/chart" uri="{C3380CC4-5D6E-409C-BE32-E72D297353CC}">
              <c16:uniqueId val="{00000011-A068-4318-9867-E2E20A88F290}"/>
            </c:ext>
          </c:extLst>
        </c:ser>
        <c:ser>
          <c:idx val="2"/>
          <c:order val="2"/>
          <c:tx>
            <c:strRef>
              <c:f>Hoja20!$A$4</c:f>
              <c:strCache>
                <c:ptCount val="1"/>
                <c:pt idx="0">
                  <c:v>pragmatic competence</c:v>
                </c:pt>
              </c:strCache>
            </c:strRef>
          </c:tx>
          <c:spPr>
            <a:solidFill>
              <a:schemeClr val="accent6">
                <a:lumMod val="60000"/>
                <a:lumOff val="40000"/>
              </a:schemeClr>
            </a:solidFill>
          </c:spPr>
          <c:invertIfNegative val="0"/>
          <c:dLbls>
            <c:dLbl>
              <c:idx val="0"/>
              <c:layout>
                <c:manualLayout>
                  <c:x val="7.5757560694034703E-3"/>
                  <c:y val="0"/>
                </c:manualLayout>
              </c:layout>
              <c:tx>
                <c:rich>
                  <a:bodyPr/>
                  <a:lstStyle/>
                  <a:p>
                    <a:r>
                      <a:rPr lang="en-US"/>
                      <a:t>8 (18.2%)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2-A068-4318-9867-E2E20A88F290}"/>
                </c:ext>
              </c:extLst>
            </c:dLbl>
            <c:dLbl>
              <c:idx val="1"/>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3-A068-4318-9867-E2E20A88F290}"/>
                </c:ext>
              </c:extLst>
            </c:dLbl>
            <c:dLbl>
              <c:idx val="2"/>
              <c:layout/>
              <c:tx>
                <c:rich>
                  <a:bodyPr/>
                  <a:lstStyle/>
                  <a:p>
                    <a:r>
                      <a:rPr lang="en-US"/>
                      <a:t>1 (2.3%)</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4-A068-4318-9867-E2E20A88F290}"/>
                </c:ext>
              </c:extLst>
            </c:dLbl>
            <c:dLbl>
              <c:idx val="3"/>
              <c:layout>
                <c:manualLayout>
                  <c:x val="7.5757560694034703E-3"/>
                  <c:y val="0"/>
                </c:manualLayout>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5-A068-4318-9867-E2E20A88F290}"/>
                </c:ext>
              </c:extLst>
            </c:dLbl>
            <c:dLbl>
              <c:idx val="4"/>
              <c:layout>
                <c:manualLayout>
                  <c:x val="7.5757560694034703E-3"/>
                  <c:y val="0"/>
                </c:manualLayout>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6-A068-4318-9867-E2E20A88F290}"/>
                </c:ext>
              </c:extLst>
            </c:dLbl>
            <c:dLbl>
              <c:idx val="5"/>
              <c:layout>
                <c:manualLayout>
                  <c:x val="0"/>
                  <c:y val="-1.6625101730568365E-3"/>
                </c:manualLayout>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7-A068-4318-9867-E2E20A88F290}"/>
                </c:ext>
              </c:extLst>
            </c:dLbl>
            <c:dLbl>
              <c:idx val="6"/>
              <c:layout>
                <c:manualLayout>
                  <c:x val="0"/>
                  <c:y val="-3.325020346113673E-3"/>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8-A068-4318-9867-E2E20A88F290}"/>
                </c:ext>
              </c:extLst>
            </c:dLbl>
            <c:dLbl>
              <c:idx val="7"/>
              <c:layout>
                <c:manualLayout>
                  <c:x val="-5.0505040462689799E-3"/>
                  <c:y val="-3.325020346113673E-3"/>
                </c:manualLayout>
              </c:layout>
              <c:tx>
                <c:rich>
                  <a:bodyPr/>
                  <a:lstStyle/>
                  <a:p>
                    <a:r>
                      <a:rPr lang="en-US"/>
                      <a:t>7 (15.9%)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9-A068-4318-9867-E2E20A88F290}"/>
                </c:ext>
              </c:extLst>
            </c:dLbl>
            <c:dLbl>
              <c:idx val="8"/>
              <c:layout>
                <c:manualLayout>
                  <c:x val="5.0505040462689799E-3"/>
                  <c:y val="-4.9875305191705091E-3"/>
                </c:manualLayout>
              </c:layout>
              <c:tx>
                <c:rich>
                  <a:bodyPr/>
                  <a:lstStyle/>
                  <a:p>
                    <a:r>
                      <a:rPr lang="en-US"/>
                      <a:t>6 (13.6%)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A-A068-4318-9867-E2E20A88F290}"/>
                </c:ext>
              </c:extLst>
            </c:dLbl>
            <c:dLbl>
              <c:idx val="9"/>
              <c:layout>
                <c:manualLayout>
                  <c:x val="0"/>
                  <c:y val="-4.9875305191705091E-3"/>
                </c:manualLayout>
              </c:layout>
              <c:tx>
                <c:rich>
                  <a:bodyPr/>
                  <a:lstStyle/>
                  <a:p>
                    <a:r>
                      <a:rPr lang="en-US"/>
                      <a:t>8 (18.2%)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B-A068-4318-9867-E2E20A88F29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Hoja20!$B$4:$K$4</c:f>
              <c:numCache>
                <c:formatCode>General</c:formatCode>
                <c:ptCount val="10"/>
                <c:pt idx="0">
                  <c:v>8</c:v>
                </c:pt>
                <c:pt idx="1">
                  <c:v>2</c:v>
                </c:pt>
                <c:pt idx="2">
                  <c:v>1</c:v>
                </c:pt>
                <c:pt idx="3">
                  <c:v>3</c:v>
                </c:pt>
                <c:pt idx="4">
                  <c:v>2</c:v>
                </c:pt>
                <c:pt idx="5">
                  <c:v>3</c:v>
                </c:pt>
                <c:pt idx="6">
                  <c:v>4</c:v>
                </c:pt>
                <c:pt idx="7">
                  <c:v>7</c:v>
                </c:pt>
                <c:pt idx="8">
                  <c:v>6</c:v>
                </c:pt>
                <c:pt idx="9">
                  <c:v>8</c:v>
                </c:pt>
              </c:numCache>
            </c:numRef>
          </c:val>
          <c:extLst>
            <c:ext xmlns:c16="http://schemas.microsoft.com/office/drawing/2014/chart" uri="{C3380CC4-5D6E-409C-BE32-E72D297353CC}">
              <c16:uniqueId val="{0000001C-A068-4318-9867-E2E20A88F290}"/>
            </c:ext>
          </c:extLst>
        </c:ser>
        <c:ser>
          <c:idx val="3"/>
          <c:order val="3"/>
          <c:tx>
            <c:strRef>
              <c:f>Hoja20!$A$5</c:f>
              <c:strCache>
                <c:ptCount val="1"/>
                <c:pt idx="0">
                  <c:v>Plurilingual and pluricultural competence</c:v>
                </c:pt>
              </c:strCache>
            </c:strRef>
          </c:tx>
          <c:invertIfNegative val="0"/>
          <c:dLbls>
            <c:dLbl>
              <c:idx val="0"/>
              <c:layout/>
              <c:tx>
                <c:rich>
                  <a:bodyPr/>
                  <a:lstStyle/>
                  <a:p>
                    <a:r>
                      <a:rPr lang="en-US"/>
                      <a:t>16 (36.4%)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2877-4D6B-99CF-263F158BD5D7}"/>
                </c:ext>
              </c:extLst>
            </c:dLbl>
            <c:dLbl>
              <c:idx val="1"/>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877-4D6B-99CF-263F158BD5D7}"/>
                </c:ext>
              </c:extLst>
            </c:dLbl>
            <c:dLbl>
              <c:idx val="2"/>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2877-4D6B-99CF-263F158BD5D7}"/>
                </c:ext>
              </c:extLst>
            </c:dLbl>
            <c:dLbl>
              <c:idx val="3"/>
              <c:layout>
                <c:manualLayout>
                  <c:x val="0"/>
                  <c:y val="-3.325020346113673E-3"/>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D-A068-4318-9867-E2E20A88F290}"/>
                </c:ext>
              </c:extLst>
            </c:dLbl>
            <c:dLbl>
              <c:idx val="4"/>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E-A068-4318-9867-E2E20A88F290}"/>
                </c:ext>
              </c:extLst>
            </c:dLbl>
            <c:dLbl>
              <c:idx val="5"/>
              <c:layout>
                <c:manualLayout>
                  <c:x val="5.0505040462689799E-3"/>
                  <c:y val="-1.6625101730568365E-3"/>
                </c:manualLayout>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F-A068-4318-9867-E2E20A88F290}"/>
                </c:ext>
              </c:extLst>
            </c:dLbl>
            <c:dLbl>
              <c:idx val="6"/>
              <c:layout>
                <c:manualLayout>
                  <c:x val="-2.5252520231344899E-3"/>
                  <c:y val="-3.325020346113673E-3"/>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0-A068-4318-9867-E2E20A88F290}"/>
                </c:ext>
              </c:extLst>
            </c:dLbl>
            <c:dLbl>
              <c:idx val="7"/>
              <c:layout>
                <c:manualLayout>
                  <c:x val="0"/>
                  <c:y val="-4.9875305191705091E-3"/>
                </c:manualLayout>
              </c:layout>
              <c:tx>
                <c:rich>
                  <a:bodyPr/>
                  <a:lstStyle/>
                  <a:p>
                    <a:r>
                      <a:rPr lang="en-US"/>
                      <a:t>4 (9.1%)</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1-A068-4318-9867-E2E20A88F290}"/>
                </c:ext>
              </c:extLst>
            </c:dLbl>
            <c:dLbl>
              <c:idx val="8"/>
              <c:layout>
                <c:manualLayout>
                  <c:x val="0"/>
                  <c:y val="-4.9875305191705091E-3"/>
                </c:manualLayout>
              </c:layout>
              <c:tx>
                <c:rich>
                  <a:bodyPr/>
                  <a:lstStyle/>
                  <a:p>
                    <a:r>
                      <a:rPr lang="en-US"/>
                      <a:t>2 (4.5%)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2-A068-4318-9867-E2E20A88F290}"/>
                </c:ext>
              </c:extLst>
            </c:dLbl>
            <c:dLbl>
              <c:idx val="9"/>
              <c:layout>
                <c:manualLayout>
                  <c:x val="2.5252520231344899E-3"/>
                  <c:y val="-3.325020346113673E-3"/>
                </c:manualLayout>
              </c:layout>
              <c:tx>
                <c:rich>
                  <a:bodyPr/>
                  <a:lstStyle/>
                  <a:p>
                    <a:r>
                      <a:rPr lang="en-US"/>
                      <a:t>3 (6.8%)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3-A068-4318-9867-E2E20A88F29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Hoja20!$B$5:$K$5</c:f>
              <c:numCache>
                <c:formatCode>General</c:formatCode>
                <c:ptCount val="10"/>
                <c:pt idx="0">
                  <c:v>16</c:v>
                </c:pt>
                <c:pt idx="1">
                  <c:v>3</c:v>
                </c:pt>
                <c:pt idx="2">
                  <c:v>3</c:v>
                </c:pt>
                <c:pt idx="3">
                  <c:v>4</c:v>
                </c:pt>
                <c:pt idx="4">
                  <c:v>3</c:v>
                </c:pt>
                <c:pt idx="5">
                  <c:v>2</c:v>
                </c:pt>
                <c:pt idx="6">
                  <c:v>4</c:v>
                </c:pt>
                <c:pt idx="7">
                  <c:v>4</c:v>
                </c:pt>
                <c:pt idx="8">
                  <c:v>2</c:v>
                </c:pt>
                <c:pt idx="9">
                  <c:v>3</c:v>
                </c:pt>
              </c:numCache>
            </c:numRef>
          </c:val>
          <c:extLst>
            <c:ext xmlns:c16="http://schemas.microsoft.com/office/drawing/2014/chart" uri="{C3380CC4-5D6E-409C-BE32-E72D297353CC}">
              <c16:uniqueId val="{00000024-A068-4318-9867-E2E20A88F290}"/>
            </c:ext>
          </c:extLst>
        </c:ser>
        <c:dLbls>
          <c:showLegendKey val="0"/>
          <c:showVal val="0"/>
          <c:showCatName val="0"/>
          <c:showSerName val="0"/>
          <c:showPercent val="0"/>
          <c:showBubbleSize val="0"/>
        </c:dLbls>
        <c:gapWidth val="150"/>
        <c:shape val="box"/>
        <c:axId val="220859008"/>
        <c:axId val="222892416"/>
        <c:axId val="0"/>
      </c:bar3DChart>
      <c:catAx>
        <c:axId val="220859008"/>
        <c:scaling>
          <c:orientation val="minMax"/>
        </c:scaling>
        <c:delete val="0"/>
        <c:axPos val="l"/>
        <c:majorTickMark val="out"/>
        <c:minorTickMark val="none"/>
        <c:tickLblPos val="nextTo"/>
        <c:crossAx val="222892416"/>
        <c:crosses val="autoZero"/>
        <c:auto val="1"/>
        <c:lblAlgn val="ctr"/>
        <c:lblOffset val="100"/>
        <c:noMultiLvlLbl val="0"/>
      </c:catAx>
      <c:valAx>
        <c:axId val="222892416"/>
        <c:scaling>
          <c:orientation val="minMax"/>
        </c:scaling>
        <c:delete val="0"/>
        <c:axPos val="b"/>
        <c:majorGridlines/>
        <c:numFmt formatCode="General" sourceLinked="1"/>
        <c:majorTickMark val="out"/>
        <c:minorTickMark val="none"/>
        <c:tickLblPos val="nextTo"/>
        <c:crossAx val="220859008"/>
        <c:crosses val="autoZero"/>
        <c:crossBetween val="between"/>
      </c:valAx>
    </c:plotArea>
    <c:legend>
      <c:legendPos val="r"/>
      <c:layout>
        <c:manualLayout>
          <c:xMode val="edge"/>
          <c:yMode val="edge"/>
          <c:x val="0.6496707229778097"/>
          <c:y val="0.3996979990967463"/>
          <c:w val="0.33517776187067527"/>
          <c:h val="0.20060400180650736"/>
        </c:manualLayout>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Hoja19!$A$14</c:f>
              <c:strCache>
                <c:ptCount val="1"/>
                <c:pt idx="0">
                  <c:v>Mediation</c:v>
                </c:pt>
              </c:strCache>
            </c:strRef>
          </c:tx>
          <c:invertIfNegative val="0"/>
          <c:dLbls>
            <c:dLbl>
              <c:idx val="0"/>
              <c:layout>
                <c:manualLayout>
                  <c:x val="-1.5936254980079681E-2"/>
                  <c:y val="-2.359882005899705E-2"/>
                </c:manualLayout>
              </c:layout>
              <c:tx>
                <c:rich>
                  <a:bodyPr/>
                  <a:lstStyle/>
                  <a:p>
                    <a:r>
                      <a:rPr lang="en-US"/>
                      <a:t>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E319-4C3F-9C24-EC771B403A81}"/>
                </c:ext>
              </c:extLst>
            </c:dLbl>
            <c:dLbl>
              <c:idx val="1"/>
              <c:layout>
                <c:manualLayout>
                  <c:x val="0"/>
                  <c:y val="-4.71976401179941E-2"/>
                </c:manualLayout>
              </c:layout>
              <c:tx>
                <c:rich>
                  <a:bodyPr/>
                  <a:lstStyle/>
                  <a:p>
                    <a:r>
                      <a:rPr lang="en-US"/>
                      <a:t>13.6%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E319-4C3F-9C24-EC771B403A81}"/>
                </c:ext>
              </c:extLst>
            </c:dLbl>
            <c:dLbl>
              <c:idx val="2"/>
              <c:layout>
                <c:manualLayout>
                  <c:x val="8.8534749889331559E-3"/>
                  <c:y val="-1.966568338249754E-2"/>
                </c:manualLayout>
              </c:layout>
              <c:tx>
                <c:rich>
                  <a:bodyPr/>
                  <a:lstStyle/>
                  <a:p>
                    <a:r>
                      <a:rPr lang="en-US"/>
                      <a:t>31.8%</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E319-4C3F-9C24-EC771B403A81}"/>
                </c:ext>
              </c:extLst>
            </c:dLbl>
            <c:dLbl>
              <c:idx val="3"/>
              <c:layout>
                <c:manualLayout>
                  <c:x val="1.0624169986719787E-2"/>
                  <c:y val="-1.966568338249754E-2"/>
                </c:manualLayout>
              </c:layout>
              <c:tx>
                <c:rich>
                  <a:bodyPr/>
                  <a:lstStyle/>
                  <a:p>
                    <a:r>
                      <a:rPr lang="en-US"/>
                      <a:t>38.6%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E319-4C3F-9C24-EC771B403A8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Hoja19!$B$13:$E$13</c:f>
              <c:strCache>
                <c:ptCount val="4"/>
                <c:pt idx="0">
                  <c:v>insufficient</c:v>
                </c:pt>
                <c:pt idx="1">
                  <c:v>sufficient</c:v>
                </c:pt>
                <c:pt idx="2">
                  <c:v>advanced</c:v>
                </c:pt>
                <c:pt idx="3">
                  <c:v>excellent</c:v>
                </c:pt>
              </c:strCache>
            </c:strRef>
          </c:cat>
          <c:val>
            <c:numRef>
              <c:f>Hoja19!$B$14:$E$14</c:f>
              <c:numCache>
                <c:formatCode>General</c:formatCode>
                <c:ptCount val="4"/>
                <c:pt idx="0">
                  <c:v>15.9</c:v>
                </c:pt>
                <c:pt idx="1">
                  <c:v>13.6</c:v>
                </c:pt>
                <c:pt idx="2">
                  <c:v>31.8</c:v>
                </c:pt>
                <c:pt idx="3">
                  <c:v>38.6</c:v>
                </c:pt>
              </c:numCache>
            </c:numRef>
          </c:val>
          <c:extLst>
            <c:ext xmlns:c16="http://schemas.microsoft.com/office/drawing/2014/chart" uri="{C3380CC4-5D6E-409C-BE32-E72D297353CC}">
              <c16:uniqueId val="{00000004-E319-4C3F-9C24-EC771B403A81}"/>
            </c:ext>
          </c:extLst>
        </c:ser>
        <c:ser>
          <c:idx val="1"/>
          <c:order val="1"/>
          <c:tx>
            <c:strRef>
              <c:f>Hoja19!$A$15</c:f>
              <c:strCache>
                <c:ptCount val="1"/>
                <c:pt idx="0">
                  <c:v>Action-oriented approach</c:v>
                </c:pt>
              </c:strCache>
            </c:strRef>
          </c:tx>
          <c:invertIfNegative val="0"/>
          <c:dLbls>
            <c:dLbl>
              <c:idx val="0"/>
              <c:layout>
                <c:manualLayout>
                  <c:x val="8.8534749889331559E-3"/>
                  <c:y val="-7.8662733529990172E-3"/>
                </c:manualLayout>
              </c:layout>
              <c:tx>
                <c:rich>
                  <a:bodyPr/>
                  <a:lstStyle/>
                  <a:p>
                    <a:r>
                      <a:rPr lang="en-US"/>
                      <a:t>38.6%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E319-4C3F-9C24-EC771B403A81}"/>
                </c:ext>
              </c:extLst>
            </c:dLbl>
            <c:dLbl>
              <c:idx val="1"/>
              <c:layout>
                <c:manualLayout>
                  <c:x val="1.9449605836307497E-2"/>
                  <c:y val="-5.1038032010704594E-2"/>
                </c:manualLayout>
              </c:layout>
              <c:tx>
                <c:rich>
                  <a:bodyPr/>
                  <a:lstStyle/>
                  <a:p>
                    <a:r>
                      <a:rPr lang="en-US"/>
                      <a:t>15.9%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E319-4C3F-9C24-EC771B403A81}"/>
                </c:ext>
              </c:extLst>
            </c:dLbl>
            <c:dLbl>
              <c:idx val="2"/>
              <c:layout>
                <c:manualLayout>
                  <c:x val="2.4735187146761876E-2"/>
                  <c:y val="-1.1799504685738734E-2"/>
                </c:manualLayout>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E319-4C3F-9C24-EC771B403A81}"/>
                </c:ext>
              </c:extLst>
            </c:dLbl>
            <c:dLbl>
              <c:idx val="3"/>
              <c:layout>
                <c:manualLayout>
                  <c:x val="3.0654501520643251E-2"/>
                  <c:y val="-2.359899130255777E-2"/>
                </c:manualLayout>
              </c:layout>
              <c:tx>
                <c:rich>
                  <a:bodyPr/>
                  <a:lstStyle/>
                  <a:p>
                    <a:r>
                      <a:rPr lang="en-US"/>
                      <a:t>20.4%</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E319-4C3F-9C24-EC771B403A8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Hoja19!$B$13:$E$13</c:f>
              <c:strCache>
                <c:ptCount val="4"/>
                <c:pt idx="0">
                  <c:v>insufficient</c:v>
                </c:pt>
                <c:pt idx="1">
                  <c:v>sufficient</c:v>
                </c:pt>
                <c:pt idx="2">
                  <c:v>advanced</c:v>
                </c:pt>
                <c:pt idx="3">
                  <c:v>excellent</c:v>
                </c:pt>
              </c:strCache>
            </c:strRef>
          </c:cat>
          <c:val>
            <c:numRef>
              <c:f>Hoja19!$B$15:$E$15</c:f>
              <c:numCache>
                <c:formatCode>General</c:formatCode>
                <c:ptCount val="4"/>
                <c:pt idx="0">
                  <c:v>38.6</c:v>
                </c:pt>
                <c:pt idx="1">
                  <c:v>15.9</c:v>
                </c:pt>
                <c:pt idx="2">
                  <c:v>25</c:v>
                </c:pt>
                <c:pt idx="3">
                  <c:v>20.399999999999999</c:v>
                </c:pt>
              </c:numCache>
            </c:numRef>
          </c:val>
          <c:extLst>
            <c:ext xmlns:c16="http://schemas.microsoft.com/office/drawing/2014/chart" uri="{C3380CC4-5D6E-409C-BE32-E72D297353CC}">
              <c16:uniqueId val="{00000009-E319-4C3F-9C24-EC771B403A81}"/>
            </c:ext>
          </c:extLst>
        </c:ser>
        <c:dLbls>
          <c:showLegendKey val="0"/>
          <c:showVal val="0"/>
          <c:showCatName val="0"/>
          <c:showSerName val="0"/>
          <c:showPercent val="0"/>
          <c:showBubbleSize val="0"/>
        </c:dLbls>
        <c:gapWidth val="150"/>
        <c:shape val="box"/>
        <c:axId val="222930816"/>
        <c:axId val="222932352"/>
        <c:axId val="0"/>
      </c:bar3DChart>
      <c:catAx>
        <c:axId val="222930816"/>
        <c:scaling>
          <c:orientation val="minMax"/>
        </c:scaling>
        <c:delete val="0"/>
        <c:axPos val="b"/>
        <c:numFmt formatCode="General" sourceLinked="0"/>
        <c:majorTickMark val="out"/>
        <c:minorTickMark val="none"/>
        <c:tickLblPos val="nextTo"/>
        <c:crossAx val="222932352"/>
        <c:crosses val="autoZero"/>
        <c:auto val="1"/>
        <c:lblAlgn val="ctr"/>
        <c:lblOffset val="100"/>
        <c:noMultiLvlLbl val="0"/>
      </c:catAx>
      <c:valAx>
        <c:axId val="222932352"/>
        <c:scaling>
          <c:orientation val="minMax"/>
        </c:scaling>
        <c:delete val="0"/>
        <c:axPos val="l"/>
        <c:majorGridlines/>
        <c:numFmt formatCode="General" sourceLinked="1"/>
        <c:majorTickMark val="out"/>
        <c:minorTickMark val="none"/>
        <c:tickLblPos val="nextTo"/>
        <c:crossAx val="222930816"/>
        <c:crosses val="autoZero"/>
        <c:crossBetween val="between"/>
      </c:valAx>
    </c:plotArea>
    <c:legend>
      <c:legendPos val="r"/>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0B1AD4-093A-1944-9226-E82645184F89}" type="doc">
      <dgm:prSet loTypeId="urn:microsoft.com/office/officeart/2005/8/layout/lProcess2" loCatId="" qsTypeId="urn:microsoft.com/office/officeart/2005/8/quickstyle/simple1" qsCatId="simple" csTypeId="urn:microsoft.com/office/officeart/2005/8/colors/accent1_2" csCatId="accent1" phldr="1"/>
      <dgm:spPr/>
      <dgm:t>
        <a:bodyPr/>
        <a:lstStyle/>
        <a:p>
          <a:endParaRPr lang="es-ES"/>
        </a:p>
      </dgm:t>
    </dgm:pt>
    <dgm:pt modelId="{5463851C-BFFA-6345-AB90-C459278B6409}">
      <dgm:prSet phldrT="[Texto]" custT="1"/>
      <dgm:spPr/>
      <dgm:t>
        <a:bodyPr/>
        <a:lstStyle/>
        <a:p>
          <a:r>
            <a:rPr lang="es-ES" sz="2000"/>
            <a:t>Most beneficial content</a:t>
          </a:r>
        </a:p>
      </dgm:t>
    </dgm:pt>
    <dgm:pt modelId="{50C211B2-4CAE-474E-BC1C-D3DF019EBE31}" type="parTrans" cxnId="{C95E3338-197A-B646-AF8D-33B3B588264C}">
      <dgm:prSet/>
      <dgm:spPr/>
      <dgm:t>
        <a:bodyPr/>
        <a:lstStyle/>
        <a:p>
          <a:endParaRPr lang="es-ES"/>
        </a:p>
      </dgm:t>
    </dgm:pt>
    <dgm:pt modelId="{EE67E848-D914-7942-8811-9FB642F2358E}" type="sibTrans" cxnId="{C95E3338-197A-B646-AF8D-33B3B588264C}">
      <dgm:prSet/>
      <dgm:spPr/>
      <dgm:t>
        <a:bodyPr/>
        <a:lstStyle/>
        <a:p>
          <a:endParaRPr lang="es-ES"/>
        </a:p>
      </dgm:t>
    </dgm:pt>
    <dgm:pt modelId="{C8192923-57CA-4E45-94B6-4E95036659F7}">
      <dgm:prSet phldrT="[Texto]"/>
      <dgm:spPr/>
      <dgm:t>
        <a:bodyPr/>
        <a:lstStyle/>
        <a:p>
          <a:r>
            <a:rPr lang="es-ES"/>
            <a:t>The descriptors (with some evaluators specifying the importance to understand descriptors to align tests)</a:t>
          </a:r>
        </a:p>
      </dgm:t>
    </dgm:pt>
    <dgm:pt modelId="{530C4583-0837-614D-8DF0-E530C107B518}" type="parTrans" cxnId="{A59B0F19-3F78-7546-9F49-70CF210660CB}">
      <dgm:prSet/>
      <dgm:spPr/>
      <dgm:t>
        <a:bodyPr/>
        <a:lstStyle/>
        <a:p>
          <a:endParaRPr lang="es-ES"/>
        </a:p>
      </dgm:t>
    </dgm:pt>
    <dgm:pt modelId="{6912EA28-5E55-C844-BAB6-5FFD35E14BA7}" type="sibTrans" cxnId="{A59B0F19-3F78-7546-9F49-70CF210660CB}">
      <dgm:prSet/>
      <dgm:spPr/>
      <dgm:t>
        <a:bodyPr/>
        <a:lstStyle/>
        <a:p>
          <a:endParaRPr lang="es-ES"/>
        </a:p>
      </dgm:t>
    </dgm:pt>
    <dgm:pt modelId="{D9F6439F-23B3-E64E-9E72-3DDF50DB8D13}">
      <dgm:prSet phldrT="[Texto]"/>
      <dgm:spPr/>
      <dgm:t>
        <a:bodyPr/>
        <a:lstStyle/>
        <a:p>
          <a:r>
            <a:rPr lang="es-ES"/>
            <a:t>The hands-on sessions in which some real exams were evaluated</a:t>
          </a:r>
        </a:p>
      </dgm:t>
    </dgm:pt>
    <dgm:pt modelId="{B7C851F1-A444-AA49-BF7E-8761C4C93AB8}" type="parTrans" cxnId="{B461514F-6932-EF46-B4C8-173921BF534F}">
      <dgm:prSet/>
      <dgm:spPr/>
      <dgm:t>
        <a:bodyPr/>
        <a:lstStyle/>
        <a:p>
          <a:endParaRPr lang="es-ES"/>
        </a:p>
      </dgm:t>
    </dgm:pt>
    <dgm:pt modelId="{3F951D00-FE8D-7946-BC06-57EF7184DA9E}" type="sibTrans" cxnId="{B461514F-6932-EF46-B4C8-173921BF534F}">
      <dgm:prSet/>
      <dgm:spPr/>
      <dgm:t>
        <a:bodyPr/>
        <a:lstStyle/>
        <a:p>
          <a:endParaRPr lang="es-ES"/>
        </a:p>
      </dgm:t>
    </dgm:pt>
    <dgm:pt modelId="{A8EE2779-6972-AB40-8FB2-99156673E69A}">
      <dgm:prSet phldrT="[Texto]" custT="1"/>
      <dgm:spPr/>
      <dgm:t>
        <a:bodyPr/>
        <a:lstStyle/>
        <a:p>
          <a:r>
            <a:rPr lang="es-ES" sz="2000"/>
            <a:t>Missing aspects</a:t>
          </a:r>
        </a:p>
      </dgm:t>
    </dgm:pt>
    <dgm:pt modelId="{AADF9CCB-2BF7-7E44-B72E-A6B75E26C648}" type="parTrans" cxnId="{E6CC62EA-CAD3-EF40-82DE-C13479A5928A}">
      <dgm:prSet/>
      <dgm:spPr/>
      <dgm:t>
        <a:bodyPr/>
        <a:lstStyle/>
        <a:p>
          <a:endParaRPr lang="es-ES"/>
        </a:p>
      </dgm:t>
    </dgm:pt>
    <dgm:pt modelId="{0C94477E-AE6C-C94C-9693-4EEFE234A4A6}" type="sibTrans" cxnId="{E6CC62EA-CAD3-EF40-82DE-C13479A5928A}">
      <dgm:prSet/>
      <dgm:spPr/>
      <dgm:t>
        <a:bodyPr/>
        <a:lstStyle/>
        <a:p>
          <a:endParaRPr lang="es-ES"/>
        </a:p>
      </dgm:t>
    </dgm:pt>
    <dgm:pt modelId="{49E3BEB7-C111-2C42-BE96-FEC795E00615}">
      <dgm:prSet phldrT="[Texto]"/>
      <dgm:spPr/>
      <dgm:t>
        <a:bodyPr/>
        <a:lstStyle/>
        <a:p>
          <a:r>
            <a:rPr lang="es-ES"/>
            <a:t>More practice</a:t>
          </a:r>
        </a:p>
      </dgm:t>
    </dgm:pt>
    <dgm:pt modelId="{48EA5147-6CE3-E643-A388-36BFFC9ABBFC}" type="parTrans" cxnId="{B641604D-1E45-2345-941E-82680F87F872}">
      <dgm:prSet/>
      <dgm:spPr/>
      <dgm:t>
        <a:bodyPr/>
        <a:lstStyle/>
        <a:p>
          <a:endParaRPr lang="es-ES"/>
        </a:p>
      </dgm:t>
    </dgm:pt>
    <dgm:pt modelId="{C7B863F3-4FB9-6F47-A9F9-CD7194507B48}" type="sibTrans" cxnId="{B641604D-1E45-2345-941E-82680F87F872}">
      <dgm:prSet/>
      <dgm:spPr/>
      <dgm:t>
        <a:bodyPr/>
        <a:lstStyle/>
        <a:p>
          <a:endParaRPr lang="es-ES"/>
        </a:p>
      </dgm:t>
    </dgm:pt>
    <dgm:pt modelId="{2900A0DD-9F46-A442-86B5-9C365BEB37FE}">
      <dgm:prSet phldrT="[Texto]"/>
      <dgm:spPr/>
      <dgm:t>
        <a:bodyPr/>
        <a:lstStyle/>
        <a:p>
          <a:r>
            <a:rPr lang="es-ES"/>
            <a:t>The focus on rubrics and test design</a:t>
          </a:r>
        </a:p>
      </dgm:t>
    </dgm:pt>
    <dgm:pt modelId="{CC46D76D-87F0-2840-AE6A-8F0C967F4849}" type="parTrans" cxnId="{C58A87F4-6E7A-4142-84D4-FC7825E520E9}">
      <dgm:prSet/>
      <dgm:spPr/>
    </dgm:pt>
    <dgm:pt modelId="{7599F958-AA85-7140-85E4-983DC79A19D8}" type="sibTrans" cxnId="{C58A87F4-6E7A-4142-84D4-FC7825E520E9}">
      <dgm:prSet/>
      <dgm:spPr/>
    </dgm:pt>
    <dgm:pt modelId="{62E28555-A450-D046-9963-6CFA1695E99B}">
      <dgm:prSet phldrT="[Texto]"/>
      <dgm:spPr/>
      <dgm:t>
        <a:bodyPr/>
        <a:lstStyle/>
        <a:p>
          <a:r>
            <a:rPr lang="es-ES"/>
            <a:t>The understanding of what evaluation entails</a:t>
          </a:r>
        </a:p>
      </dgm:t>
    </dgm:pt>
    <dgm:pt modelId="{6FF2EB6E-A6C1-8B4D-BEBA-11AE722213AD}" type="parTrans" cxnId="{BA890B93-34EB-3A40-9E0B-17AD97D32362}">
      <dgm:prSet/>
      <dgm:spPr/>
    </dgm:pt>
    <dgm:pt modelId="{913386D5-31F2-124F-B4BF-3008E1CA2F52}" type="sibTrans" cxnId="{BA890B93-34EB-3A40-9E0B-17AD97D32362}">
      <dgm:prSet/>
      <dgm:spPr/>
    </dgm:pt>
    <dgm:pt modelId="{56C4CF9B-5674-744F-AF4D-4BE3532B0115}">
      <dgm:prSet phldrT="[Texto]" custT="1"/>
      <dgm:spPr/>
      <dgm:t>
        <a:bodyPr/>
        <a:lstStyle/>
        <a:p>
          <a:r>
            <a:rPr lang="es-ES" sz="800"/>
            <a:t>The specification of communicative language activiti</a:t>
          </a:r>
          <a:r>
            <a:rPr lang="es-ES" sz="700"/>
            <a:t>es</a:t>
          </a:r>
        </a:p>
      </dgm:t>
    </dgm:pt>
    <dgm:pt modelId="{BB43FE96-4A4F-A34D-A5B1-0FE6313D889A}" type="parTrans" cxnId="{B3EEF1B8-6799-424B-ABFA-DE83B1A41733}">
      <dgm:prSet/>
      <dgm:spPr/>
    </dgm:pt>
    <dgm:pt modelId="{E07DB86A-450F-554A-87A5-09BCD21638AD}" type="sibTrans" cxnId="{B3EEF1B8-6799-424B-ABFA-DE83B1A41733}">
      <dgm:prSet/>
      <dgm:spPr/>
    </dgm:pt>
    <dgm:pt modelId="{8F34D5C1-FB23-E842-A472-3470595AD112}">
      <dgm:prSet phldrT="[Texto]" custT="1"/>
      <dgm:spPr/>
      <dgm:t>
        <a:bodyPr/>
        <a:lstStyle/>
        <a:p>
          <a:r>
            <a:rPr lang="es-ES" sz="800"/>
            <a:t>Item design</a:t>
          </a:r>
        </a:p>
      </dgm:t>
    </dgm:pt>
    <dgm:pt modelId="{F8288787-A0F4-1C42-9F7E-35D6201794A5}" type="parTrans" cxnId="{A3B2E197-5105-EB4F-A29D-74C3B1A847B3}">
      <dgm:prSet/>
      <dgm:spPr/>
    </dgm:pt>
    <dgm:pt modelId="{3B9A55A3-C185-C24B-95CB-70EE079CE195}" type="sibTrans" cxnId="{A3B2E197-5105-EB4F-A29D-74C3B1A847B3}">
      <dgm:prSet/>
      <dgm:spPr/>
    </dgm:pt>
    <dgm:pt modelId="{BADF356C-58C4-834C-A291-DD4BB3D3CDE4}">
      <dgm:prSet phldrT="[Texto]"/>
      <dgm:spPr/>
      <dgm:t>
        <a:bodyPr/>
        <a:lstStyle/>
        <a:p>
          <a:r>
            <a:rPr lang="es-ES"/>
            <a:t>More concrete descriptors to evaluate better</a:t>
          </a:r>
        </a:p>
      </dgm:t>
    </dgm:pt>
    <dgm:pt modelId="{FDF41D1D-1616-1F42-A124-F7B321C44007}" type="parTrans" cxnId="{98027B4C-B8F9-E449-8F30-4EBED16776F3}">
      <dgm:prSet/>
      <dgm:spPr/>
    </dgm:pt>
    <dgm:pt modelId="{1E0CD69E-2D42-C64E-9DAE-BB47A014B4CA}" type="sibTrans" cxnId="{98027B4C-B8F9-E449-8F30-4EBED16776F3}">
      <dgm:prSet/>
      <dgm:spPr/>
    </dgm:pt>
    <dgm:pt modelId="{07F8CFF5-254C-1F44-85D4-FF19D48EEA54}">
      <dgm:prSet phldrT="[Texto]"/>
      <dgm:spPr/>
      <dgm:t>
        <a:bodyPr/>
        <a:lstStyle/>
        <a:p>
          <a:r>
            <a:rPr lang="es-ES"/>
            <a:t>Consensus on what a level represents</a:t>
          </a:r>
        </a:p>
      </dgm:t>
    </dgm:pt>
    <dgm:pt modelId="{7BA27C9E-6D9B-1245-A92E-B1ABBAC407CD}" type="parTrans" cxnId="{C1A4B26D-A854-7D40-ABBC-39FC0B1EB51A}">
      <dgm:prSet/>
      <dgm:spPr/>
    </dgm:pt>
    <dgm:pt modelId="{6BA7D62E-0AD3-8142-8F91-360FF4367748}" type="sibTrans" cxnId="{C1A4B26D-A854-7D40-ABBC-39FC0B1EB51A}">
      <dgm:prSet/>
      <dgm:spPr/>
    </dgm:pt>
    <dgm:pt modelId="{EFF1CBCA-9395-5B4F-963A-CFED99E8E9DE}">
      <dgm:prSet phldrT="[Texto]"/>
      <dgm:spPr/>
      <dgm:t>
        <a:bodyPr/>
        <a:lstStyle/>
        <a:p>
          <a:r>
            <a:rPr lang="es-ES"/>
            <a:t>Training on the companion Volume</a:t>
          </a:r>
        </a:p>
      </dgm:t>
    </dgm:pt>
    <dgm:pt modelId="{E4E27A95-DE9B-9247-A2CA-C4807DF6A4F4}" type="parTrans" cxnId="{212DBCD6-5B75-D847-9144-A29C6FB30D7F}">
      <dgm:prSet/>
      <dgm:spPr/>
    </dgm:pt>
    <dgm:pt modelId="{7A834E28-8737-C048-94B6-3CAB39133D43}" type="sibTrans" cxnId="{212DBCD6-5B75-D847-9144-A29C6FB30D7F}">
      <dgm:prSet/>
      <dgm:spPr/>
    </dgm:pt>
    <dgm:pt modelId="{839C9D66-E26D-F64F-92C3-F169A106615F}">
      <dgm:prSet phldrT="[Texto]"/>
      <dgm:spPr/>
      <dgm:t>
        <a:bodyPr/>
        <a:lstStyle/>
        <a:p>
          <a:r>
            <a:rPr lang="es-ES"/>
            <a:t>Evaluation of mediation</a:t>
          </a:r>
        </a:p>
      </dgm:t>
    </dgm:pt>
    <dgm:pt modelId="{E65744AF-9C22-0947-84A9-BDADA9EED1E6}" type="parTrans" cxnId="{AFC8A202-B733-764E-9629-259763AAAAA8}">
      <dgm:prSet/>
      <dgm:spPr/>
    </dgm:pt>
    <dgm:pt modelId="{AB655CF9-FDB1-C942-AE91-D56D9D43B1E4}" type="sibTrans" cxnId="{AFC8A202-B733-764E-9629-259763AAAAA8}">
      <dgm:prSet/>
      <dgm:spPr/>
    </dgm:pt>
    <dgm:pt modelId="{3961443A-7DBF-2441-A4B2-452014FF7E07}">
      <dgm:prSet phldrT="[Texto]"/>
      <dgm:spPr/>
      <dgm:t>
        <a:bodyPr/>
        <a:lstStyle/>
        <a:p>
          <a:r>
            <a:rPr lang="es-ES"/>
            <a:t>Text-mapping</a:t>
          </a:r>
        </a:p>
      </dgm:t>
    </dgm:pt>
    <dgm:pt modelId="{3C5F9523-27AD-A646-B6E4-925CF9EF0947}" type="parTrans" cxnId="{E5068479-3B9A-0947-B394-97990A12D945}">
      <dgm:prSet/>
      <dgm:spPr/>
    </dgm:pt>
    <dgm:pt modelId="{9CC707FE-7F71-9745-A8EC-7BB4460C0C4C}" type="sibTrans" cxnId="{E5068479-3B9A-0947-B394-97990A12D945}">
      <dgm:prSet/>
      <dgm:spPr/>
    </dgm:pt>
    <dgm:pt modelId="{FF0C3A7C-41DF-C948-A3A0-7A358F71A823}">
      <dgm:prSet phldrT="[Texto]"/>
      <dgm:spPr/>
      <dgm:t>
        <a:bodyPr/>
        <a:lstStyle/>
        <a:p>
          <a:r>
            <a:rPr lang="es-ES"/>
            <a:t>Evaluation of students from different L1s</a:t>
          </a:r>
        </a:p>
      </dgm:t>
    </dgm:pt>
    <dgm:pt modelId="{CCF5AD34-6B38-7C40-8C07-F1595282B070}" type="parTrans" cxnId="{2D1EEF70-B88B-D742-A656-005FC2C81671}">
      <dgm:prSet/>
      <dgm:spPr/>
    </dgm:pt>
    <dgm:pt modelId="{3AEEDE42-14EE-F847-A816-50F4C031D32A}" type="sibTrans" cxnId="{2D1EEF70-B88B-D742-A656-005FC2C81671}">
      <dgm:prSet/>
      <dgm:spPr/>
    </dgm:pt>
    <dgm:pt modelId="{41E94701-965D-354B-A6EE-A0C4F43E427F}">
      <dgm:prSet phldrT="[Texto]"/>
      <dgm:spPr/>
      <dgm:t>
        <a:bodyPr/>
        <a:lstStyle/>
        <a:p>
          <a:r>
            <a:rPr lang="es-ES"/>
            <a:t>More specific applications of the CEFR</a:t>
          </a:r>
        </a:p>
      </dgm:t>
    </dgm:pt>
    <dgm:pt modelId="{9F3EAD2E-40B5-1C4D-97C7-2EC7ECCCE2C8}" type="parTrans" cxnId="{B554DF53-D5D0-1F4E-ACC2-97C1B92A31A0}">
      <dgm:prSet/>
      <dgm:spPr/>
    </dgm:pt>
    <dgm:pt modelId="{3880D87F-3344-714B-AE85-081F0399F4A0}" type="sibTrans" cxnId="{B554DF53-D5D0-1F4E-ACC2-97C1B92A31A0}">
      <dgm:prSet/>
      <dgm:spPr/>
    </dgm:pt>
    <dgm:pt modelId="{E9014C6B-40C2-E04E-AB56-75EA087A7FAE}">
      <dgm:prSet phldrT="[Texto]"/>
      <dgm:spPr/>
      <dgm:t>
        <a:bodyPr/>
        <a:lstStyle/>
        <a:p>
          <a:r>
            <a:rPr lang="es-ES"/>
            <a:t>More training opportunities</a:t>
          </a:r>
        </a:p>
      </dgm:t>
    </dgm:pt>
    <dgm:pt modelId="{2C7309B3-9252-7443-A025-A94A4CA435D4}" type="sibTrans" cxnId="{344DA249-77CD-8F43-8120-16ECB63B0A68}">
      <dgm:prSet/>
      <dgm:spPr/>
    </dgm:pt>
    <dgm:pt modelId="{EA0E7866-3838-7C48-AC39-AFA93554794F}" type="parTrans" cxnId="{344DA249-77CD-8F43-8120-16ECB63B0A68}">
      <dgm:prSet/>
      <dgm:spPr/>
    </dgm:pt>
    <dgm:pt modelId="{33C33BE5-71FD-C641-BB03-56A8C81FCA38}" type="pres">
      <dgm:prSet presAssocID="{280B1AD4-093A-1944-9226-E82645184F89}" presName="theList" presStyleCnt="0">
        <dgm:presLayoutVars>
          <dgm:dir/>
          <dgm:animLvl val="lvl"/>
          <dgm:resizeHandles val="exact"/>
        </dgm:presLayoutVars>
      </dgm:prSet>
      <dgm:spPr/>
      <dgm:t>
        <a:bodyPr/>
        <a:lstStyle/>
        <a:p>
          <a:endParaRPr lang="es-ES"/>
        </a:p>
      </dgm:t>
    </dgm:pt>
    <dgm:pt modelId="{109F0303-9D59-DE4A-BA06-6E3D94DD427C}" type="pres">
      <dgm:prSet presAssocID="{5463851C-BFFA-6345-AB90-C459278B6409}" presName="compNode" presStyleCnt="0"/>
      <dgm:spPr/>
    </dgm:pt>
    <dgm:pt modelId="{90DB4E67-38C0-3D4C-AEEE-D6F7395F8E49}" type="pres">
      <dgm:prSet presAssocID="{5463851C-BFFA-6345-AB90-C459278B6409}" presName="aNode" presStyleLbl="bgShp" presStyleIdx="0" presStyleCnt="2"/>
      <dgm:spPr/>
      <dgm:t>
        <a:bodyPr/>
        <a:lstStyle/>
        <a:p>
          <a:endParaRPr lang="es-ES"/>
        </a:p>
      </dgm:t>
    </dgm:pt>
    <dgm:pt modelId="{89269E78-2EAA-4748-B925-C93FED0AC116}" type="pres">
      <dgm:prSet presAssocID="{5463851C-BFFA-6345-AB90-C459278B6409}" presName="textNode" presStyleLbl="bgShp" presStyleIdx="0" presStyleCnt="2"/>
      <dgm:spPr/>
      <dgm:t>
        <a:bodyPr/>
        <a:lstStyle/>
        <a:p>
          <a:endParaRPr lang="es-ES"/>
        </a:p>
      </dgm:t>
    </dgm:pt>
    <dgm:pt modelId="{474C1AF8-90D3-0F41-92EA-3E1DC8C12F67}" type="pres">
      <dgm:prSet presAssocID="{5463851C-BFFA-6345-AB90-C459278B6409}" presName="compChildNode" presStyleCnt="0"/>
      <dgm:spPr/>
    </dgm:pt>
    <dgm:pt modelId="{F7E33A94-8CA8-7341-B8D8-F95558722209}" type="pres">
      <dgm:prSet presAssocID="{5463851C-BFFA-6345-AB90-C459278B6409}" presName="theInnerList" presStyleCnt="0"/>
      <dgm:spPr/>
    </dgm:pt>
    <dgm:pt modelId="{7242C3D6-37D2-EE4F-A6C1-61B2F57BA8CE}" type="pres">
      <dgm:prSet presAssocID="{C8192923-57CA-4E45-94B6-4E95036659F7}" presName="childNode" presStyleLbl="node1" presStyleIdx="0" presStyleCnt="15" custScaleX="103873" custScaleY="156487">
        <dgm:presLayoutVars>
          <dgm:bulletEnabled val="1"/>
        </dgm:presLayoutVars>
      </dgm:prSet>
      <dgm:spPr/>
      <dgm:t>
        <a:bodyPr/>
        <a:lstStyle/>
        <a:p>
          <a:endParaRPr lang="es-ES"/>
        </a:p>
      </dgm:t>
    </dgm:pt>
    <dgm:pt modelId="{B57277B4-985C-A940-9B84-4E6FA6C7D9A3}" type="pres">
      <dgm:prSet presAssocID="{C8192923-57CA-4E45-94B6-4E95036659F7}" presName="aSpace2" presStyleCnt="0"/>
      <dgm:spPr/>
    </dgm:pt>
    <dgm:pt modelId="{B3D8D7AA-D4A5-BF4F-BFCD-AA70A0A21F1B}" type="pres">
      <dgm:prSet presAssocID="{D9F6439F-23B3-E64E-9E72-3DDF50DB8D13}" presName="childNode" presStyleLbl="node1" presStyleIdx="1" presStyleCnt="15" custScaleX="104744" custScaleY="145925">
        <dgm:presLayoutVars>
          <dgm:bulletEnabled val="1"/>
        </dgm:presLayoutVars>
      </dgm:prSet>
      <dgm:spPr/>
      <dgm:t>
        <a:bodyPr/>
        <a:lstStyle/>
        <a:p>
          <a:endParaRPr lang="es-ES"/>
        </a:p>
      </dgm:t>
    </dgm:pt>
    <dgm:pt modelId="{5F024E88-737E-1F4D-A759-ED8FD64D0649}" type="pres">
      <dgm:prSet presAssocID="{D9F6439F-23B3-E64E-9E72-3DDF50DB8D13}" presName="aSpace2" presStyleCnt="0"/>
      <dgm:spPr/>
    </dgm:pt>
    <dgm:pt modelId="{556042A6-E50C-794C-BA59-892E5DDC25E6}" type="pres">
      <dgm:prSet presAssocID="{2900A0DD-9F46-A442-86B5-9C365BEB37FE}" presName="childNode" presStyleLbl="node1" presStyleIdx="2" presStyleCnt="15" custScaleX="103873" custScaleY="140860">
        <dgm:presLayoutVars>
          <dgm:bulletEnabled val="1"/>
        </dgm:presLayoutVars>
      </dgm:prSet>
      <dgm:spPr/>
      <dgm:t>
        <a:bodyPr/>
        <a:lstStyle/>
        <a:p>
          <a:endParaRPr lang="es-ES"/>
        </a:p>
      </dgm:t>
    </dgm:pt>
    <dgm:pt modelId="{34C1BB5B-8C7E-A046-9BE8-CE08528B6172}" type="pres">
      <dgm:prSet presAssocID="{2900A0DD-9F46-A442-86B5-9C365BEB37FE}" presName="aSpace2" presStyleCnt="0"/>
      <dgm:spPr/>
    </dgm:pt>
    <dgm:pt modelId="{4B7447F9-9C3F-CD47-BE6A-EC10F86BDDA0}" type="pres">
      <dgm:prSet presAssocID="{62E28555-A450-D046-9963-6CFA1695E99B}" presName="childNode" presStyleLbl="node1" presStyleIdx="3" presStyleCnt="15" custScaleX="104744">
        <dgm:presLayoutVars>
          <dgm:bulletEnabled val="1"/>
        </dgm:presLayoutVars>
      </dgm:prSet>
      <dgm:spPr/>
      <dgm:t>
        <a:bodyPr/>
        <a:lstStyle/>
        <a:p>
          <a:endParaRPr lang="es-ES"/>
        </a:p>
      </dgm:t>
    </dgm:pt>
    <dgm:pt modelId="{8B79CEDE-40F6-EB47-AB4B-10198D2EDB23}" type="pres">
      <dgm:prSet presAssocID="{62E28555-A450-D046-9963-6CFA1695E99B}" presName="aSpace2" presStyleCnt="0"/>
      <dgm:spPr/>
    </dgm:pt>
    <dgm:pt modelId="{95979B67-52D9-2940-B5A0-611CCF356394}" type="pres">
      <dgm:prSet presAssocID="{56C4CF9B-5674-744F-AF4D-4BE3532B0115}" presName="childNode" presStyleLbl="node1" presStyleIdx="4" presStyleCnt="15" custScaleX="103873">
        <dgm:presLayoutVars>
          <dgm:bulletEnabled val="1"/>
        </dgm:presLayoutVars>
      </dgm:prSet>
      <dgm:spPr/>
      <dgm:t>
        <a:bodyPr/>
        <a:lstStyle/>
        <a:p>
          <a:endParaRPr lang="es-ES"/>
        </a:p>
      </dgm:t>
    </dgm:pt>
    <dgm:pt modelId="{70DEF926-62DC-444C-A6BB-0E2DD66F0092}" type="pres">
      <dgm:prSet presAssocID="{56C4CF9B-5674-744F-AF4D-4BE3532B0115}" presName="aSpace2" presStyleCnt="0"/>
      <dgm:spPr/>
    </dgm:pt>
    <dgm:pt modelId="{724C8296-B7A2-1749-B6B5-519060361AA0}" type="pres">
      <dgm:prSet presAssocID="{8F34D5C1-FB23-E842-A472-3470595AD112}" presName="childNode" presStyleLbl="node1" presStyleIdx="5" presStyleCnt="15" custScaleX="104744">
        <dgm:presLayoutVars>
          <dgm:bulletEnabled val="1"/>
        </dgm:presLayoutVars>
      </dgm:prSet>
      <dgm:spPr/>
      <dgm:t>
        <a:bodyPr/>
        <a:lstStyle/>
        <a:p>
          <a:endParaRPr lang="es-ES"/>
        </a:p>
      </dgm:t>
    </dgm:pt>
    <dgm:pt modelId="{825A2D80-4A7F-2E45-BFEF-DE34AE76D726}" type="pres">
      <dgm:prSet presAssocID="{5463851C-BFFA-6345-AB90-C459278B6409}" presName="aSpace" presStyleCnt="0"/>
      <dgm:spPr/>
    </dgm:pt>
    <dgm:pt modelId="{C3A8E663-2D20-EC40-9A4E-DDE62D4C4367}" type="pres">
      <dgm:prSet presAssocID="{A8EE2779-6972-AB40-8FB2-99156673E69A}" presName="compNode" presStyleCnt="0"/>
      <dgm:spPr/>
    </dgm:pt>
    <dgm:pt modelId="{1694E06C-EC52-A545-ACCB-695A46E7DA92}" type="pres">
      <dgm:prSet presAssocID="{A8EE2779-6972-AB40-8FB2-99156673E69A}" presName="aNode" presStyleLbl="bgShp" presStyleIdx="1" presStyleCnt="2"/>
      <dgm:spPr/>
      <dgm:t>
        <a:bodyPr/>
        <a:lstStyle/>
        <a:p>
          <a:endParaRPr lang="es-ES"/>
        </a:p>
      </dgm:t>
    </dgm:pt>
    <dgm:pt modelId="{3BB36D9B-2323-7449-81A3-F0B3FEBE12A4}" type="pres">
      <dgm:prSet presAssocID="{A8EE2779-6972-AB40-8FB2-99156673E69A}" presName="textNode" presStyleLbl="bgShp" presStyleIdx="1" presStyleCnt="2"/>
      <dgm:spPr/>
      <dgm:t>
        <a:bodyPr/>
        <a:lstStyle/>
        <a:p>
          <a:endParaRPr lang="es-ES"/>
        </a:p>
      </dgm:t>
    </dgm:pt>
    <dgm:pt modelId="{2C2C2907-E1D4-614C-9CE7-2F1D12BDFF83}" type="pres">
      <dgm:prSet presAssocID="{A8EE2779-6972-AB40-8FB2-99156673E69A}" presName="compChildNode" presStyleCnt="0"/>
      <dgm:spPr/>
    </dgm:pt>
    <dgm:pt modelId="{57EC688F-6785-F04B-BEDF-E24D70F23516}" type="pres">
      <dgm:prSet presAssocID="{A8EE2779-6972-AB40-8FB2-99156673E69A}" presName="theInnerList" presStyleCnt="0"/>
      <dgm:spPr/>
    </dgm:pt>
    <dgm:pt modelId="{DDF0DEC9-4B5E-2842-858B-865699BE9440}" type="pres">
      <dgm:prSet presAssocID="{49E3BEB7-C111-2C42-BE96-FEC795E00615}" presName="childNode" presStyleLbl="node1" presStyleIdx="6" presStyleCnt="15" custLinFactNeighborX="871">
        <dgm:presLayoutVars>
          <dgm:bulletEnabled val="1"/>
        </dgm:presLayoutVars>
      </dgm:prSet>
      <dgm:spPr/>
      <dgm:t>
        <a:bodyPr/>
        <a:lstStyle/>
        <a:p>
          <a:endParaRPr lang="es-ES"/>
        </a:p>
      </dgm:t>
    </dgm:pt>
    <dgm:pt modelId="{88C68569-B379-854D-8909-28A1DCBD32E6}" type="pres">
      <dgm:prSet presAssocID="{49E3BEB7-C111-2C42-BE96-FEC795E00615}" presName="aSpace2" presStyleCnt="0"/>
      <dgm:spPr/>
    </dgm:pt>
    <dgm:pt modelId="{96CD82AE-992D-3947-8262-4417D9FEF3E7}" type="pres">
      <dgm:prSet presAssocID="{BADF356C-58C4-834C-A291-DD4BB3D3CDE4}" presName="childNode" presStyleLbl="node1" presStyleIdx="7" presStyleCnt="15">
        <dgm:presLayoutVars>
          <dgm:bulletEnabled val="1"/>
        </dgm:presLayoutVars>
      </dgm:prSet>
      <dgm:spPr/>
      <dgm:t>
        <a:bodyPr/>
        <a:lstStyle/>
        <a:p>
          <a:endParaRPr lang="es-ES"/>
        </a:p>
      </dgm:t>
    </dgm:pt>
    <dgm:pt modelId="{74085670-0E7C-E84A-BC01-F94B45AD82C6}" type="pres">
      <dgm:prSet presAssocID="{BADF356C-58C4-834C-A291-DD4BB3D3CDE4}" presName="aSpace2" presStyleCnt="0"/>
      <dgm:spPr/>
    </dgm:pt>
    <dgm:pt modelId="{4BA95794-291B-764F-B1FC-98C03D6709DC}" type="pres">
      <dgm:prSet presAssocID="{07F8CFF5-254C-1F44-85D4-FF19D48EEA54}" presName="childNode" presStyleLbl="node1" presStyleIdx="8" presStyleCnt="15">
        <dgm:presLayoutVars>
          <dgm:bulletEnabled val="1"/>
        </dgm:presLayoutVars>
      </dgm:prSet>
      <dgm:spPr/>
      <dgm:t>
        <a:bodyPr/>
        <a:lstStyle/>
        <a:p>
          <a:endParaRPr lang="es-ES"/>
        </a:p>
      </dgm:t>
    </dgm:pt>
    <dgm:pt modelId="{07638C25-BD4D-6145-A38D-107AD9729430}" type="pres">
      <dgm:prSet presAssocID="{07F8CFF5-254C-1F44-85D4-FF19D48EEA54}" presName="aSpace2" presStyleCnt="0"/>
      <dgm:spPr/>
    </dgm:pt>
    <dgm:pt modelId="{32CA203B-3C44-AE4C-B651-6D826772125C}" type="pres">
      <dgm:prSet presAssocID="{EFF1CBCA-9395-5B4F-963A-CFED99E8E9DE}" presName="childNode" presStyleLbl="node1" presStyleIdx="9" presStyleCnt="15">
        <dgm:presLayoutVars>
          <dgm:bulletEnabled val="1"/>
        </dgm:presLayoutVars>
      </dgm:prSet>
      <dgm:spPr/>
      <dgm:t>
        <a:bodyPr/>
        <a:lstStyle/>
        <a:p>
          <a:endParaRPr lang="es-ES"/>
        </a:p>
      </dgm:t>
    </dgm:pt>
    <dgm:pt modelId="{18B08D04-D475-524B-83A6-9909D67796F1}" type="pres">
      <dgm:prSet presAssocID="{EFF1CBCA-9395-5B4F-963A-CFED99E8E9DE}" presName="aSpace2" presStyleCnt="0"/>
      <dgm:spPr/>
    </dgm:pt>
    <dgm:pt modelId="{195B82F8-283A-6047-8170-5099F352AB57}" type="pres">
      <dgm:prSet presAssocID="{839C9D66-E26D-F64F-92C3-F169A106615F}" presName="childNode" presStyleLbl="node1" presStyleIdx="10" presStyleCnt="15">
        <dgm:presLayoutVars>
          <dgm:bulletEnabled val="1"/>
        </dgm:presLayoutVars>
      </dgm:prSet>
      <dgm:spPr/>
      <dgm:t>
        <a:bodyPr/>
        <a:lstStyle/>
        <a:p>
          <a:endParaRPr lang="es-ES"/>
        </a:p>
      </dgm:t>
    </dgm:pt>
    <dgm:pt modelId="{DAF0F2BE-FC27-674F-A9E3-3C8FF9BDAA3B}" type="pres">
      <dgm:prSet presAssocID="{839C9D66-E26D-F64F-92C3-F169A106615F}" presName="aSpace2" presStyleCnt="0"/>
      <dgm:spPr/>
    </dgm:pt>
    <dgm:pt modelId="{798AF009-A6B8-6C40-958A-BF93369E24AE}" type="pres">
      <dgm:prSet presAssocID="{3961443A-7DBF-2441-A4B2-452014FF7E07}" presName="childNode" presStyleLbl="node1" presStyleIdx="11" presStyleCnt="15">
        <dgm:presLayoutVars>
          <dgm:bulletEnabled val="1"/>
        </dgm:presLayoutVars>
      </dgm:prSet>
      <dgm:spPr/>
      <dgm:t>
        <a:bodyPr/>
        <a:lstStyle/>
        <a:p>
          <a:endParaRPr lang="es-ES"/>
        </a:p>
      </dgm:t>
    </dgm:pt>
    <dgm:pt modelId="{5D5C2230-3C60-D84E-91E7-909A7E00E4EC}" type="pres">
      <dgm:prSet presAssocID="{3961443A-7DBF-2441-A4B2-452014FF7E07}" presName="aSpace2" presStyleCnt="0"/>
      <dgm:spPr/>
    </dgm:pt>
    <dgm:pt modelId="{71016C39-532D-F146-92EB-62BBC8EA1748}" type="pres">
      <dgm:prSet presAssocID="{FF0C3A7C-41DF-C948-A3A0-7A358F71A823}" presName="childNode" presStyleLbl="node1" presStyleIdx="12" presStyleCnt="15">
        <dgm:presLayoutVars>
          <dgm:bulletEnabled val="1"/>
        </dgm:presLayoutVars>
      </dgm:prSet>
      <dgm:spPr/>
      <dgm:t>
        <a:bodyPr/>
        <a:lstStyle/>
        <a:p>
          <a:endParaRPr lang="es-ES"/>
        </a:p>
      </dgm:t>
    </dgm:pt>
    <dgm:pt modelId="{C5B23D86-75B0-B943-B622-A348D988DF3D}" type="pres">
      <dgm:prSet presAssocID="{FF0C3A7C-41DF-C948-A3A0-7A358F71A823}" presName="aSpace2" presStyleCnt="0"/>
      <dgm:spPr/>
    </dgm:pt>
    <dgm:pt modelId="{27FE7C0C-F60B-5247-8498-485A4D22C7D7}" type="pres">
      <dgm:prSet presAssocID="{41E94701-965D-354B-A6EE-A0C4F43E427F}" presName="childNode" presStyleLbl="node1" presStyleIdx="13" presStyleCnt="15">
        <dgm:presLayoutVars>
          <dgm:bulletEnabled val="1"/>
        </dgm:presLayoutVars>
      </dgm:prSet>
      <dgm:spPr/>
      <dgm:t>
        <a:bodyPr/>
        <a:lstStyle/>
        <a:p>
          <a:endParaRPr lang="es-ES"/>
        </a:p>
      </dgm:t>
    </dgm:pt>
    <dgm:pt modelId="{05AF74D8-8988-9C4C-A135-9FC12D35A104}" type="pres">
      <dgm:prSet presAssocID="{41E94701-965D-354B-A6EE-A0C4F43E427F}" presName="aSpace2" presStyleCnt="0"/>
      <dgm:spPr/>
    </dgm:pt>
    <dgm:pt modelId="{9E86A4A7-A004-E146-BC8E-0FDBBA863DBB}" type="pres">
      <dgm:prSet presAssocID="{E9014C6B-40C2-E04E-AB56-75EA087A7FAE}" presName="childNode" presStyleLbl="node1" presStyleIdx="14" presStyleCnt="15">
        <dgm:presLayoutVars>
          <dgm:bulletEnabled val="1"/>
        </dgm:presLayoutVars>
      </dgm:prSet>
      <dgm:spPr/>
      <dgm:t>
        <a:bodyPr/>
        <a:lstStyle/>
        <a:p>
          <a:endParaRPr lang="es-ES"/>
        </a:p>
      </dgm:t>
    </dgm:pt>
  </dgm:ptLst>
  <dgm:cxnLst>
    <dgm:cxn modelId="{713448C9-9B5A-2644-8E43-68E0EFC99806}" type="presOf" srcId="{E9014C6B-40C2-E04E-AB56-75EA087A7FAE}" destId="{9E86A4A7-A004-E146-BC8E-0FDBBA863DBB}" srcOrd="0" destOrd="0" presId="urn:microsoft.com/office/officeart/2005/8/layout/lProcess2"/>
    <dgm:cxn modelId="{AEF6EBF3-BE42-A04A-8404-4BE052A52195}" type="presOf" srcId="{BADF356C-58C4-834C-A291-DD4BB3D3CDE4}" destId="{96CD82AE-992D-3947-8262-4417D9FEF3E7}" srcOrd="0" destOrd="0" presId="urn:microsoft.com/office/officeart/2005/8/layout/lProcess2"/>
    <dgm:cxn modelId="{B582DF4E-F7A7-B245-A72D-2E2B82BE4A81}" type="presOf" srcId="{8F34D5C1-FB23-E842-A472-3470595AD112}" destId="{724C8296-B7A2-1749-B6B5-519060361AA0}" srcOrd="0" destOrd="0" presId="urn:microsoft.com/office/officeart/2005/8/layout/lProcess2"/>
    <dgm:cxn modelId="{B3EEF1B8-6799-424B-ABFA-DE83B1A41733}" srcId="{5463851C-BFFA-6345-AB90-C459278B6409}" destId="{56C4CF9B-5674-744F-AF4D-4BE3532B0115}" srcOrd="4" destOrd="0" parTransId="{BB43FE96-4A4F-A34D-A5B1-0FE6313D889A}" sibTransId="{E07DB86A-450F-554A-87A5-09BCD21638AD}"/>
    <dgm:cxn modelId="{0736F1A5-F088-5549-89E8-FF0FF9B1E3E5}" type="presOf" srcId="{FF0C3A7C-41DF-C948-A3A0-7A358F71A823}" destId="{71016C39-532D-F146-92EB-62BBC8EA1748}" srcOrd="0" destOrd="0" presId="urn:microsoft.com/office/officeart/2005/8/layout/lProcess2"/>
    <dgm:cxn modelId="{AFC8A202-B733-764E-9629-259763AAAAA8}" srcId="{A8EE2779-6972-AB40-8FB2-99156673E69A}" destId="{839C9D66-E26D-F64F-92C3-F169A106615F}" srcOrd="4" destOrd="0" parTransId="{E65744AF-9C22-0947-84A9-BDADA9EED1E6}" sibTransId="{AB655CF9-FDB1-C942-AE91-D56D9D43B1E4}"/>
    <dgm:cxn modelId="{570AD2F0-351E-4F49-A7AB-C7342BC792F4}" type="presOf" srcId="{5463851C-BFFA-6345-AB90-C459278B6409}" destId="{90DB4E67-38C0-3D4C-AEEE-D6F7395F8E49}" srcOrd="0" destOrd="0" presId="urn:microsoft.com/office/officeart/2005/8/layout/lProcess2"/>
    <dgm:cxn modelId="{037B804F-9054-824E-BBAA-5A86120239B4}" type="presOf" srcId="{A8EE2779-6972-AB40-8FB2-99156673E69A}" destId="{1694E06C-EC52-A545-ACCB-695A46E7DA92}" srcOrd="0" destOrd="0" presId="urn:microsoft.com/office/officeart/2005/8/layout/lProcess2"/>
    <dgm:cxn modelId="{E00CE387-7674-3547-A6FB-A3BA92109C05}" type="presOf" srcId="{41E94701-965D-354B-A6EE-A0C4F43E427F}" destId="{27FE7C0C-F60B-5247-8498-485A4D22C7D7}" srcOrd="0" destOrd="0" presId="urn:microsoft.com/office/officeart/2005/8/layout/lProcess2"/>
    <dgm:cxn modelId="{212DBCD6-5B75-D847-9144-A29C6FB30D7F}" srcId="{A8EE2779-6972-AB40-8FB2-99156673E69A}" destId="{EFF1CBCA-9395-5B4F-963A-CFED99E8E9DE}" srcOrd="3" destOrd="0" parTransId="{E4E27A95-DE9B-9247-A2CA-C4807DF6A4F4}" sibTransId="{7A834E28-8737-C048-94B6-3CAB39133D43}"/>
    <dgm:cxn modelId="{961E2D43-CBA8-BD4B-B415-ACF9E6905362}" type="presOf" srcId="{D9F6439F-23B3-E64E-9E72-3DDF50DB8D13}" destId="{B3D8D7AA-D4A5-BF4F-BFCD-AA70A0A21F1B}" srcOrd="0" destOrd="0" presId="urn:microsoft.com/office/officeart/2005/8/layout/lProcess2"/>
    <dgm:cxn modelId="{5EAEF34C-F9DF-FD40-9F8A-510C67E6B7F2}" type="presOf" srcId="{280B1AD4-093A-1944-9226-E82645184F89}" destId="{33C33BE5-71FD-C641-BB03-56A8C81FCA38}" srcOrd="0" destOrd="0" presId="urn:microsoft.com/office/officeart/2005/8/layout/lProcess2"/>
    <dgm:cxn modelId="{70CEB6F5-BCE1-864B-B9BA-4589EF14A828}" type="presOf" srcId="{62E28555-A450-D046-9963-6CFA1695E99B}" destId="{4B7447F9-9C3F-CD47-BE6A-EC10F86BDDA0}" srcOrd="0" destOrd="0" presId="urn:microsoft.com/office/officeart/2005/8/layout/lProcess2"/>
    <dgm:cxn modelId="{C95E3338-197A-B646-AF8D-33B3B588264C}" srcId="{280B1AD4-093A-1944-9226-E82645184F89}" destId="{5463851C-BFFA-6345-AB90-C459278B6409}" srcOrd="0" destOrd="0" parTransId="{50C211B2-4CAE-474E-BC1C-D3DF019EBE31}" sibTransId="{EE67E848-D914-7942-8811-9FB642F2358E}"/>
    <dgm:cxn modelId="{2EA5D216-4A48-5B43-9E9F-5919552FAAE0}" type="presOf" srcId="{2900A0DD-9F46-A442-86B5-9C365BEB37FE}" destId="{556042A6-E50C-794C-BA59-892E5DDC25E6}" srcOrd="0" destOrd="0" presId="urn:microsoft.com/office/officeart/2005/8/layout/lProcess2"/>
    <dgm:cxn modelId="{DE8C8559-0FFB-B141-9979-264E00E69AAB}" type="presOf" srcId="{49E3BEB7-C111-2C42-BE96-FEC795E00615}" destId="{DDF0DEC9-4B5E-2842-858B-865699BE9440}" srcOrd="0" destOrd="0" presId="urn:microsoft.com/office/officeart/2005/8/layout/lProcess2"/>
    <dgm:cxn modelId="{C1A4B26D-A854-7D40-ABBC-39FC0B1EB51A}" srcId="{A8EE2779-6972-AB40-8FB2-99156673E69A}" destId="{07F8CFF5-254C-1F44-85D4-FF19D48EEA54}" srcOrd="2" destOrd="0" parTransId="{7BA27C9E-6D9B-1245-A92E-B1ABBAC407CD}" sibTransId="{6BA7D62E-0AD3-8142-8F91-360FF4367748}"/>
    <dgm:cxn modelId="{A59B0F19-3F78-7546-9F49-70CF210660CB}" srcId="{5463851C-BFFA-6345-AB90-C459278B6409}" destId="{C8192923-57CA-4E45-94B6-4E95036659F7}" srcOrd="0" destOrd="0" parTransId="{530C4583-0837-614D-8DF0-E530C107B518}" sibTransId="{6912EA28-5E55-C844-BAB6-5FFD35E14BA7}"/>
    <dgm:cxn modelId="{73214BD7-4510-D742-B4BE-8C6FE8B5F5E1}" type="presOf" srcId="{3961443A-7DBF-2441-A4B2-452014FF7E07}" destId="{798AF009-A6B8-6C40-958A-BF93369E24AE}" srcOrd="0" destOrd="0" presId="urn:microsoft.com/office/officeart/2005/8/layout/lProcess2"/>
    <dgm:cxn modelId="{D79B2E7F-7DB6-7349-84EA-1C5B5CA59E0A}" type="presOf" srcId="{A8EE2779-6972-AB40-8FB2-99156673E69A}" destId="{3BB36D9B-2323-7449-81A3-F0B3FEBE12A4}" srcOrd="1" destOrd="0" presId="urn:microsoft.com/office/officeart/2005/8/layout/lProcess2"/>
    <dgm:cxn modelId="{2D1EEF70-B88B-D742-A656-005FC2C81671}" srcId="{A8EE2779-6972-AB40-8FB2-99156673E69A}" destId="{FF0C3A7C-41DF-C948-A3A0-7A358F71A823}" srcOrd="6" destOrd="0" parTransId="{CCF5AD34-6B38-7C40-8C07-F1595282B070}" sibTransId="{3AEEDE42-14EE-F847-A816-50F4C031D32A}"/>
    <dgm:cxn modelId="{B641604D-1E45-2345-941E-82680F87F872}" srcId="{A8EE2779-6972-AB40-8FB2-99156673E69A}" destId="{49E3BEB7-C111-2C42-BE96-FEC795E00615}" srcOrd="0" destOrd="0" parTransId="{48EA5147-6CE3-E643-A388-36BFFC9ABBFC}" sibTransId="{C7B863F3-4FB9-6F47-A9F9-CD7194507B48}"/>
    <dgm:cxn modelId="{B461514F-6932-EF46-B4C8-173921BF534F}" srcId="{5463851C-BFFA-6345-AB90-C459278B6409}" destId="{D9F6439F-23B3-E64E-9E72-3DDF50DB8D13}" srcOrd="1" destOrd="0" parTransId="{B7C851F1-A444-AA49-BF7E-8761C4C93AB8}" sibTransId="{3F951D00-FE8D-7946-BC06-57EF7184DA9E}"/>
    <dgm:cxn modelId="{E6CC62EA-CAD3-EF40-82DE-C13479A5928A}" srcId="{280B1AD4-093A-1944-9226-E82645184F89}" destId="{A8EE2779-6972-AB40-8FB2-99156673E69A}" srcOrd="1" destOrd="0" parTransId="{AADF9CCB-2BF7-7E44-B72E-A6B75E26C648}" sibTransId="{0C94477E-AE6C-C94C-9693-4EEFE234A4A6}"/>
    <dgm:cxn modelId="{A3B2E197-5105-EB4F-A29D-74C3B1A847B3}" srcId="{5463851C-BFFA-6345-AB90-C459278B6409}" destId="{8F34D5C1-FB23-E842-A472-3470595AD112}" srcOrd="5" destOrd="0" parTransId="{F8288787-A0F4-1C42-9F7E-35D6201794A5}" sibTransId="{3B9A55A3-C185-C24B-95CB-70EE079CE195}"/>
    <dgm:cxn modelId="{344DA249-77CD-8F43-8120-16ECB63B0A68}" srcId="{A8EE2779-6972-AB40-8FB2-99156673E69A}" destId="{E9014C6B-40C2-E04E-AB56-75EA087A7FAE}" srcOrd="8" destOrd="0" parTransId="{EA0E7866-3838-7C48-AC39-AFA93554794F}" sibTransId="{2C7309B3-9252-7443-A025-A94A4CA435D4}"/>
    <dgm:cxn modelId="{E5068479-3B9A-0947-B394-97990A12D945}" srcId="{A8EE2779-6972-AB40-8FB2-99156673E69A}" destId="{3961443A-7DBF-2441-A4B2-452014FF7E07}" srcOrd="5" destOrd="0" parTransId="{3C5F9523-27AD-A646-B6E4-925CF9EF0947}" sibTransId="{9CC707FE-7F71-9745-A8EC-7BB4460C0C4C}"/>
    <dgm:cxn modelId="{B554DF53-D5D0-1F4E-ACC2-97C1B92A31A0}" srcId="{A8EE2779-6972-AB40-8FB2-99156673E69A}" destId="{41E94701-965D-354B-A6EE-A0C4F43E427F}" srcOrd="7" destOrd="0" parTransId="{9F3EAD2E-40B5-1C4D-97C7-2EC7ECCCE2C8}" sibTransId="{3880D87F-3344-714B-AE85-081F0399F4A0}"/>
    <dgm:cxn modelId="{5ED10BEA-FF1E-D54B-8443-5B49AF3C783B}" type="presOf" srcId="{5463851C-BFFA-6345-AB90-C459278B6409}" destId="{89269E78-2EAA-4748-B925-C93FED0AC116}" srcOrd="1" destOrd="0" presId="urn:microsoft.com/office/officeart/2005/8/layout/lProcess2"/>
    <dgm:cxn modelId="{2BA71FF2-05ED-D047-8E41-832988AB1377}" type="presOf" srcId="{839C9D66-E26D-F64F-92C3-F169A106615F}" destId="{195B82F8-283A-6047-8170-5099F352AB57}" srcOrd="0" destOrd="0" presId="urn:microsoft.com/office/officeart/2005/8/layout/lProcess2"/>
    <dgm:cxn modelId="{1314F7F2-11C8-3B4A-8B7F-4335B0B235CF}" type="presOf" srcId="{56C4CF9B-5674-744F-AF4D-4BE3532B0115}" destId="{95979B67-52D9-2940-B5A0-611CCF356394}" srcOrd="0" destOrd="0" presId="urn:microsoft.com/office/officeart/2005/8/layout/lProcess2"/>
    <dgm:cxn modelId="{98027B4C-B8F9-E449-8F30-4EBED16776F3}" srcId="{A8EE2779-6972-AB40-8FB2-99156673E69A}" destId="{BADF356C-58C4-834C-A291-DD4BB3D3CDE4}" srcOrd="1" destOrd="0" parTransId="{FDF41D1D-1616-1F42-A124-F7B321C44007}" sibTransId="{1E0CD69E-2D42-C64E-9DAE-BB47A014B4CA}"/>
    <dgm:cxn modelId="{BA890B93-34EB-3A40-9E0B-17AD97D32362}" srcId="{5463851C-BFFA-6345-AB90-C459278B6409}" destId="{62E28555-A450-D046-9963-6CFA1695E99B}" srcOrd="3" destOrd="0" parTransId="{6FF2EB6E-A6C1-8B4D-BEBA-11AE722213AD}" sibTransId="{913386D5-31F2-124F-B4BF-3008E1CA2F52}"/>
    <dgm:cxn modelId="{528F1F59-2BF5-2C44-A99E-82590A04CED2}" type="presOf" srcId="{C8192923-57CA-4E45-94B6-4E95036659F7}" destId="{7242C3D6-37D2-EE4F-A6C1-61B2F57BA8CE}" srcOrd="0" destOrd="0" presId="urn:microsoft.com/office/officeart/2005/8/layout/lProcess2"/>
    <dgm:cxn modelId="{9A3AE54C-0E87-DF4D-905E-85C0412F343E}" type="presOf" srcId="{07F8CFF5-254C-1F44-85D4-FF19D48EEA54}" destId="{4BA95794-291B-764F-B1FC-98C03D6709DC}" srcOrd="0" destOrd="0" presId="urn:microsoft.com/office/officeart/2005/8/layout/lProcess2"/>
    <dgm:cxn modelId="{C58A87F4-6E7A-4142-84D4-FC7825E520E9}" srcId="{5463851C-BFFA-6345-AB90-C459278B6409}" destId="{2900A0DD-9F46-A442-86B5-9C365BEB37FE}" srcOrd="2" destOrd="0" parTransId="{CC46D76D-87F0-2840-AE6A-8F0C967F4849}" sibTransId="{7599F958-AA85-7140-85E4-983DC79A19D8}"/>
    <dgm:cxn modelId="{2367338D-9E57-0F4A-BA6B-A1AFDCB7A64B}" type="presOf" srcId="{EFF1CBCA-9395-5B4F-963A-CFED99E8E9DE}" destId="{32CA203B-3C44-AE4C-B651-6D826772125C}" srcOrd="0" destOrd="0" presId="urn:microsoft.com/office/officeart/2005/8/layout/lProcess2"/>
    <dgm:cxn modelId="{A26581D9-9C75-E74A-9DF4-15AD8BF3E33D}" type="presParOf" srcId="{33C33BE5-71FD-C641-BB03-56A8C81FCA38}" destId="{109F0303-9D59-DE4A-BA06-6E3D94DD427C}" srcOrd="0" destOrd="0" presId="urn:microsoft.com/office/officeart/2005/8/layout/lProcess2"/>
    <dgm:cxn modelId="{3CD1F5C0-77B1-7A4E-A68C-F76E6523959E}" type="presParOf" srcId="{109F0303-9D59-DE4A-BA06-6E3D94DD427C}" destId="{90DB4E67-38C0-3D4C-AEEE-D6F7395F8E49}" srcOrd="0" destOrd="0" presId="urn:microsoft.com/office/officeart/2005/8/layout/lProcess2"/>
    <dgm:cxn modelId="{6CB008C3-55B1-0949-AB41-02184E3B62FB}" type="presParOf" srcId="{109F0303-9D59-DE4A-BA06-6E3D94DD427C}" destId="{89269E78-2EAA-4748-B925-C93FED0AC116}" srcOrd="1" destOrd="0" presId="urn:microsoft.com/office/officeart/2005/8/layout/lProcess2"/>
    <dgm:cxn modelId="{FC798BC8-1BB7-B841-BFAF-3EE0ECB8D133}" type="presParOf" srcId="{109F0303-9D59-DE4A-BA06-6E3D94DD427C}" destId="{474C1AF8-90D3-0F41-92EA-3E1DC8C12F67}" srcOrd="2" destOrd="0" presId="urn:microsoft.com/office/officeart/2005/8/layout/lProcess2"/>
    <dgm:cxn modelId="{127B3B47-0F8D-4647-B52D-67F2DB8A2B57}" type="presParOf" srcId="{474C1AF8-90D3-0F41-92EA-3E1DC8C12F67}" destId="{F7E33A94-8CA8-7341-B8D8-F95558722209}" srcOrd="0" destOrd="0" presId="urn:microsoft.com/office/officeart/2005/8/layout/lProcess2"/>
    <dgm:cxn modelId="{DD3718BC-6562-8345-B200-2A7D803F812A}" type="presParOf" srcId="{F7E33A94-8CA8-7341-B8D8-F95558722209}" destId="{7242C3D6-37D2-EE4F-A6C1-61B2F57BA8CE}" srcOrd="0" destOrd="0" presId="urn:microsoft.com/office/officeart/2005/8/layout/lProcess2"/>
    <dgm:cxn modelId="{529F556F-33FD-6C44-99A1-1A389D999BA5}" type="presParOf" srcId="{F7E33A94-8CA8-7341-B8D8-F95558722209}" destId="{B57277B4-985C-A940-9B84-4E6FA6C7D9A3}" srcOrd="1" destOrd="0" presId="urn:microsoft.com/office/officeart/2005/8/layout/lProcess2"/>
    <dgm:cxn modelId="{C87A9C6B-6C27-D24A-B124-72FD09E7A7BE}" type="presParOf" srcId="{F7E33A94-8CA8-7341-B8D8-F95558722209}" destId="{B3D8D7AA-D4A5-BF4F-BFCD-AA70A0A21F1B}" srcOrd="2" destOrd="0" presId="urn:microsoft.com/office/officeart/2005/8/layout/lProcess2"/>
    <dgm:cxn modelId="{48F50C19-9576-4046-9F3E-22DBD6A8725D}" type="presParOf" srcId="{F7E33A94-8CA8-7341-B8D8-F95558722209}" destId="{5F024E88-737E-1F4D-A759-ED8FD64D0649}" srcOrd="3" destOrd="0" presId="urn:microsoft.com/office/officeart/2005/8/layout/lProcess2"/>
    <dgm:cxn modelId="{933E22DD-87D3-894A-BF2D-5564546FD8C8}" type="presParOf" srcId="{F7E33A94-8CA8-7341-B8D8-F95558722209}" destId="{556042A6-E50C-794C-BA59-892E5DDC25E6}" srcOrd="4" destOrd="0" presId="urn:microsoft.com/office/officeart/2005/8/layout/lProcess2"/>
    <dgm:cxn modelId="{62EBEF60-504C-7B49-92CB-3B0162982923}" type="presParOf" srcId="{F7E33A94-8CA8-7341-B8D8-F95558722209}" destId="{34C1BB5B-8C7E-A046-9BE8-CE08528B6172}" srcOrd="5" destOrd="0" presId="urn:microsoft.com/office/officeart/2005/8/layout/lProcess2"/>
    <dgm:cxn modelId="{9060B801-ED37-7444-A5DD-F1923500C495}" type="presParOf" srcId="{F7E33A94-8CA8-7341-B8D8-F95558722209}" destId="{4B7447F9-9C3F-CD47-BE6A-EC10F86BDDA0}" srcOrd="6" destOrd="0" presId="urn:microsoft.com/office/officeart/2005/8/layout/lProcess2"/>
    <dgm:cxn modelId="{3315248C-66B6-0B41-987D-4DCA5AF08598}" type="presParOf" srcId="{F7E33A94-8CA8-7341-B8D8-F95558722209}" destId="{8B79CEDE-40F6-EB47-AB4B-10198D2EDB23}" srcOrd="7" destOrd="0" presId="urn:microsoft.com/office/officeart/2005/8/layout/lProcess2"/>
    <dgm:cxn modelId="{292631A4-5A9E-D849-8ACB-A5936B354E1F}" type="presParOf" srcId="{F7E33A94-8CA8-7341-B8D8-F95558722209}" destId="{95979B67-52D9-2940-B5A0-611CCF356394}" srcOrd="8" destOrd="0" presId="urn:microsoft.com/office/officeart/2005/8/layout/lProcess2"/>
    <dgm:cxn modelId="{8DF19DF2-71A7-E941-9110-F4FD651C1AD1}" type="presParOf" srcId="{F7E33A94-8CA8-7341-B8D8-F95558722209}" destId="{70DEF926-62DC-444C-A6BB-0E2DD66F0092}" srcOrd="9" destOrd="0" presId="urn:microsoft.com/office/officeart/2005/8/layout/lProcess2"/>
    <dgm:cxn modelId="{77967452-4A67-4048-92C3-BE3ECCD9643F}" type="presParOf" srcId="{F7E33A94-8CA8-7341-B8D8-F95558722209}" destId="{724C8296-B7A2-1749-B6B5-519060361AA0}" srcOrd="10" destOrd="0" presId="urn:microsoft.com/office/officeart/2005/8/layout/lProcess2"/>
    <dgm:cxn modelId="{09EE5196-BAA0-DE4F-A7FF-83D2FC53D355}" type="presParOf" srcId="{33C33BE5-71FD-C641-BB03-56A8C81FCA38}" destId="{825A2D80-4A7F-2E45-BFEF-DE34AE76D726}" srcOrd="1" destOrd="0" presId="urn:microsoft.com/office/officeart/2005/8/layout/lProcess2"/>
    <dgm:cxn modelId="{ACCDEC40-8825-8946-AA7C-EFC3AF2BC2B9}" type="presParOf" srcId="{33C33BE5-71FD-C641-BB03-56A8C81FCA38}" destId="{C3A8E663-2D20-EC40-9A4E-DDE62D4C4367}" srcOrd="2" destOrd="0" presId="urn:microsoft.com/office/officeart/2005/8/layout/lProcess2"/>
    <dgm:cxn modelId="{3CA67668-844B-1B48-AF86-87BB248F8A03}" type="presParOf" srcId="{C3A8E663-2D20-EC40-9A4E-DDE62D4C4367}" destId="{1694E06C-EC52-A545-ACCB-695A46E7DA92}" srcOrd="0" destOrd="0" presId="urn:microsoft.com/office/officeart/2005/8/layout/lProcess2"/>
    <dgm:cxn modelId="{A6C10EFF-6725-844E-91DD-8175421CD640}" type="presParOf" srcId="{C3A8E663-2D20-EC40-9A4E-DDE62D4C4367}" destId="{3BB36D9B-2323-7449-81A3-F0B3FEBE12A4}" srcOrd="1" destOrd="0" presId="urn:microsoft.com/office/officeart/2005/8/layout/lProcess2"/>
    <dgm:cxn modelId="{F3E491F1-1A6A-144B-A4CB-5EE8C44D3659}" type="presParOf" srcId="{C3A8E663-2D20-EC40-9A4E-DDE62D4C4367}" destId="{2C2C2907-E1D4-614C-9CE7-2F1D12BDFF83}" srcOrd="2" destOrd="0" presId="urn:microsoft.com/office/officeart/2005/8/layout/lProcess2"/>
    <dgm:cxn modelId="{8F11C894-A738-BB4D-ACCE-D111FCBF1EAE}" type="presParOf" srcId="{2C2C2907-E1D4-614C-9CE7-2F1D12BDFF83}" destId="{57EC688F-6785-F04B-BEDF-E24D70F23516}" srcOrd="0" destOrd="0" presId="urn:microsoft.com/office/officeart/2005/8/layout/lProcess2"/>
    <dgm:cxn modelId="{E8781374-AC6E-6246-988D-8DEC9F1F78D3}" type="presParOf" srcId="{57EC688F-6785-F04B-BEDF-E24D70F23516}" destId="{DDF0DEC9-4B5E-2842-858B-865699BE9440}" srcOrd="0" destOrd="0" presId="urn:microsoft.com/office/officeart/2005/8/layout/lProcess2"/>
    <dgm:cxn modelId="{522222B4-FDF2-984C-8E2A-C2FFC0AD884D}" type="presParOf" srcId="{57EC688F-6785-F04B-BEDF-E24D70F23516}" destId="{88C68569-B379-854D-8909-28A1DCBD32E6}" srcOrd="1" destOrd="0" presId="urn:microsoft.com/office/officeart/2005/8/layout/lProcess2"/>
    <dgm:cxn modelId="{7C823F72-4E50-0845-8C01-F985D8175398}" type="presParOf" srcId="{57EC688F-6785-F04B-BEDF-E24D70F23516}" destId="{96CD82AE-992D-3947-8262-4417D9FEF3E7}" srcOrd="2" destOrd="0" presId="urn:microsoft.com/office/officeart/2005/8/layout/lProcess2"/>
    <dgm:cxn modelId="{B648D947-F38E-6343-BA1F-D7A94D95C59E}" type="presParOf" srcId="{57EC688F-6785-F04B-BEDF-E24D70F23516}" destId="{74085670-0E7C-E84A-BC01-F94B45AD82C6}" srcOrd="3" destOrd="0" presId="urn:microsoft.com/office/officeart/2005/8/layout/lProcess2"/>
    <dgm:cxn modelId="{1319AD58-089E-704E-8840-6CB30B5C0BE1}" type="presParOf" srcId="{57EC688F-6785-F04B-BEDF-E24D70F23516}" destId="{4BA95794-291B-764F-B1FC-98C03D6709DC}" srcOrd="4" destOrd="0" presId="urn:microsoft.com/office/officeart/2005/8/layout/lProcess2"/>
    <dgm:cxn modelId="{427F272B-FB16-1E46-A44C-D83194B47BCC}" type="presParOf" srcId="{57EC688F-6785-F04B-BEDF-E24D70F23516}" destId="{07638C25-BD4D-6145-A38D-107AD9729430}" srcOrd="5" destOrd="0" presId="urn:microsoft.com/office/officeart/2005/8/layout/lProcess2"/>
    <dgm:cxn modelId="{69800483-8D2D-0B4C-82DE-72B41093A5A2}" type="presParOf" srcId="{57EC688F-6785-F04B-BEDF-E24D70F23516}" destId="{32CA203B-3C44-AE4C-B651-6D826772125C}" srcOrd="6" destOrd="0" presId="urn:microsoft.com/office/officeart/2005/8/layout/lProcess2"/>
    <dgm:cxn modelId="{A7B817E6-0FFE-FE41-AA0F-3A4CAA8BD01F}" type="presParOf" srcId="{57EC688F-6785-F04B-BEDF-E24D70F23516}" destId="{18B08D04-D475-524B-83A6-9909D67796F1}" srcOrd="7" destOrd="0" presId="urn:microsoft.com/office/officeart/2005/8/layout/lProcess2"/>
    <dgm:cxn modelId="{8708BCAE-B7B1-364E-AA16-7EE4BC4379C3}" type="presParOf" srcId="{57EC688F-6785-F04B-BEDF-E24D70F23516}" destId="{195B82F8-283A-6047-8170-5099F352AB57}" srcOrd="8" destOrd="0" presId="urn:microsoft.com/office/officeart/2005/8/layout/lProcess2"/>
    <dgm:cxn modelId="{652B1C16-821F-E14A-8B30-4E6275904BC6}" type="presParOf" srcId="{57EC688F-6785-F04B-BEDF-E24D70F23516}" destId="{DAF0F2BE-FC27-674F-A9E3-3C8FF9BDAA3B}" srcOrd="9" destOrd="0" presId="urn:microsoft.com/office/officeart/2005/8/layout/lProcess2"/>
    <dgm:cxn modelId="{CCFEEE15-E5D6-3645-B356-60C178572D55}" type="presParOf" srcId="{57EC688F-6785-F04B-BEDF-E24D70F23516}" destId="{798AF009-A6B8-6C40-958A-BF93369E24AE}" srcOrd="10" destOrd="0" presId="urn:microsoft.com/office/officeart/2005/8/layout/lProcess2"/>
    <dgm:cxn modelId="{B8059F67-913C-BF4F-9AB9-5531ADE8AB78}" type="presParOf" srcId="{57EC688F-6785-F04B-BEDF-E24D70F23516}" destId="{5D5C2230-3C60-D84E-91E7-909A7E00E4EC}" srcOrd="11" destOrd="0" presId="urn:microsoft.com/office/officeart/2005/8/layout/lProcess2"/>
    <dgm:cxn modelId="{B8F8412D-18B7-C44B-8CEE-F0D268FA8599}" type="presParOf" srcId="{57EC688F-6785-F04B-BEDF-E24D70F23516}" destId="{71016C39-532D-F146-92EB-62BBC8EA1748}" srcOrd="12" destOrd="0" presId="urn:microsoft.com/office/officeart/2005/8/layout/lProcess2"/>
    <dgm:cxn modelId="{376FFC83-5773-7F4A-9757-7C160B72D977}" type="presParOf" srcId="{57EC688F-6785-F04B-BEDF-E24D70F23516}" destId="{C5B23D86-75B0-B943-B622-A348D988DF3D}" srcOrd="13" destOrd="0" presId="urn:microsoft.com/office/officeart/2005/8/layout/lProcess2"/>
    <dgm:cxn modelId="{24688007-8D3F-9141-9EA3-442FC6ABB248}" type="presParOf" srcId="{57EC688F-6785-F04B-BEDF-E24D70F23516}" destId="{27FE7C0C-F60B-5247-8498-485A4D22C7D7}" srcOrd="14" destOrd="0" presId="urn:microsoft.com/office/officeart/2005/8/layout/lProcess2"/>
    <dgm:cxn modelId="{BD439AFD-993F-6747-9634-B7121D283DFC}" type="presParOf" srcId="{57EC688F-6785-F04B-BEDF-E24D70F23516}" destId="{05AF74D8-8988-9C4C-A135-9FC12D35A104}" srcOrd="15" destOrd="0" presId="urn:microsoft.com/office/officeart/2005/8/layout/lProcess2"/>
    <dgm:cxn modelId="{C2E61FE8-477E-F14F-A26F-947257BD7A6A}" type="presParOf" srcId="{57EC688F-6785-F04B-BEDF-E24D70F23516}" destId="{9E86A4A7-A004-E146-BC8E-0FDBBA863DBB}" srcOrd="16" destOrd="0" presId="urn:microsoft.com/office/officeart/2005/8/layout/lProcess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DB4E67-38C0-3D4C-AEEE-D6F7395F8E49}">
      <dsp:nvSpPr>
        <dsp:cNvPr id="0" name=""/>
        <dsp:cNvSpPr/>
      </dsp:nvSpPr>
      <dsp:spPr>
        <a:xfrm>
          <a:off x="2702" y="0"/>
          <a:ext cx="2599823" cy="315023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ES" sz="2000" kern="1200"/>
            <a:t>Most beneficial content</a:t>
          </a:r>
        </a:p>
      </dsp:txBody>
      <dsp:txXfrm>
        <a:off x="2702" y="0"/>
        <a:ext cx="2599823" cy="945070"/>
      </dsp:txXfrm>
    </dsp:sp>
    <dsp:sp modelId="{7242C3D6-37D2-EE4F-A6C1-61B2F57BA8CE}">
      <dsp:nvSpPr>
        <dsp:cNvPr id="0" name=""/>
        <dsp:cNvSpPr/>
      </dsp:nvSpPr>
      <dsp:spPr>
        <a:xfrm>
          <a:off x="222408" y="945877"/>
          <a:ext cx="2160412" cy="3903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The descriptors (with some evaluators specifying the importance to understand descriptors to align tests)</a:t>
          </a:r>
        </a:p>
      </dsp:txBody>
      <dsp:txXfrm>
        <a:off x="233841" y="957310"/>
        <a:ext cx="2137546" cy="367502"/>
      </dsp:txXfrm>
    </dsp:sp>
    <dsp:sp modelId="{B3D8D7AA-D4A5-BF4F-BFCD-AA70A0A21F1B}">
      <dsp:nvSpPr>
        <dsp:cNvPr id="0" name=""/>
        <dsp:cNvSpPr/>
      </dsp:nvSpPr>
      <dsp:spPr>
        <a:xfrm>
          <a:off x="213350" y="1374623"/>
          <a:ext cx="2178527" cy="36402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The hands-on sessions in which some real exams were evaluated</a:t>
          </a:r>
        </a:p>
      </dsp:txBody>
      <dsp:txXfrm>
        <a:off x="224012" y="1385285"/>
        <a:ext cx="2157203" cy="342697"/>
      </dsp:txXfrm>
    </dsp:sp>
    <dsp:sp modelId="{556042A6-E50C-794C-BA59-892E5DDC25E6}">
      <dsp:nvSpPr>
        <dsp:cNvPr id="0" name=""/>
        <dsp:cNvSpPr/>
      </dsp:nvSpPr>
      <dsp:spPr>
        <a:xfrm>
          <a:off x="222408" y="1777023"/>
          <a:ext cx="2160412" cy="35138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The focus on rubrics and test design</a:t>
          </a:r>
        </a:p>
      </dsp:txBody>
      <dsp:txXfrm>
        <a:off x="232700" y="1787315"/>
        <a:ext cx="2139828" cy="330802"/>
      </dsp:txXfrm>
    </dsp:sp>
    <dsp:sp modelId="{4B7447F9-9C3F-CD47-BE6A-EC10F86BDDA0}">
      <dsp:nvSpPr>
        <dsp:cNvPr id="0" name=""/>
        <dsp:cNvSpPr/>
      </dsp:nvSpPr>
      <dsp:spPr>
        <a:xfrm>
          <a:off x="213350" y="2166787"/>
          <a:ext cx="2178527" cy="2494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The understanding of what evaluation entails</a:t>
          </a:r>
        </a:p>
      </dsp:txBody>
      <dsp:txXfrm>
        <a:off x="220656" y="2174093"/>
        <a:ext cx="2163915" cy="234845"/>
      </dsp:txXfrm>
    </dsp:sp>
    <dsp:sp modelId="{95979B67-52D9-2940-B5A0-611CCF356394}">
      <dsp:nvSpPr>
        <dsp:cNvPr id="0" name=""/>
        <dsp:cNvSpPr/>
      </dsp:nvSpPr>
      <dsp:spPr>
        <a:xfrm>
          <a:off x="222408" y="2454623"/>
          <a:ext cx="2160412" cy="2494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The specification of communicative language activiti</a:t>
          </a:r>
          <a:r>
            <a:rPr lang="es-ES" sz="700" kern="1200"/>
            <a:t>es</a:t>
          </a:r>
        </a:p>
      </dsp:txBody>
      <dsp:txXfrm>
        <a:off x="229714" y="2461929"/>
        <a:ext cx="2145800" cy="234845"/>
      </dsp:txXfrm>
    </dsp:sp>
    <dsp:sp modelId="{724C8296-B7A2-1749-B6B5-519060361AA0}">
      <dsp:nvSpPr>
        <dsp:cNvPr id="0" name=""/>
        <dsp:cNvSpPr/>
      </dsp:nvSpPr>
      <dsp:spPr>
        <a:xfrm>
          <a:off x="213350" y="2742459"/>
          <a:ext cx="2178527" cy="2494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Item design</a:t>
          </a:r>
        </a:p>
      </dsp:txBody>
      <dsp:txXfrm>
        <a:off x="220656" y="2749765"/>
        <a:ext cx="2163915" cy="234845"/>
      </dsp:txXfrm>
    </dsp:sp>
    <dsp:sp modelId="{1694E06C-EC52-A545-ACCB-695A46E7DA92}">
      <dsp:nvSpPr>
        <dsp:cNvPr id="0" name=""/>
        <dsp:cNvSpPr/>
      </dsp:nvSpPr>
      <dsp:spPr>
        <a:xfrm>
          <a:off x="2797513" y="0"/>
          <a:ext cx="2599823" cy="315023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ES" sz="2000" kern="1200"/>
            <a:t>Missing aspects</a:t>
          </a:r>
        </a:p>
      </dsp:txBody>
      <dsp:txXfrm>
        <a:off x="2797513" y="0"/>
        <a:ext cx="2599823" cy="945070"/>
      </dsp:txXfrm>
    </dsp:sp>
    <dsp:sp modelId="{DDF0DEC9-4B5E-2842-858B-865699BE9440}">
      <dsp:nvSpPr>
        <dsp:cNvPr id="0" name=""/>
        <dsp:cNvSpPr/>
      </dsp:nvSpPr>
      <dsp:spPr>
        <a:xfrm>
          <a:off x="3075611" y="945993"/>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More practice</a:t>
          </a:r>
        </a:p>
      </dsp:txBody>
      <dsp:txXfrm>
        <a:off x="3081468" y="951850"/>
        <a:ext cx="2068145" cy="188252"/>
      </dsp:txXfrm>
    </dsp:sp>
    <dsp:sp modelId="{96CD82AE-992D-3947-8262-4417D9FEF3E7}">
      <dsp:nvSpPr>
        <dsp:cNvPr id="0" name=""/>
        <dsp:cNvSpPr/>
      </dsp:nvSpPr>
      <dsp:spPr>
        <a:xfrm>
          <a:off x="3057495" y="1176723"/>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More concrete descriptors to evaluate better</a:t>
          </a:r>
        </a:p>
      </dsp:txBody>
      <dsp:txXfrm>
        <a:off x="3063352" y="1182580"/>
        <a:ext cx="2068145" cy="188252"/>
      </dsp:txXfrm>
    </dsp:sp>
    <dsp:sp modelId="{4BA95794-291B-764F-B1FC-98C03D6709DC}">
      <dsp:nvSpPr>
        <dsp:cNvPr id="0" name=""/>
        <dsp:cNvSpPr/>
      </dsp:nvSpPr>
      <dsp:spPr>
        <a:xfrm>
          <a:off x="3057495" y="1407453"/>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Consensus on what a level represents</a:t>
          </a:r>
        </a:p>
      </dsp:txBody>
      <dsp:txXfrm>
        <a:off x="3063352" y="1413310"/>
        <a:ext cx="2068145" cy="188252"/>
      </dsp:txXfrm>
    </dsp:sp>
    <dsp:sp modelId="{32CA203B-3C44-AE4C-B651-6D826772125C}">
      <dsp:nvSpPr>
        <dsp:cNvPr id="0" name=""/>
        <dsp:cNvSpPr/>
      </dsp:nvSpPr>
      <dsp:spPr>
        <a:xfrm>
          <a:off x="3057495" y="1638183"/>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Training on the companion Volume</a:t>
          </a:r>
        </a:p>
      </dsp:txBody>
      <dsp:txXfrm>
        <a:off x="3063352" y="1644040"/>
        <a:ext cx="2068145" cy="188252"/>
      </dsp:txXfrm>
    </dsp:sp>
    <dsp:sp modelId="{195B82F8-283A-6047-8170-5099F352AB57}">
      <dsp:nvSpPr>
        <dsp:cNvPr id="0" name=""/>
        <dsp:cNvSpPr/>
      </dsp:nvSpPr>
      <dsp:spPr>
        <a:xfrm>
          <a:off x="3057495" y="1868913"/>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Evaluation of mediation</a:t>
          </a:r>
        </a:p>
      </dsp:txBody>
      <dsp:txXfrm>
        <a:off x="3063352" y="1874770"/>
        <a:ext cx="2068145" cy="188252"/>
      </dsp:txXfrm>
    </dsp:sp>
    <dsp:sp modelId="{798AF009-A6B8-6C40-958A-BF93369E24AE}">
      <dsp:nvSpPr>
        <dsp:cNvPr id="0" name=""/>
        <dsp:cNvSpPr/>
      </dsp:nvSpPr>
      <dsp:spPr>
        <a:xfrm>
          <a:off x="3057495" y="2099643"/>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Text-mapping</a:t>
          </a:r>
        </a:p>
      </dsp:txBody>
      <dsp:txXfrm>
        <a:off x="3063352" y="2105500"/>
        <a:ext cx="2068145" cy="188252"/>
      </dsp:txXfrm>
    </dsp:sp>
    <dsp:sp modelId="{71016C39-532D-F146-92EB-62BBC8EA1748}">
      <dsp:nvSpPr>
        <dsp:cNvPr id="0" name=""/>
        <dsp:cNvSpPr/>
      </dsp:nvSpPr>
      <dsp:spPr>
        <a:xfrm>
          <a:off x="3057495" y="2330374"/>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Evaluation of students from different L1s</a:t>
          </a:r>
        </a:p>
      </dsp:txBody>
      <dsp:txXfrm>
        <a:off x="3063352" y="2336231"/>
        <a:ext cx="2068145" cy="188252"/>
      </dsp:txXfrm>
    </dsp:sp>
    <dsp:sp modelId="{27FE7C0C-F60B-5247-8498-485A4D22C7D7}">
      <dsp:nvSpPr>
        <dsp:cNvPr id="0" name=""/>
        <dsp:cNvSpPr/>
      </dsp:nvSpPr>
      <dsp:spPr>
        <a:xfrm>
          <a:off x="3057495" y="2561104"/>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More specific applications of the CEFR</a:t>
          </a:r>
        </a:p>
      </dsp:txBody>
      <dsp:txXfrm>
        <a:off x="3063352" y="2566961"/>
        <a:ext cx="2068145" cy="188252"/>
      </dsp:txXfrm>
    </dsp:sp>
    <dsp:sp modelId="{9E86A4A7-A004-E146-BC8E-0FDBBA863DBB}">
      <dsp:nvSpPr>
        <dsp:cNvPr id="0" name=""/>
        <dsp:cNvSpPr/>
      </dsp:nvSpPr>
      <dsp:spPr>
        <a:xfrm>
          <a:off x="3057495" y="2791834"/>
          <a:ext cx="2079859" cy="1999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More training opportunities</a:t>
          </a:r>
        </a:p>
      </dsp:txBody>
      <dsp:txXfrm>
        <a:off x="3063352" y="2797691"/>
        <a:ext cx="2068145" cy="188252"/>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F01894-3F70-4645-AF06-1029407620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9562</Words>
  <Characters>52596</Characters>
  <Application>Microsoft Office Word</Application>
  <DocSecurity>0</DocSecurity>
  <Lines>438</Lines>
  <Paragraphs>124</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62034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UJA</dc:creator>
  <cp:keywords/>
  <dc:description/>
  <cp:lastModifiedBy>Gloria Luque</cp:lastModifiedBy>
  <cp:revision>2</cp:revision>
  <dcterms:created xsi:type="dcterms:W3CDTF">2024-01-25T06:50:00Z</dcterms:created>
  <dcterms:modified xsi:type="dcterms:W3CDTF">2024-01-25T06:50:00Z</dcterms:modified>
</cp:coreProperties>
</file>