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BC7C85" w14:textId="77777777" w:rsidR="00D50C96" w:rsidRDefault="00D50C96" w:rsidP="00D50C96">
      <w:pPr>
        <w:jc w:val="center"/>
        <w:rPr>
          <w:b/>
          <w:bCs/>
          <w:sz w:val="32"/>
          <w:szCs w:val="24"/>
        </w:rPr>
      </w:pPr>
      <w:bookmarkStart w:id="0" w:name="_Toc398824192"/>
      <w:bookmarkStart w:id="1" w:name="_Toc400017039"/>
      <w:bookmarkStart w:id="2" w:name="_Toc400644267"/>
      <w:bookmarkStart w:id="3" w:name="_Toc401009623"/>
      <w:bookmarkStart w:id="4" w:name="_Toc462935753"/>
    </w:p>
    <w:p w14:paraId="11CFFCE0" w14:textId="77777777" w:rsidR="00D50C96" w:rsidRDefault="00D50C96" w:rsidP="00D50C96">
      <w:pPr>
        <w:jc w:val="center"/>
        <w:rPr>
          <w:b/>
          <w:bCs/>
          <w:sz w:val="32"/>
          <w:szCs w:val="24"/>
        </w:rPr>
      </w:pPr>
    </w:p>
    <w:p w14:paraId="3284D170" w14:textId="77777777" w:rsidR="00D50C96" w:rsidRDefault="00D50C96" w:rsidP="00D50C96">
      <w:pPr>
        <w:jc w:val="center"/>
        <w:rPr>
          <w:b/>
          <w:bCs/>
          <w:sz w:val="32"/>
          <w:szCs w:val="24"/>
        </w:rPr>
      </w:pPr>
    </w:p>
    <w:p w14:paraId="1771A247" w14:textId="77777777" w:rsidR="00D50C96" w:rsidRDefault="00D50C96" w:rsidP="00D50C96">
      <w:pPr>
        <w:jc w:val="center"/>
        <w:rPr>
          <w:b/>
          <w:bCs/>
          <w:sz w:val="32"/>
          <w:szCs w:val="24"/>
        </w:rPr>
      </w:pPr>
    </w:p>
    <w:p w14:paraId="3A13966D" w14:textId="06C039AF" w:rsidR="00D50C96" w:rsidRPr="002D7C42" w:rsidRDefault="00D50C96" w:rsidP="00D50C96">
      <w:pPr>
        <w:jc w:val="center"/>
        <w:rPr>
          <w:b/>
          <w:bCs/>
          <w:sz w:val="32"/>
          <w:szCs w:val="24"/>
        </w:rPr>
      </w:pPr>
      <w:r w:rsidRPr="002D7C42">
        <w:rPr>
          <w:b/>
          <w:bCs/>
          <w:sz w:val="32"/>
          <w:szCs w:val="24"/>
        </w:rPr>
        <w:t>TESIS DOCTORAL</w:t>
      </w:r>
    </w:p>
    <w:p w14:paraId="1C7EAC51" w14:textId="77777777" w:rsidR="00D50C96" w:rsidRPr="002D7C42" w:rsidRDefault="00D50C96" w:rsidP="00D50C96">
      <w:pPr>
        <w:jc w:val="center"/>
        <w:rPr>
          <w:b/>
          <w:bCs/>
          <w:sz w:val="32"/>
          <w:szCs w:val="24"/>
        </w:rPr>
      </w:pPr>
    </w:p>
    <w:p w14:paraId="42A5554D" w14:textId="77777777" w:rsidR="00D50C96" w:rsidRDefault="00D50C96" w:rsidP="00D50C96">
      <w:pPr>
        <w:jc w:val="center"/>
        <w:rPr>
          <w:b/>
          <w:bCs/>
          <w:sz w:val="32"/>
          <w:szCs w:val="24"/>
        </w:rPr>
      </w:pPr>
      <w:r w:rsidRPr="00DC3F1C">
        <w:rPr>
          <w:b/>
          <w:bCs/>
          <w:sz w:val="32"/>
          <w:szCs w:val="24"/>
        </w:rPr>
        <w:t xml:space="preserve">EL RECURSO DE AMPARO TRAS MÁS DE UNA DÉCADA DE SU REFORMA. </w:t>
      </w:r>
    </w:p>
    <w:p w14:paraId="5BC63573" w14:textId="77777777" w:rsidR="00D50C96" w:rsidRPr="002D7C42" w:rsidRDefault="00D50C96" w:rsidP="00D50C96">
      <w:pPr>
        <w:jc w:val="center"/>
        <w:rPr>
          <w:b/>
          <w:bCs/>
          <w:sz w:val="32"/>
          <w:szCs w:val="24"/>
        </w:rPr>
      </w:pPr>
      <w:r w:rsidRPr="00DC3F1C">
        <w:rPr>
          <w:b/>
          <w:bCs/>
          <w:sz w:val="32"/>
          <w:szCs w:val="24"/>
        </w:rPr>
        <w:t>PROBLEMAS ABIERTOS Y CONFIGURACIÓN</w:t>
      </w:r>
    </w:p>
    <w:p w14:paraId="5DFD6BBF" w14:textId="77777777" w:rsidR="00D50C96" w:rsidRPr="002D7C42" w:rsidRDefault="00D50C96" w:rsidP="00D50C96"/>
    <w:p w14:paraId="5E1B5899" w14:textId="77777777" w:rsidR="00D50C96" w:rsidRPr="002D7C42" w:rsidRDefault="00D50C96" w:rsidP="00D50C96"/>
    <w:p w14:paraId="5A22DA18" w14:textId="77777777" w:rsidR="00D50C96" w:rsidRPr="002D7C42" w:rsidRDefault="00D50C96" w:rsidP="00D50C96"/>
    <w:p w14:paraId="0615B5DF" w14:textId="77777777" w:rsidR="00D50C96" w:rsidRPr="002D7C42" w:rsidRDefault="00D50C96" w:rsidP="00D50C96"/>
    <w:p w14:paraId="09EED5C0" w14:textId="77777777" w:rsidR="00D50C96" w:rsidRPr="002D7C42" w:rsidRDefault="00D50C96" w:rsidP="00D50C96"/>
    <w:p w14:paraId="2A8AE0E5" w14:textId="77777777" w:rsidR="00D50C96" w:rsidRPr="002D7C42" w:rsidRDefault="00D50C96" w:rsidP="00D50C96">
      <w:pPr>
        <w:jc w:val="right"/>
      </w:pPr>
      <w:r w:rsidRPr="002D7C42">
        <w:t>AUTORA:</w:t>
      </w:r>
    </w:p>
    <w:p w14:paraId="2CE2893C" w14:textId="2354551F" w:rsidR="00D50C96" w:rsidRDefault="00D50C96" w:rsidP="00D50C96">
      <w:pPr>
        <w:jc w:val="right"/>
      </w:pPr>
      <w:r w:rsidRPr="002D7C42">
        <w:t>ANA LÓPEZ NAVÍO</w:t>
      </w:r>
    </w:p>
    <w:p w14:paraId="75524C18" w14:textId="77777777" w:rsidR="00D50C96" w:rsidRPr="002D7C42" w:rsidRDefault="00D50C96" w:rsidP="00D50C96">
      <w:pPr>
        <w:jc w:val="right"/>
      </w:pPr>
    </w:p>
    <w:p w14:paraId="09B786B0" w14:textId="77777777" w:rsidR="00D50C96" w:rsidRPr="002D7C42" w:rsidRDefault="00D50C96" w:rsidP="00D50C96">
      <w:pPr>
        <w:jc w:val="right"/>
      </w:pPr>
    </w:p>
    <w:p w14:paraId="60B6B0C7" w14:textId="77777777" w:rsidR="00D50C96" w:rsidRPr="002D7C42" w:rsidRDefault="00D50C96" w:rsidP="00D50C96">
      <w:pPr>
        <w:jc w:val="right"/>
      </w:pPr>
      <w:r w:rsidRPr="002D7C42">
        <w:t>DIRECTORES:</w:t>
      </w:r>
    </w:p>
    <w:p w14:paraId="5BA8ADE3" w14:textId="77777777" w:rsidR="00D50C96" w:rsidRPr="002D7C42" w:rsidRDefault="00D50C96" w:rsidP="00D50C96">
      <w:pPr>
        <w:jc w:val="right"/>
      </w:pPr>
      <w:r w:rsidRPr="002D7C42">
        <w:t>JORGE LOZANO MIRALLES</w:t>
      </w:r>
    </w:p>
    <w:p w14:paraId="7123D75F" w14:textId="77777777" w:rsidR="00D50C96" w:rsidRPr="002D7C42" w:rsidRDefault="00D50C96" w:rsidP="00D50C96">
      <w:pPr>
        <w:jc w:val="right"/>
      </w:pPr>
      <w:r w:rsidRPr="002D7C42">
        <w:t>MARÍA JOSÉ CARAZO LIÉBANA</w:t>
      </w:r>
    </w:p>
    <w:p w14:paraId="070A45A9" w14:textId="77777777" w:rsidR="00D50C96" w:rsidRPr="002D7C42" w:rsidRDefault="00D50C96" w:rsidP="00D50C96"/>
    <w:p w14:paraId="301F1879" w14:textId="01736514" w:rsidR="00D50C96" w:rsidRDefault="00D50C96" w:rsidP="00D50C96"/>
    <w:p w14:paraId="42F952F5" w14:textId="77777777" w:rsidR="00D50C96" w:rsidRPr="002D7C42" w:rsidRDefault="00D50C96" w:rsidP="00D50C96"/>
    <w:p w14:paraId="33FA96A6" w14:textId="77777777" w:rsidR="00D50C96" w:rsidRPr="002D7C42" w:rsidRDefault="00D50C96" w:rsidP="00D50C96"/>
    <w:p w14:paraId="21C21A9F" w14:textId="77777777" w:rsidR="00D50C96" w:rsidRDefault="00D50C96" w:rsidP="00D50C96">
      <w:pPr>
        <w:jc w:val="center"/>
      </w:pPr>
      <w:r>
        <w:t>DEPARTAMENTO DE DERECHO PÚBLICO</w:t>
      </w:r>
    </w:p>
    <w:p w14:paraId="48297C59" w14:textId="77777777" w:rsidR="00D50C96" w:rsidRDefault="00D50C96" w:rsidP="00D50C96">
      <w:pPr>
        <w:jc w:val="center"/>
      </w:pPr>
    </w:p>
    <w:p w14:paraId="64F9D47A" w14:textId="643108BF" w:rsidR="007E4414" w:rsidRDefault="00D50C96" w:rsidP="00D50C96">
      <w:pPr>
        <w:jc w:val="center"/>
        <w:rPr>
          <w:caps/>
        </w:rPr>
      </w:pPr>
      <w:r w:rsidRPr="002D7C42">
        <w:t>JAÉN, 2020</w:t>
      </w:r>
      <w:r>
        <w:br w:type="page"/>
      </w:r>
    </w:p>
    <w:p w14:paraId="5C151309" w14:textId="6AC198D2" w:rsidR="007E4414" w:rsidRDefault="007E4414" w:rsidP="007E4414">
      <w:r>
        <w:lastRenderedPageBreak/>
        <w:br w:type="page"/>
      </w:r>
    </w:p>
    <w:p w14:paraId="3DFCD9D7" w14:textId="77777777" w:rsidR="00FB1B70" w:rsidRDefault="00FB1B70" w:rsidP="00FB1B70">
      <w:pPr>
        <w:jc w:val="right"/>
        <w:rPr>
          <w:i/>
          <w:iCs/>
        </w:rPr>
      </w:pPr>
    </w:p>
    <w:p w14:paraId="1BCCBCE5" w14:textId="77777777" w:rsidR="00FB1B70" w:rsidRDefault="00FB1B70" w:rsidP="00FB1B70">
      <w:pPr>
        <w:jc w:val="right"/>
        <w:rPr>
          <w:i/>
          <w:iCs/>
        </w:rPr>
      </w:pPr>
    </w:p>
    <w:p w14:paraId="32E8E64E" w14:textId="77777777" w:rsidR="00FB1B70" w:rsidRDefault="00FB1B70" w:rsidP="00FB1B70">
      <w:pPr>
        <w:jc w:val="right"/>
        <w:rPr>
          <w:i/>
          <w:iCs/>
        </w:rPr>
      </w:pPr>
    </w:p>
    <w:p w14:paraId="0630DA0C" w14:textId="77777777" w:rsidR="00FB1B70" w:rsidRDefault="00FB1B70" w:rsidP="00FB1B70">
      <w:pPr>
        <w:jc w:val="right"/>
        <w:rPr>
          <w:i/>
          <w:iCs/>
        </w:rPr>
      </w:pPr>
    </w:p>
    <w:p w14:paraId="2ADC71DD" w14:textId="77777777" w:rsidR="00FB1B70" w:rsidRDefault="00FB1B70" w:rsidP="00FB1B70">
      <w:pPr>
        <w:jc w:val="right"/>
        <w:rPr>
          <w:i/>
          <w:iCs/>
        </w:rPr>
      </w:pPr>
    </w:p>
    <w:p w14:paraId="4B6120D1" w14:textId="77777777" w:rsidR="00FB1B70" w:rsidRDefault="00FB1B70" w:rsidP="00FB1B70">
      <w:pPr>
        <w:jc w:val="right"/>
        <w:rPr>
          <w:i/>
          <w:iCs/>
        </w:rPr>
      </w:pPr>
    </w:p>
    <w:p w14:paraId="1B30F7C5" w14:textId="77777777" w:rsidR="00FB1B70" w:rsidRDefault="00FB1B70" w:rsidP="00FB1B70">
      <w:pPr>
        <w:jc w:val="right"/>
        <w:rPr>
          <w:i/>
          <w:iCs/>
        </w:rPr>
      </w:pPr>
    </w:p>
    <w:p w14:paraId="2720F54F" w14:textId="77777777" w:rsidR="00FB1B70" w:rsidRDefault="00FB1B70" w:rsidP="00FB1B70">
      <w:pPr>
        <w:jc w:val="right"/>
        <w:rPr>
          <w:i/>
          <w:iCs/>
        </w:rPr>
      </w:pPr>
    </w:p>
    <w:p w14:paraId="192FAED6" w14:textId="77777777" w:rsidR="00FB1B70" w:rsidRDefault="00FB1B70" w:rsidP="00FB1B70">
      <w:pPr>
        <w:jc w:val="right"/>
        <w:rPr>
          <w:i/>
          <w:iCs/>
        </w:rPr>
      </w:pPr>
    </w:p>
    <w:p w14:paraId="7DB783CF" w14:textId="65038AA9" w:rsidR="00FB1B70" w:rsidRDefault="00FB1B70" w:rsidP="00FB1B70">
      <w:pPr>
        <w:jc w:val="right"/>
        <w:rPr>
          <w:i/>
          <w:iCs/>
        </w:rPr>
      </w:pPr>
      <w:r>
        <w:rPr>
          <w:i/>
          <w:iCs/>
        </w:rPr>
        <w:t>A mis padres, Antonio y Ana, por su esfuerzo, cariño y aliento. Gracias por apoyarme en cada paso que doy.  Sois mi ejemplo a seguir. Sin vosotros, jamás habría llegado hasta aquí.</w:t>
      </w:r>
    </w:p>
    <w:p w14:paraId="04489C41" w14:textId="77777777" w:rsidR="00FB1B70" w:rsidRDefault="00FB1B70" w:rsidP="00FB1B70">
      <w:pPr>
        <w:jc w:val="right"/>
        <w:rPr>
          <w:i/>
          <w:iCs/>
        </w:rPr>
      </w:pPr>
      <w:r>
        <w:rPr>
          <w:i/>
          <w:iCs/>
        </w:rPr>
        <w:t>A mi hermano, Valentín, por estar ahí siempre, animarme y sacarme una sonrisa en todo momento.</w:t>
      </w:r>
    </w:p>
    <w:p w14:paraId="709F2D6C" w14:textId="77777777" w:rsidR="00FB1B70" w:rsidRDefault="00FB1B70" w:rsidP="00FB1B70">
      <w:pPr>
        <w:jc w:val="right"/>
        <w:rPr>
          <w:i/>
          <w:iCs/>
        </w:rPr>
      </w:pPr>
      <w:r>
        <w:rPr>
          <w:i/>
          <w:iCs/>
        </w:rPr>
        <w:t xml:space="preserve"> A Juan Carlos, mi compañero de vida, por haber recorrido junto a mí este largo camino. Gracias por creer siempre en mí. </w:t>
      </w:r>
    </w:p>
    <w:p w14:paraId="259E70D6" w14:textId="79F330EA" w:rsidR="00FB1B70" w:rsidRDefault="00FB1B70" w:rsidP="00FB1B70">
      <w:pPr>
        <w:jc w:val="right"/>
        <w:rPr>
          <w:i/>
          <w:iCs/>
        </w:rPr>
      </w:pPr>
      <w:r>
        <w:rPr>
          <w:i/>
          <w:iCs/>
        </w:rPr>
        <w:t>Y a quienes hicieron posible esta tesis, mis directores Jorge Lozano y María José Carazo, por sus enseñanzas, su paciencia y su buen hacer.</w:t>
      </w:r>
    </w:p>
    <w:p w14:paraId="1870B1A8" w14:textId="4A5B8B19" w:rsidR="007E4414" w:rsidRDefault="00FB1B70" w:rsidP="00FB1B70">
      <w:pPr>
        <w:jc w:val="right"/>
      </w:pPr>
      <w:r>
        <w:rPr>
          <w:i/>
          <w:iCs/>
        </w:rPr>
        <w:t>Gracias</w:t>
      </w:r>
    </w:p>
    <w:p w14:paraId="68E289D7" w14:textId="7F8F0AA8" w:rsidR="007E4414" w:rsidRDefault="007E4414" w:rsidP="00FB1B70">
      <w:pPr>
        <w:jc w:val="right"/>
      </w:pPr>
      <w:r>
        <w:br w:type="page"/>
      </w:r>
    </w:p>
    <w:p w14:paraId="2D98D933" w14:textId="474BD59E" w:rsidR="007E4414" w:rsidRDefault="007E4414" w:rsidP="004772C8">
      <w:pPr>
        <w:pStyle w:val="Ttulo1"/>
        <w:jc w:val="center"/>
      </w:pPr>
      <w:bookmarkStart w:id="5" w:name="_Toc49866467"/>
      <w:bookmarkStart w:id="6" w:name="_Toc50373127"/>
      <w:r w:rsidRPr="00BB0340">
        <w:lastRenderedPageBreak/>
        <w:t>ABREVIATURAS</w:t>
      </w:r>
      <w:bookmarkEnd w:id="5"/>
      <w:bookmarkEnd w:id="6"/>
    </w:p>
    <w:p w14:paraId="434EDD5F" w14:textId="77777777" w:rsidR="00BB0340" w:rsidRPr="00BB0340" w:rsidRDefault="00BB0340" w:rsidP="00BB0340"/>
    <w:p w14:paraId="47B65E18" w14:textId="33EE4507" w:rsidR="00BB0340" w:rsidRDefault="00BB0340" w:rsidP="00BB0340">
      <w:pPr>
        <w:spacing w:after="240"/>
      </w:pPr>
      <w:r>
        <w:t xml:space="preserve">art. – </w:t>
      </w:r>
      <w:r w:rsidR="004B058B">
        <w:t>arts.:</w:t>
      </w:r>
      <w:r>
        <w:t xml:space="preserve"> Artículo - artículos</w:t>
      </w:r>
    </w:p>
    <w:p w14:paraId="3A44A61F" w14:textId="77777777" w:rsidR="00BB0340" w:rsidRDefault="00BB0340" w:rsidP="00BB0340">
      <w:pPr>
        <w:spacing w:after="240"/>
      </w:pPr>
      <w:r>
        <w:t>ATC: Auto del Tribunal Constitucional</w:t>
      </w:r>
    </w:p>
    <w:p w14:paraId="76A5C036" w14:textId="77777777" w:rsidR="00BB0340" w:rsidRDefault="00BB0340" w:rsidP="00BB0340">
      <w:pPr>
        <w:spacing w:after="240"/>
      </w:pPr>
      <w:r>
        <w:t>BOE: Boletín Oficial del Estado</w:t>
      </w:r>
    </w:p>
    <w:p w14:paraId="4FCBC65C" w14:textId="77777777" w:rsidR="00BB0340" w:rsidRDefault="00BB0340" w:rsidP="00BB0340">
      <w:pPr>
        <w:spacing w:after="240"/>
      </w:pPr>
      <w:r>
        <w:t>CE: Constitución Española de 1978</w:t>
      </w:r>
    </w:p>
    <w:p w14:paraId="5785A33E" w14:textId="5AA940D8" w:rsidR="00BB0340" w:rsidRDefault="004B058B" w:rsidP="00BB0340">
      <w:pPr>
        <w:spacing w:after="240"/>
      </w:pPr>
      <w:r>
        <w:t>Coord.:</w:t>
      </w:r>
      <w:r w:rsidR="00BB0340">
        <w:t xml:space="preserve"> Coordinador</w:t>
      </w:r>
    </w:p>
    <w:p w14:paraId="3CD469F9" w14:textId="314C9AF5" w:rsidR="00BB0340" w:rsidRDefault="004B058B" w:rsidP="00BB0340">
      <w:pPr>
        <w:spacing w:after="240"/>
      </w:pPr>
      <w:r>
        <w:t>Dir.:</w:t>
      </w:r>
      <w:r w:rsidR="00BB0340">
        <w:t xml:space="preserve"> </w:t>
      </w:r>
      <w:r w:rsidR="00D21BC0">
        <w:t>director</w:t>
      </w:r>
    </w:p>
    <w:p w14:paraId="3BF2573D" w14:textId="77777777" w:rsidR="00BB0340" w:rsidRDefault="00BB0340" w:rsidP="00BB0340">
      <w:pPr>
        <w:spacing w:after="240"/>
      </w:pPr>
      <w:r>
        <w:t>ej. ejemplo</w:t>
      </w:r>
    </w:p>
    <w:p w14:paraId="5B099A92" w14:textId="7372E77D" w:rsidR="00BB0340" w:rsidRDefault="00BB0340" w:rsidP="00BB0340">
      <w:pPr>
        <w:spacing w:after="240"/>
      </w:pPr>
      <w:r>
        <w:t xml:space="preserve">et. </w:t>
      </w:r>
      <w:r w:rsidR="004B058B">
        <w:t>ál.:</w:t>
      </w:r>
      <w:r>
        <w:t xml:space="preserve"> et </w:t>
      </w:r>
      <w:proofErr w:type="spellStart"/>
      <w:r>
        <w:t>álli</w:t>
      </w:r>
      <w:proofErr w:type="spellEnd"/>
      <w:r>
        <w:t xml:space="preserve"> (y otros)</w:t>
      </w:r>
    </w:p>
    <w:p w14:paraId="1A7BC3F5" w14:textId="77777777" w:rsidR="00BB0340" w:rsidRDefault="00BB0340" w:rsidP="00BB0340">
      <w:pPr>
        <w:spacing w:after="240"/>
      </w:pPr>
      <w:r>
        <w:t>FJ: Fundamento Jurídico</w:t>
      </w:r>
    </w:p>
    <w:p w14:paraId="19195D95" w14:textId="77777777" w:rsidR="00BB0340" w:rsidRDefault="00BB0340" w:rsidP="00BB0340">
      <w:pPr>
        <w:spacing w:after="240"/>
      </w:pPr>
      <w:r>
        <w:t>LEC: Ley de Enjuiciamiento Civil</w:t>
      </w:r>
    </w:p>
    <w:p w14:paraId="7D27CCDB" w14:textId="7355B0CC" w:rsidR="00BB0340" w:rsidRDefault="00BB0340" w:rsidP="00BB0340">
      <w:pPr>
        <w:spacing w:after="240"/>
      </w:pPr>
      <w:r>
        <w:t>LECrim</w:t>
      </w:r>
      <w:r w:rsidR="004B058B">
        <w:t>.:</w:t>
      </w:r>
      <w:r>
        <w:t xml:space="preserve"> Ley de Enjuiciamiento Criminal</w:t>
      </w:r>
    </w:p>
    <w:p w14:paraId="7AEAE272" w14:textId="77777777" w:rsidR="00BB0340" w:rsidRDefault="00BB0340" w:rsidP="00BB0340">
      <w:pPr>
        <w:spacing w:after="240"/>
      </w:pPr>
      <w:r>
        <w:t>LJCA: Ley de la Jurisdicción Contencioso-administrativa</w:t>
      </w:r>
    </w:p>
    <w:p w14:paraId="1FFE170B" w14:textId="77777777" w:rsidR="00BB0340" w:rsidRDefault="00BB0340" w:rsidP="00BB0340">
      <w:pPr>
        <w:spacing w:after="240"/>
      </w:pPr>
      <w:r>
        <w:t>LO: Ley Orgánica</w:t>
      </w:r>
    </w:p>
    <w:p w14:paraId="71C6BC90" w14:textId="77777777" w:rsidR="00BB0340" w:rsidRDefault="00BB0340" w:rsidP="00BB0340">
      <w:pPr>
        <w:spacing w:after="240"/>
      </w:pPr>
      <w:r>
        <w:t>LOPJ: Ley Orgánica del Poder Judicial</w:t>
      </w:r>
    </w:p>
    <w:p w14:paraId="703CC9A9" w14:textId="77777777" w:rsidR="00BB0340" w:rsidRDefault="00BB0340" w:rsidP="00BB0340">
      <w:pPr>
        <w:spacing w:after="240"/>
      </w:pPr>
      <w:r>
        <w:t>LOTC: Ley Orgánica del Tribunal Constitucional</w:t>
      </w:r>
    </w:p>
    <w:p w14:paraId="67114138" w14:textId="3D4F15FE" w:rsidR="00BB0340" w:rsidRDefault="004B058B" w:rsidP="00BB0340">
      <w:pPr>
        <w:spacing w:after="240"/>
      </w:pPr>
      <w:r>
        <w:t>Núm.:</w:t>
      </w:r>
      <w:r w:rsidR="00BB0340">
        <w:t xml:space="preserve"> Número</w:t>
      </w:r>
    </w:p>
    <w:p w14:paraId="1BFFDFAE" w14:textId="2B8BBB25" w:rsidR="00BB0340" w:rsidRDefault="00BB0340" w:rsidP="00BB0340">
      <w:pPr>
        <w:spacing w:after="240"/>
      </w:pPr>
      <w:r>
        <w:t xml:space="preserve">Pág.- </w:t>
      </w:r>
      <w:r w:rsidR="004B058B">
        <w:t>págs.:</w:t>
      </w:r>
      <w:r>
        <w:t xml:space="preserve"> Página - Páginas</w:t>
      </w:r>
    </w:p>
    <w:p w14:paraId="4234E3FD" w14:textId="19CDFE6B" w:rsidR="00BB0340" w:rsidRDefault="004B058B" w:rsidP="00BB0340">
      <w:pPr>
        <w:spacing w:after="240"/>
      </w:pPr>
      <w:r>
        <w:t>ss.:</w:t>
      </w:r>
      <w:r w:rsidR="00BB0340">
        <w:t xml:space="preserve"> Siguientes</w:t>
      </w:r>
    </w:p>
    <w:p w14:paraId="021B2938" w14:textId="77777777" w:rsidR="00BB0340" w:rsidRDefault="00BB0340" w:rsidP="00BB0340">
      <w:pPr>
        <w:spacing w:after="240"/>
      </w:pPr>
      <w:r>
        <w:t>STC: Sentencia del Tribunal Constitucional</w:t>
      </w:r>
    </w:p>
    <w:p w14:paraId="670907AF" w14:textId="77777777" w:rsidR="00BB0340" w:rsidRDefault="00BB0340" w:rsidP="00BB0340">
      <w:pPr>
        <w:spacing w:after="240"/>
      </w:pPr>
      <w:r>
        <w:lastRenderedPageBreak/>
        <w:t>TC: Tribunal Constitucional</w:t>
      </w:r>
    </w:p>
    <w:p w14:paraId="6078A336" w14:textId="77777777" w:rsidR="00BB0340" w:rsidRDefault="00BB0340" w:rsidP="00BB0340">
      <w:pPr>
        <w:spacing w:after="240"/>
      </w:pPr>
      <w:r>
        <w:t>TGC: Tribunal de Garantías Constitucionales</w:t>
      </w:r>
    </w:p>
    <w:p w14:paraId="794A5C35" w14:textId="563B2EA2" w:rsidR="007E4414" w:rsidRDefault="004B058B" w:rsidP="00BB0340">
      <w:pPr>
        <w:spacing w:after="240"/>
      </w:pPr>
      <w:r>
        <w:t>Vol.:</w:t>
      </w:r>
      <w:r w:rsidR="00BB0340">
        <w:t xml:space="preserve"> Volumen</w:t>
      </w:r>
    </w:p>
    <w:p w14:paraId="3885E7AD" w14:textId="5DAA410C" w:rsidR="007E4414" w:rsidRDefault="007E4414" w:rsidP="007E4414">
      <w:r>
        <w:br w:type="page"/>
      </w:r>
    </w:p>
    <w:p w14:paraId="5959F4F9" w14:textId="259DD7EA" w:rsidR="007E4414" w:rsidRDefault="007E4414" w:rsidP="00087444">
      <w:pPr>
        <w:jc w:val="center"/>
        <w:rPr>
          <w:b/>
          <w:sz w:val="28"/>
        </w:rPr>
      </w:pPr>
      <w:r w:rsidRPr="000A3957">
        <w:rPr>
          <w:b/>
          <w:sz w:val="28"/>
        </w:rPr>
        <w:lastRenderedPageBreak/>
        <w:t>ÍNDICE</w:t>
      </w:r>
    </w:p>
    <w:p w14:paraId="3370F836" w14:textId="0FEEFF0B" w:rsidR="00BE19D5" w:rsidRDefault="00BE19D5" w:rsidP="00087444">
      <w:pPr>
        <w:jc w:val="center"/>
        <w:rPr>
          <w:b/>
          <w:sz w:val="28"/>
        </w:rPr>
      </w:pPr>
    </w:p>
    <w:sdt>
      <w:sdtPr>
        <w:rPr>
          <w:rFonts w:ascii="Times New Roman" w:hAnsi="Times New Roman"/>
          <w:smallCaps w:val="0"/>
          <w:color w:val="auto"/>
          <w:sz w:val="24"/>
          <w:szCs w:val="24"/>
        </w:rPr>
        <w:id w:val="-720136104"/>
        <w:docPartObj>
          <w:docPartGallery w:val="Table of Contents"/>
          <w:docPartUnique/>
        </w:docPartObj>
      </w:sdtPr>
      <w:sdtEndPr>
        <w:rPr>
          <w:b/>
          <w:bCs/>
        </w:rPr>
      </w:sdtEndPr>
      <w:sdtContent>
        <w:p w14:paraId="0B1550C8" w14:textId="02C72DB2" w:rsidR="00BE19D5" w:rsidRPr="00D21BC0" w:rsidRDefault="00BE19D5">
          <w:pPr>
            <w:pStyle w:val="TtuloTDC"/>
            <w:rPr>
              <w:rFonts w:ascii="Times New Roman" w:hAnsi="Times New Roman"/>
              <w:sz w:val="24"/>
              <w:szCs w:val="24"/>
            </w:rPr>
          </w:pPr>
        </w:p>
        <w:p w14:paraId="7EA9F3B8" w14:textId="17A78445" w:rsidR="00BE19D5" w:rsidRPr="00D21BC0" w:rsidRDefault="00BE19D5">
          <w:pPr>
            <w:pStyle w:val="TDC1"/>
            <w:tabs>
              <w:tab w:val="right" w:leader="dot" w:pos="8494"/>
            </w:tabs>
            <w:rPr>
              <w:rFonts w:ascii="Times New Roman" w:eastAsiaTheme="minorEastAsia" w:hAnsi="Times New Roman" w:cs="Times New Roman"/>
              <w:b w:val="0"/>
              <w:bCs w:val="0"/>
              <w:caps w:val="0"/>
              <w:noProof/>
              <w:sz w:val="24"/>
              <w:szCs w:val="24"/>
            </w:rPr>
          </w:pPr>
          <w:r w:rsidRPr="00D21BC0">
            <w:rPr>
              <w:rFonts w:ascii="Times New Roman" w:hAnsi="Times New Roman" w:cs="Times New Roman"/>
              <w:sz w:val="24"/>
              <w:szCs w:val="24"/>
            </w:rPr>
            <w:fldChar w:fldCharType="begin"/>
          </w:r>
          <w:r w:rsidRPr="00D21BC0">
            <w:rPr>
              <w:rFonts w:ascii="Times New Roman" w:hAnsi="Times New Roman" w:cs="Times New Roman"/>
              <w:sz w:val="24"/>
              <w:szCs w:val="24"/>
            </w:rPr>
            <w:instrText xml:space="preserve"> TOC \o "1-3" \h \z \u </w:instrText>
          </w:r>
          <w:r w:rsidRPr="00D21BC0">
            <w:rPr>
              <w:rFonts w:ascii="Times New Roman" w:hAnsi="Times New Roman" w:cs="Times New Roman"/>
              <w:sz w:val="24"/>
              <w:szCs w:val="24"/>
            </w:rPr>
            <w:fldChar w:fldCharType="separate"/>
          </w:r>
          <w:hyperlink w:anchor="_Toc50373127" w:history="1">
            <w:r w:rsidRPr="00D21BC0">
              <w:rPr>
                <w:rStyle w:val="Hipervnculo"/>
                <w:rFonts w:ascii="Times New Roman" w:hAnsi="Times New Roman" w:cs="Times New Roman"/>
                <w:noProof/>
                <w:sz w:val="24"/>
                <w:szCs w:val="24"/>
              </w:rPr>
              <w:t>ABREVIATURAS</w:t>
            </w:r>
            <w:r w:rsidRPr="00D21BC0">
              <w:rPr>
                <w:rFonts w:ascii="Times New Roman" w:hAnsi="Times New Roman" w:cs="Times New Roman"/>
                <w:noProof/>
                <w:webHidden/>
                <w:sz w:val="24"/>
                <w:szCs w:val="24"/>
              </w:rPr>
              <w:tab/>
            </w:r>
            <w:r w:rsidRPr="00D21BC0">
              <w:rPr>
                <w:rFonts w:ascii="Times New Roman" w:hAnsi="Times New Roman" w:cs="Times New Roman"/>
                <w:noProof/>
                <w:webHidden/>
                <w:sz w:val="24"/>
                <w:szCs w:val="24"/>
              </w:rPr>
              <w:fldChar w:fldCharType="begin"/>
            </w:r>
            <w:r w:rsidRPr="00D21BC0">
              <w:rPr>
                <w:rFonts w:ascii="Times New Roman" w:hAnsi="Times New Roman" w:cs="Times New Roman"/>
                <w:noProof/>
                <w:webHidden/>
                <w:sz w:val="24"/>
                <w:szCs w:val="24"/>
              </w:rPr>
              <w:instrText xml:space="preserve"> PAGEREF _Toc50373127 \h </w:instrText>
            </w:r>
            <w:r w:rsidRPr="00D21BC0">
              <w:rPr>
                <w:rFonts w:ascii="Times New Roman" w:hAnsi="Times New Roman" w:cs="Times New Roman"/>
                <w:noProof/>
                <w:webHidden/>
                <w:sz w:val="24"/>
                <w:szCs w:val="24"/>
              </w:rPr>
            </w:r>
            <w:r w:rsidRPr="00D21BC0">
              <w:rPr>
                <w:rFonts w:ascii="Times New Roman" w:hAnsi="Times New Roman" w:cs="Times New Roman"/>
                <w:noProof/>
                <w:webHidden/>
                <w:sz w:val="24"/>
                <w:szCs w:val="24"/>
              </w:rPr>
              <w:fldChar w:fldCharType="separate"/>
            </w:r>
            <w:r w:rsidRPr="00D21BC0">
              <w:rPr>
                <w:rFonts w:ascii="Times New Roman" w:hAnsi="Times New Roman" w:cs="Times New Roman"/>
                <w:noProof/>
                <w:webHidden/>
                <w:sz w:val="24"/>
                <w:szCs w:val="24"/>
              </w:rPr>
              <w:t>4</w:t>
            </w:r>
            <w:r w:rsidRPr="00D21BC0">
              <w:rPr>
                <w:rFonts w:ascii="Times New Roman" w:hAnsi="Times New Roman" w:cs="Times New Roman"/>
                <w:noProof/>
                <w:webHidden/>
                <w:sz w:val="24"/>
                <w:szCs w:val="24"/>
              </w:rPr>
              <w:fldChar w:fldCharType="end"/>
            </w:r>
          </w:hyperlink>
        </w:p>
        <w:p w14:paraId="58F7DC5E" w14:textId="40456C66" w:rsidR="00BE19D5" w:rsidRPr="00D21BC0" w:rsidRDefault="00271BCE">
          <w:pPr>
            <w:pStyle w:val="TDC1"/>
            <w:tabs>
              <w:tab w:val="right" w:leader="dot" w:pos="8494"/>
            </w:tabs>
            <w:rPr>
              <w:rFonts w:ascii="Times New Roman" w:eastAsiaTheme="minorEastAsia" w:hAnsi="Times New Roman" w:cs="Times New Roman"/>
              <w:b w:val="0"/>
              <w:bCs w:val="0"/>
              <w:caps w:val="0"/>
              <w:noProof/>
              <w:sz w:val="24"/>
              <w:szCs w:val="24"/>
            </w:rPr>
          </w:pPr>
          <w:hyperlink w:anchor="_Toc50373128" w:history="1">
            <w:r w:rsidR="00BE19D5" w:rsidRPr="00D21BC0">
              <w:rPr>
                <w:rStyle w:val="Hipervnculo"/>
                <w:rFonts w:ascii="Times New Roman" w:hAnsi="Times New Roman" w:cs="Times New Roman"/>
                <w:noProof/>
                <w:sz w:val="24"/>
                <w:szCs w:val="24"/>
              </w:rPr>
              <w:t>INTRODUCCIÓN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_Toc50373128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7</w:t>
            </w:r>
            <w:r w:rsidR="00BE19D5" w:rsidRPr="00D21BC0">
              <w:rPr>
                <w:rFonts w:ascii="Times New Roman" w:hAnsi="Times New Roman" w:cs="Times New Roman"/>
                <w:noProof/>
                <w:webHidden/>
                <w:sz w:val="24"/>
                <w:szCs w:val="24"/>
              </w:rPr>
              <w:fldChar w:fldCharType="end"/>
            </w:r>
          </w:hyperlink>
        </w:p>
        <w:p w14:paraId="37CDEC2C" w14:textId="0EE2D98B" w:rsidR="00BE19D5" w:rsidRPr="00D21BC0" w:rsidRDefault="00271BCE">
          <w:pPr>
            <w:pStyle w:val="TDC1"/>
            <w:tabs>
              <w:tab w:val="right" w:leader="dot" w:pos="8494"/>
            </w:tabs>
            <w:rPr>
              <w:rFonts w:ascii="Times New Roman" w:eastAsiaTheme="minorEastAsia" w:hAnsi="Times New Roman" w:cs="Times New Roman"/>
              <w:b w:val="0"/>
              <w:bCs w:val="0"/>
              <w:caps w:val="0"/>
              <w:noProof/>
              <w:sz w:val="24"/>
              <w:szCs w:val="24"/>
            </w:rPr>
          </w:pPr>
          <w:hyperlink w:anchor="_Toc50373129" w:history="1">
            <w:r w:rsidR="00BE19D5" w:rsidRPr="00D21BC0">
              <w:rPr>
                <w:rStyle w:val="Hipervnculo"/>
                <w:rFonts w:ascii="Times New Roman" w:hAnsi="Times New Roman" w:cs="Times New Roman"/>
                <w:noProof/>
                <w:sz w:val="24"/>
                <w:szCs w:val="24"/>
              </w:rPr>
              <w:t>CAPÍTULO PRIMERO: ANTECEDENTES HISTÓRICOS DE LA REFORMA OPERADA POR LA LEY ORGÁNICA 6/2007, DE 24 DE MAYO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_Toc50373129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14</w:t>
            </w:r>
            <w:r w:rsidR="00BE19D5" w:rsidRPr="00D21BC0">
              <w:rPr>
                <w:rFonts w:ascii="Times New Roman" w:hAnsi="Times New Roman" w:cs="Times New Roman"/>
                <w:noProof/>
                <w:webHidden/>
                <w:sz w:val="24"/>
                <w:szCs w:val="24"/>
              </w:rPr>
              <w:fldChar w:fldCharType="end"/>
            </w:r>
          </w:hyperlink>
        </w:p>
        <w:p w14:paraId="71EA2EA5" w14:textId="785A16C7"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30" w:history="1">
            <w:r w:rsidR="00BE19D5" w:rsidRPr="00D21BC0">
              <w:rPr>
                <w:rStyle w:val="Hipervnculo"/>
                <w:rFonts w:ascii="Times New Roman" w:hAnsi="Times New Roman" w:cs="Times New Roman"/>
                <w:noProof/>
                <w:sz w:val="24"/>
                <w:szCs w:val="24"/>
              </w:rPr>
              <w:t>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INTRODUCCIÓN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14</w:t>
            </w:r>
            <w:r w:rsidR="00BE19D5" w:rsidRPr="00D21BC0">
              <w:rPr>
                <w:rFonts w:ascii="Times New Roman" w:hAnsi="Times New Roman" w:cs="Times New Roman"/>
                <w:noProof/>
                <w:webHidden/>
                <w:sz w:val="24"/>
                <w:szCs w:val="24"/>
              </w:rPr>
              <w:fldChar w:fldCharType="end"/>
            </w:r>
          </w:hyperlink>
        </w:p>
        <w:p w14:paraId="400C67E7" w14:textId="5035E90E"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31" w:history="1">
            <w:r w:rsidR="00BE19D5" w:rsidRPr="00D21BC0">
              <w:rPr>
                <w:rStyle w:val="Hipervnculo"/>
                <w:rFonts w:ascii="Times New Roman" w:hAnsi="Times New Roman" w:cs="Times New Roman"/>
                <w:noProof/>
                <w:sz w:val="24"/>
                <w:szCs w:val="24"/>
              </w:rPr>
              <w:t>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El recurso de amparo en el derecho español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19</w:t>
            </w:r>
            <w:r w:rsidR="00BE19D5" w:rsidRPr="00D21BC0">
              <w:rPr>
                <w:rFonts w:ascii="Times New Roman" w:hAnsi="Times New Roman" w:cs="Times New Roman"/>
                <w:noProof/>
                <w:webHidden/>
                <w:sz w:val="24"/>
                <w:szCs w:val="24"/>
              </w:rPr>
              <w:fldChar w:fldCharType="end"/>
            </w:r>
          </w:hyperlink>
        </w:p>
        <w:p w14:paraId="36FADB6A" w14:textId="2FC23090"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32"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protección de los derechos fundamentales en la Ley Orgánica del Tribunal de Garantías Constitucionales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_Toc50373132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21</w:t>
            </w:r>
            <w:r w:rsidR="00BE19D5" w:rsidRPr="00D21BC0">
              <w:rPr>
                <w:rFonts w:ascii="Times New Roman" w:hAnsi="Times New Roman" w:cs="Times New Roman"/>
                <w:noProof/>
                <w:webHidden/>
                <w:sz w:val="24"/>
                <w:szCs w:val="24"/>
              </w:rPr>
              <w:fldChar w:fldCharType="end"/>
            </w:r>
          </w:hyperlink>
        </w:p>
        <w:p w14:paraId="50C04AD2" w14:textId="27294CD8"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33"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protección de los derechos fundamentales durante la Guerra Civil y la Dictadura Franquista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_Toc50373133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25</w:t>
            </w:r>
            <w:r w:rsidR="00BE19D5" w:rsidRPr="00D21BC0">
              <w:rPr>
                <w:rFonts w:ascii="Times New Roman" w:hAnsi="Times New Roman" w:cs="Times New Roman"/>
                <w:noProof/>
                <w:webHidden/>
                <w:sz w:val="24"/>
                <w:szCs w:val="24"/>
              </w:rPr>
              <w:fldChar w:fldCharType="end"/>
            </w:r>
          </w:hyperlink>
        </w:p>
        <w:p w14:paraId="7C0347E8" w14:textId="7D72B425"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34"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protección de los derechos fundamentales en la Constitución de 1978</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_Toc50373134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28</w:t>
            </w:r>
            <w:r w:rsidR="00BE19D5" w:rsidRPr="00D21BC0">
              <w:rPr>
                <w:rFonts w:ascii="Times New Roman" w:hAnsi="Times New Roman" w:cs="Times New Roman"/>
                <w:noProof/>
                <w:webHidden/>
                <w:sz w:val="24"/>
                <w:szCs w:val="24"/>
              </w:rPr>
              <w:fldChar w:fldCharType="end"/>
            </w:r>
          </w:hyperlink>
        </w:p>
        <w:p w14:paraId="24EA8585" w14:textId="20716A0C"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35" w:history="1">
            <w:r w:rsidR="00BE19D5" w:rsidRPr="00D21BC0">
              <w:rPr>
                <w:rStyle w:val="Hipervnculo"/>
                <w:rFonts w:ascii="Times New Roman" w:hAnsi="Times New Roman" w:cs="Times New Roman"/>
                <w:noProof/>
                <w:sz w:val="24"/>
                <w:szCs w:val="24"/>
              </w:rPr>
              <w:t>III.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Problemática del recurso de amparo y crisis funcional del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_Toc50373135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49</w:t>
            </w:r>
            <w:r w:rsidR="00BE19D5" w:rsidRPr="00D21BC0">
              <w:rPr>
                <w:rFonts w:ascii="Times New Roman" w:hAnsi="Times New Roman" w:cs="Times New Roman"/>
                <w:noProof/>
                <w:webHidden/>
                <w:sz w:val="24"/>
                <w:szCs w:val="24"/>
              </w:rPr>
              <w:fldChar w:fldCharType="end"/>
            </w:r>
          </w:hyperlink>
        </w:p>
        <w:p w14:paraId="54110B11" w14:textId="55419BE0"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36"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Estado de la cuestión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_Toc50373136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49</w:t>
            </w:r>
            <w:r w:rsidR="00BE19D5" w:rsidRPr="00D21BC0">
              <w:rPr>
                <w:rFonts w:ascii="Times New Roman" w:hAnsi="Times New Roman" w:cs="Times New Roman"/>
                <w:noProof/>
                <w:webHidden/>
                <w:sz w:val="24"/>
                <w:szCs w:val="24"/>
              </w:rPr>
              <w:fldChar w:fldCharType="end"/>
            </w:r>
          </w:hyperlink>
        </w:p>
        <w:p w14:paraId="2CE27D85" w14:textId="029BABF1"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37"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Cifras anteriores a la reforma de 2007</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_Toc50373137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54</w:t>
            </w:r>
            <w:r w:rsidR="00BE19D5" w:rsidRPr="00D21BC0">
              <w:rPr>
                <w:rFonts w:ascii="Times New Roman" w:hAnsi="Times New Roman" w:cs="Times New Roman"/>
                <w:noProof/>
                <w:webHidden/>
                <w:sz w:val="24"/>
                <w:szCs w:val="24"/>
              </w:rPr>
              <w:fldChar w:fldCharType="end"/>
            </w:r>
          </w:hyperlink>
        </w:p>
        <w:p w14:paraId="07F611D7" w14:textId="2502883F"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38" w:history="1">
            <w:r w:rsidR="00BE19D5" w:rsidRPr="00D21BC0">
              <w:rPr>
                <w:rStyle w:val="Hipervnculo"/>
                <w:rFonts w:ascii="Times New Roman" w:hAnsi="Times New Roman" w:cs="Times New Roman"/>
                <w:noProof/>
                <w:sz w:val="24"/>
                <w:szCs w:val="24"/>
              </w:rPr>
              <w:t>IV.</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Causas del elevado número de recursos de amparo y de la acumulación de asuntos ante 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58</w:t>
            </w:r>
            <w:r w:rsidR="00BE19D5" w:rsidRPr="00D21BC0">
              <w:rPr>
                <w:rFonts w:ascii="Times New Roman" w:hAnsi="Times New Roman" w:cs="Times New Roman"/>
                <w:noProof/>
                <w:webHidden/>
                <w:sz w:val="24"/>
                <w:szCs w:val="24"/>
              </w:rPr>
              <w:fldChar w:fldCharType="end"/>
            </w:r>
          </w:hyperlink>
        </w:p>
        <w:p w14:paraId="06171344" w14:textId="620C4EC6"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39"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El insuficiente protagonismo de la jurisdicción ordinaria en la defensa de los derechos fundamentales y un mejorable desarrollo del art. 53.2 CE</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_Toc50373139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59</w:t>
            </w:r>
            <w:r w:rsidR="00BE19D5" w:rsidRPr="00D21BC0">
              <w:rPr>
                <w:rFonts w:ascii="Times New Roman" w:hAnsi="Times New Roman" w:cs="Times New Roman"/>
                <w:noProof/>
                <w:webHidden/>
                <w:sz w:val="24"/>
                <w:szCs w:val="24"/>
              </w:rPr>
              <w:fldChar w:fldCharType="end"/>
            </w:r>
          </w:hyperlink>
        </w:p>
        <w:p w14:paraId="3E4AC6FC" w14:textId="58EF994F"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0"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deficiente regulación del recurso de amparo y de su trámite de admisión por la LOTC</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61</w:t>
            </w:r>
            <w:r w:rsidR="00BE19D5" w:rsidRPr="00D21BC0">
              <w:rPr>
                <w:rFonts w:ascii="Times New Roman" w:hAnsi="Times New Roman" w:cs="Times New Roman"/>
                <w:noProof/>
                <w:webHidden/>
                <w:sz w:val="24"/>
                <w:szCs w:val="24"/>
              </w:rPr>
              <w:fldChar w:fldCharType="end"/>
            </w:r>
          </w:hyperlink>
        </w:p>
        <w:p w14:paraId="55C07CA0" w14:textId="15D11171"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1"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ampliación del contenido del art. 24 CE por 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61</w:t>
            </w:r>
            <w:r w:rsidR="00BE19D5" w:rsidRPr="00D21BC0">
              <w:rPr>
                <w:rFonts w:ascii="Times New Roman" w:hAnsi="Times New Roman" w:cs="Times New Roman"/>
                <w:noProof/>
                <w:webHidden/>
                <w:sz w:val="24"/>
                <w:szCs w:val="24"/>
              </w:rPr>
              <w:fldChar w:fldCharType="end"/>
            </w:r>
          </w:hyperlink>
        </w:p>
        <w:p w14:paraId="5479E01D" w14:textId="65F71394"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2" w:history="1">
            <w:r w:rsidR="00BE19D5" w:rsidRPr="00D21BC0">
              <w:rPr>
                <w:rStyle w:val="Hipervnculo"/>
                <w:rFonts w:ascii="Times New Roman" w:hAnsi="Times New Roman" w:cs="Times New Roman"/>
                <w:noProof/>
                <w:sz w:val="24"/>
                <w:szCs w:val="24"/>
              </w:rPr>
              <w:t>4.</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ampliación del contenido de otros derechos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_Toc50373142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65</w:t>
            </w:r>
            <w:r w:rsidR="00BE19D5" w:rsidRPr="00D21BC0">
              <w:rPr>
                <w:rFonts w:ascii="Times New Roman" w:hAnsi="Times New Roman" w:cs="Times New Roman"/>
                <w:noProof/>
                <w:webHidden/>
                <w:sz w:val="24"/>
                <w:szCs w:val="24"/>
              </w:rPr>
              <w:fldChar w:fldCharType="end"/>
            </w:r>
          </w:hyperlink>
        </w:p>
        <w:p w14:paraId="62979824" w14:textId="5C1D5C51"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3" w:history="1">
            <w:r w:rsidR="00BE19D5" w:rsidRPr="00D21BC0">
              <w:rPr>
                <w:rStyle w:val="Hipervnculo"/>
                <w:rFonts w:ascii="Times New Roman" w:hAnsi="Times New Roman" w:cs="Times New Roman"/>
                <w:noProof/>
                <w:sz w:val="24"/>
                <w:szCs w:val="24"/>
              </w:rPr>
              <w:t>5.</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ampliación de la legitimación pasiva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_Toc50373143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66</w:t>
            </w:r>
            <w:r w:rsidR="00BE19D5" w:rsidRPr="00D21BC0">
              <w:rPr>
                <w:rFonts w:ascii="Times New Roman" w:hAnsi="Times New Roman" w:cs="Times New Roman"/>
                <w:noProof/>
                <w:webHidden/>
                <w:sz w:val="24"/>
                <w:szCs w:val="24"/>
              </w:rPr>
              <w:fldChar w:fldCharType="end"/>
            </w:r>
          </w:hyperlink>
        </w:p>
        <w:p w14:paraId="6CB49496" w14:textId="6B01B1BA"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44" w:history="1">
            <w:r w:rsidR="00BE19D5" w:rsidRPr="00D21BC0">
              <w:rPr>
                <w:rStyle w:val="Hipervnculo"/>
                <w:rFonts w:ascii="Times New Roman" w:hAnsi="Times New Roman" w:cs="Times New Roman"/>
                <w:noProof/>
                <w:sz w:val="24"/>
                <w:szCs w:val="24"/>
              </w:rPr>
              <w:t>V.</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Soluciones propuestas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_Toc50373144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67</w:t>
            </w:r>
            <w:r w:rsidR="00BE19D5" w:rsidRPr="00D21BC0">
              <w:rPr>
                <w:rFonts w:ascii="Times New Roman" w:hAnsi="Times New Roman" w:cs="Times New Roman"/>
                <w:noProof/>
                <w:webHidden/>
                <w:sz w:val="24"/>
                <w:szCs w:val="24"/>
              </w:rPr>
              <w:fldChar w:fldCharType="end"/>
            </w:r>
          </w:hyperlink>
        </w:p>
        <w:p w14:paraId="66B533D4" w14:textId="1CAC94C1"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5"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Reforma del propio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_Toc50373145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67</w:t>
            </w:r>
            <w:r w:rsidR="00BE19D5" w:rsidRPr="00D21BC0">
              <w:rPr>
                <w:rFonts w:ascii="Times New Roman" w:hAnsi="Times New Roman" w:cs="Times New Roman"/>
                <w:noProof/>
                <w:webHidden/>
                <w:sz w:val="24"/>
                <w:szCs w:val="24"/>
              </w:rPr>
              <w:fldChar w:fldCharType="end"/>
            </w:r>
          </w:hyperlink>
        </w:p>
        <w:p w14:paraId="5092373D" w14:textId="694FC7F1"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6"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Reforzar la protección de los derechos fundamentales en la vía ordinaria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_Toc50373146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67</w:t>
            </w:r>
            <w:r w:rsidR="00BE19D5" w:rsidRPr="00D21BC0">
              <w:rPr>
                <w:rFonts w:ascii="Times New Roman" w:hAnsi="Times New Roman" w:cs="Times New Roman"/>
                <w:noProof/>
                <w:webHidden/>
                <w:sz w:val="24"/>
                <w:szCs w:val="24"/>
              </w:rPr>
              <w:fldChar w:fldCharType="end"/>
            </w:r>
          </w:hyperlink>
        </w:p>
        <w:p w14:paraId="145DF63B" w14:textId="048C95F5"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7"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Exclusión de algunos derechos fundamentales del ámbito de protección del recurso de amparo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_Toc50373147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69</w:t>
            </w:r>
            <w:r w:rsidR="00BE19D5" w:rsidRPr="00D21BC0">
              <w:rPr>
                <w:rFonts w:ascii="Times New Roman" w:hAnsi="Times New Roman" w:cs="Times New Roman"/>
                <w:noProof/>
                <w:webHidden/>
                <w:sz w:val="24"/>
                <w:szCs w:val="24"/>
              </w:rPr>
              <w:fldChar w:fldCharType="end"/>
            </w:r>
          </w:hyperlink>
        </w:p>
        <w:p w14:paraId="73BBEB74" w14:textId="0968154E"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8" w:history="1">
            <w:r w:rsidR="00BE19D5" w:rsidRPr="00D21BC0">
              <w:rPr>
                <w:rStyle w:val="Hipervnculo"/>
                <w:rFonts w:ascii="Times New Roman" w:hAnsi="Times New Roman" w:cs="Times New Roman"/>
                <w:noProof/>
                <w:sz w:val="24"/>
                <w:szCs w:val="24"/>
              </w:rPr>
              <w:t>4.</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Limitación de la posibilidad de interponer recursos de amparo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70</w:t>
            </w:r>
            <w:r w:rsidR="00BE19D5" w:rsidRPr="00D21BC0">
              <w:rPr>
                <w:rFonts w:ascii="Times New Roman" w:hAnsi="Times New Roman" w:cs="Times New Roman"/>
                <w:noProof/>
                <w:webHidden/>
                <w:sz w:val="24"/>
                <w:szCs w:val="24"/>
              </w:rPr>
              <w:fldChar w:fldCharType="end"/>
            </w:r>
          </w:hyperlink>
        </w:p>
        <w:p w14:paraId="0B44BFEC" w14:textId="6127623A"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49" w:history="1">
            <w:r w:rsidR="00BE19D5" w:rsidRPr="00D21BC0">
              <w:rPr>
                <w:rStyle w:val="Hipervnculo"/>
                <w:rFonts w:ascii="Times New Roman" w:hAnsi="Times New Roman" w:cs="Times New Roman"/>
                <w:noProof/>
                <w:sz w:val="24"/>
                <w:szCs w:val="24"/>
              </w:rPr>
              <w:t>5.</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reforma propuesta por 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_Toc50373149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73</w:t>
            </w:r>
            <w:r w:rsidR="00BE19D5" w:rsidRPr="00D21BC0">
              <w:rPr>
                <w:rFonts w:ascii="Times New Roman" w:hAnsi="Times New Roman" w:cs="Times New Roman"/>
                <w:noProof/>
                <w:webHidden/>
                <w:sz w:val="24"/>
                <w:szCs w:val="24"/>
              </w:rPr>
              <w:fldChar w:fldCharType="end"/>
            </w:r>
          </w:hyperlink>
        </w:p>
        <w:p w14:paraId="67838118" w14:textId="4893C63B"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50" w:history="1">
            <w:r w:rsidR="00BE19D5" w:rsidRPr="00D21BC0">
              <w:rPr>
                <w:rStyle w:val="Hipervnculo"/>
                <w:rFonts w:ascii="Times New Roman" w:hAnsi="Times New Roman" w:cs="Times New Roman"/>
                <w:noProof/>
                <w:sz w:val="24"/>
                <w:szCs w:val="24"/>
              </w:rPr>
              <w:t>VI.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Paradigmas de derecho comparado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73</w:t>
            </w:r>
            <w:r w:rsidR="00BE19D5" w:rsidRPr="00D21BC0">
              <w:rPr>
                <w:rFonts w:ascii="Times New Roman" w:hAnsi="Times New Roman" w:cs="Times New Roman"/>
                <w:noProof/>
                <w:webHidden/>
                <w:sz w:val="24"/>
                <w:szCs w:val="24"/>
              </w:rPr>
              <w:fldChar w:fldCharType="end"/>
            </w:r>
          </w:hyperlink>
        </w:p>
        <w:p w14:paraId="3AFC770C" w14:textId="3E7D7582"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51"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Estados Unidos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73</w:t>
            </w:r>
            <w:r w:rsidR="00BE19D5" w:rsidRPr="00D21BC0">
              <w:rPr>
                <w:rFonts w:ascii="Times New Roman" w:hAnsi="Times New Roman" w:cs="Times New Roman"/>
                <w:noProof/>
                <w:webHidden/>
                <w:sz w:val="24"/>
                <w:szCs w:val="24"/>
              </w:rPr>
              <w:fldChar w:fldCharType="end"/>
            </w:r>
          </w:hyperlink>
        </w:p>
        <w:p w14:paraId="026FCE78" w14:textId="6B28D556"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52"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Alemania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_Toc50373152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76</w:t>
            </w:r>
            <w:r w:rsidR="00BE19D5" w:rsidRPr="00D21BC0">
              <w:rPr>
                <w:rFonts w:ascii="Times New Roman" w:hAnsi="Times New Roman" w:cs="Times New Roman"/>
                <w:noProof/>
                <w:webHidden/>
                <w:sz w:val="24"/>
                <w:szCs w:val="24"/>
              </w:rPr>
              <w:fldChar w:fldCharType="end"/>
            </w:r>
          </w:hyperlink>
        </w:p>
        <w:p w14:paraId="16509389" w14:textId="1FE3408F" w:rsidR="00BE19D5" w:rsidRPr="00D21BC0" w:rsidRDefault="00271BCE">
          <w:pPr>
            <w:pStyle w:val="TDC1"/>
            <w:tabs>
              <w:tab w:val="right" w:leader="dot" w:pos="8494"/>
            </w:tabs>
            <w:rPr>
              <w:rFonts w:ascii="Times New Roman" w:eastAsiaTheme="minorEastAsia" w:hAnsi="Times New Roman" w:cs="Times New Roman"/>
              <w:b w:val="0"/>
              <w:bCs w:val="0"/>
              <w:caps w:val="0"/>
              <w:noProof/>
              <w:sz w:val="24"/>
              <w:szCs w:val="24"/>
            </w:rPr>
          </w:pPr>
          <w:hyperlink w:anchor="_Toc50373153" w:history="1">
            <w:r w:rsidR="00BE19D5" w:rsidRPr="00D21BC0">
              <w:rPr>
                <w:rStyle w:val="Hipervnculo"/>
                <w:rFonts w:ascii="Times New Roman" w:hAnsi="Times New Roman" w:cs="Times New Roman"/>
                <w:noProof/>
                <w:sz w:val="24"/>
                <w:szCs w:val="24"/>
              </w:rPr>
              <w:t>CAPÍTULO SEGUNDO: EL «N</w:t>
            </w:r>
            <w:r w:rsidR="00BE19D5" w:rsidRPr="00D21BC0">
              <w:rPr>
                <w:rStyle w:val="Hipervnculo"/>
                <w:rFonts w:ascii="Times New Roman" w:hAnsi="Times New Roman" w:cs="Times New Roman"/>
                <w:noProof/>
                <w:sz w:val="24"/>
                <w:szCs w:val="24"/>
              </w:rPr>
              <w:t>U</w:t>
            </w:r>
            <w:r w:rsidR="00BE19D5" w:rsidRPr="00D21BC0">
              <w:rPr>
                <w:rStyle w:val="Hipervnculo"/>
                <w:rFonts w:ascii="Times New Roman" w:hAnsi="Times New Roman" w:cs="Times New Roman"/>
                <w:noProof/>
                <w:sz w:val="24"/>
                <w:szCs w:val="24"/>
              </w:rPr>
              <w:t>EVO» RECURSO DE AMPARO. REGULACIÓN Y PROBLEMÁTICA.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_Toc50373153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82</w:t>
            </w:r>
            <w:r w:rsidR="00BE19D5" w:rsidRPr="00D21BC0">
              <w:rPr>
                <w:rFonts w:ascii="Times New Roman" w:hAnsi="Times New Roman" w:cs="Times New Roman"/>
                <w:noProof/>
                <w:webHidden/>
                <w:sz w:val="24"/>
                <w:szCs w:val="24"/>
              </w:rPr>
              <w:fldChar w:fldCharType="end"/>
            </w:r>
          </w:hyperlink>
        </w:p>
        <w:p w14:paraId="2C389C41" w14:textId="2EEBBFE7"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54" w:history="1">
            <w:r w:rsidR="00BE19D5" w:rsidRPr="00D21BC0">
              <w:rPr>
                <w:rStyle w:val="Hipervnculo"/>
                <w:rFonts w:ascii="Times New Roman" w:hAnsi="Times New Roman" w:cs="Times New Roman"/>
                <w:noProof/>
                <w:sz w:val="24"/>
                <w:szCs w:val="24"/>
              </w:rPr>
              <w:t>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INTRODUCCIÓN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_Toc50373154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82</w:t>
            </w:r>
            <w:r w:rsidR="00BE19D5" w:rsidRPr="00D21BC0">
              <w:rPr>
                <w:rFonts w:ascii="Times New Roman" w:hAnsi="Times New Roman" w:cs="Times New Roman"/>
                <w:noProof/>
                <w:webHidden/>
                <w:sz w:val="24"/>
                <w:szCs w:val="24"/>
              </w:rPr>
              <w:fldChar w:fldCharType="end"/>
            </w:r>
          </w:hyperlink>
        </w:p>
        <w:p w14:paraId="12CF3DE9" w14:textId="192C69C1"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55" w:history="1">
            <w:r w:rsidR="00BE19D5" w:rsidRPr="00D21BC0">
              <w:rPr>
                <w:rStyle w:val="Hipervnculo"/>
                <w:rFonts w:ascii="Times New Roman" w:hAnsi="Times New Roman" w:cs="Times New Roman"/>
                <w:noProof/>
                <w:sz w:val="24"/>
                <w:szCs w:val="24"/>
              </w:rPr>
              <w:t>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LA LEY ORGÁNICA  6/2007, DE 24 DE MAYO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_Toc50373155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82</w:t>
            </w:r>
            <w:r w:rsidR="00BE19D5" w:rsidRPr="00D21BC0">
              <w:rPr>
                <w:rFonts w:ascii="Times New Roman" w:hAnsi="Times New Roman" w:cs="Times New Roman"/>
                <w:noProof/>
                <w:webHidden/>
                <w:sz w:val="24"/>
                <w:szCs w:val="24"/>
              </w:rPr>
              <w:fldChar w:fldCharType="end"/>
            </w:r>
          </w:hyperlink>
        </w:p>
        <w:p w14:paraId="3386D462" w14:textId="57838341"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56"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El primer intento de solventar la sobrecarga de trabajo del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_Toc50373156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82</w:t>
            </w:r>
            <w:r w:rsidR="00BE19D5" w:rsidRPr="00D21BC0">
              <w:rPr>
                <w:rFonts w:ascii="Times New Roman" w:hAnsi="Times New Roman" w:cs="Times New Roman"/>
                <w:noProof/>
                <w:webHidden/>
                <w:sz w:val="24"/>
                <w:szCs w:val="24"/>
              </w:rPr>
              <w:fldChar w:fldCharType="end"/>
            </w:r>
          </w:hyperlink>
        </w:p>
        <w:p w14:paraId="568E8B0B" w14:textId="64203D58"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57"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Debates parlamentarios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_Toc50373157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85</w:t>
            </w:r>
            <w:r w:rsidR="00BE19D5" w:rsidRPr="00D21BC0">
              <w:rPr>
                <w:rFonts w:ascii="Times New Roman" w:hAnsi="Times New Roman" w:cs="Times New Roman"/>
                <w:noProof/>
                <w:webHidden/>
                <w:sz w:val="24"/>
                <w:szCs w:val="24"/>
              </w:rPr>
              <w:fldChar w:fldCharType="end"/>
            </w:r>
          </w:hyperlink>
        </w:p>
        <w:p w14:paraId="3578FDDD" w14:textId="5AF97167"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58"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Contenido de la Ley Orgánica 6/2007</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97</w:t>
            </w:r>
            <w:r w:rsidR="00BE19D5" w:rsidRPr="00D21BC0">
              <w:rPr>
                <w:rFonts w:ascii="Times New Roman" w:hAnsi="Times New Roman" w:cs="Times New Roman"/>
                <w:noProof/>
                <w:webHidden/>
                <w:sz w:val="24"/>
                <w:szCs w:val="24"/>
              </w:rPr>
              <w:fldChar w:fldCharType="end"/>
            </w:r>
          </w:hyperlink>
        </w:p>
        <w:p w14:paraId="7DAFCB18" w14:textId="5D128624"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59" w:history="1">
            <w:r w:rsidR="00BE19D5" w:rsidRPr="00D21BC0">
              <w:rPr>
                <w:rStyle w:val="Hipervnculo"/>
                <w:rFonts w:ascii="Times New Roman" w:hAnsi="Times New Roman" w:cs="Times New Roman"/>
                <w:noProof/>
                <w:sz w:val="24"/>
                <w:szCs w:val="24"/>
              </w:rPr>
              <w:t>III.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LA NUEVA REGULACIÓN DEL RECURSO DE AMPARO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_Toc50373159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103</w:t>
            </w:r>
            <w:r w:rsidR="00BE19D5" w:rsidRPr="00D21BC0">
              <w:rPr>
                <w:rFonts w:ascii="Times New Roman" w:hAnsi="Times New Roman" w:cs="Times New Roman"/>
                <w:noProof/>
                <w:webHidden/>
                <w:sz w:val="24"/>
                <w:szCs w:val="24"/>
              </w:rPr>
              <w:fldChar w:fldCharType="end"/>
            </w:r>
          </w:hyperlink>
        </w:p>
        <w:p w14:paraId="5C0F4051" w14:textId="08463D12"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60"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Procedencia e interposición del recurso de amparo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104</w:t>
            </w:r>
            <w:r w:rsidR="00BE19D5" w:rsidRPr="00D21BC0">
              <w:rPr>
                <w:rFonts w:ascii="Times New Roman" w:hAnsi="Times New Roman" w:cs="Times New Roman"/>
                <w:noProof/>
                <w:webHidden/>
                <w:sz w:val="24"/>
                <w:szCs w:val="24"/>
              </w:rPr>
              <w:fldChar w:fldCharType="end"/>
            </w:r>
          </w:hyperlink>
        </w:p>
        <w:p w14:paraId="50235325" w14:textId="3302FE3A"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61"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Tramitación de los recursos de amparo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119</w:t>
            </w:r>
            <w:r w:rsidR="00BE19D5" w:rsidRPr="00D21BC0">
              <w:rPr>
                <w:rFonts w:ascii="Times New Roman" w:hAnsi="Times New Roman" w:cs="Times New Roman"/>
                <w:noProof/>
                <w:webHidden/>
                <w:sz w:val="24"/>
                <w:szCs w:val="24"/>
              </w:rPr>
              <w:fldChar w:fldCharType="end"/>
            </w:r>
          </w:hyperlink>
        </w:p>
        <w:p w14:paraId="7639859C" w14:textId="535FF0AD"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62"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resolución de los recursos de amparo y sus efectos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_Toc50373162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136</w:t>
            </w:r>
            <w:r w:rsidR="00BE19D5" w:rsidRPr="00D21BC0">
              <w:rPr>
                <w:rFonts w:ascii="Times New Roman" w:hAnsi="Times New Roman" w:cs="Times New Roman"/>
                <w:noProof/>
                <w:webHidden/>
                <w:sz w:val="24"/>
                <w:szCs w:val="24"/>
              </w:rPr>
              <w:fldChar w:fldCharType="end"/>
            </w:r>
          </w:hyperlink>
        </w:p>
        <w:p w14:paraId="17C7A357" w14:textId="35FE4490"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63" w:history="1">
            <w:r w:rsidR="00BE19D5" w:rsidRPr="00D21BC0">
              <w:rPr>
                <w:rStyle w:val="Hipervnculo"/>
                <w:rFonts w:ascii="Times New Roman" w:hAnsi="Times New Roman" w:cs="Times New Roman"/>
                <w:noProof/>
                <w:sz w:val="24"/>
                <w:szCs w:val="24"/>
              </w:rPr>
              <w:t>4.</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El incidente de nulidad de actuaciones: nuevo requisito para el agotamiento de la vía judicial previa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_Toc50373163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141</w:t>
            </w:r>
            <w:r w:rsidR="00BE19D5" w:rsidRPr="00D21BC0">
              <w:rPr>
                <w:rFonts w:ascii="Times New Roman" w:hAnsi="Times New Roman" w:cs="Times New Roman"/>
                <w:noProof/>
                <w:webHidden/>
                <w:sz w:val="24"/>
                <w:szCs w:val="24"/>
              </w:rPr>
              <w:fldChar w:fldCharType="end"/>
            </w:r>
          </w:hyperlink>
        </w:p>
        <w:p w14:paraId="60D20936" w14:textId="7A088307"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64" w:history="1">
            <w:r w:rsidR="00BE19D5" w:rsidRPr="00D21BC0">
              <w:rPr>
                <w:rStyle w:val="Hipervnculo"/>
                <w:rFonts w:ascii="Times New Roman" w:hAnsi="Times New Roman" w:cs="Times New Roman"/>
                <w:noProof/>
                <w:sz w:val="24"/>
                <w:szCs w:val="24"/>
              </w:rPr>
              <w:t>IV.</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¿UN RECURSO DE AMPARO OBJETIVO?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_Toc50373164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144</w:t>
            </w:r>
            <w:r w:rsidR="00BE19D5" w:rsidRPr="00D21BC0">
              <w:rPr>
                <w:rFonts w:ascii="Times New Roman" w:hAnsi="Times New Roman" w:cs="Times New Roman"/>
                <w:noProof/>
                <w:webHidden/>
                <w:sz w:val="24"/>
                <w:szCs w:val="24"/>
              </w:rPr>
              <w:fldChar w:fldCharType="end"/>
            </w:r>
          </w:hyperlink>
        </w:p>
        <w:p w14:paraId="74B836D4" w14:textId="0346AEB7"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65" w:history="1">
            <w:r w:rsidR="00BE19D5" w:rsidRPr="00D21BC0">
              <w:rPr>
                <w:rStyle w:val="Hipervnculo"/>
                <w:rFonts w:ascii="Times New Roman" w:hAnsi="Times New Roman" w:cs="Times New Roman"/>
                <w:noProof/>
                <w:sz w:val="24"/>
                <w:szCs w:val="24"/>
              </w:rPr>
              <w:t>V.</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PRIMEROS AÑOS DE APLICACIÓN DE LA LEY ORGÁNICA 6/2007</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_Toc50373165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151</w:t>
            </w:r>
            <w:r w:rsidR="00BE19D5" w:rsidRPr="00D21BC0">
              <w:rPr>
                <w:rFonts w:ascii="Times New Roman" w:hAnsi="Times New Roman" w:cs="Times New Roman"/>
                <w:noProof/>
                <w:webHidden/>
                <w:sz w:val="24"/>
                <w:szCs w:val="24"/>
              </w:rPr>
              <w:fldChar w:fldCharType="end"/>
            </w:r>
          </w:hyperlink>
        </w:p>
        <w:p w14:paraId="5A1C5787" w14:textId="69EF0A77" w:rsidR="00BE19D5" w:rsidRPr="00D21BC0" w:rsidRDefault="00271BCE">
          <w:pPr>
            <w:pStyle w:val="TDC1"/>
            <w:tabs>
              <w:tab w:val="right" w:leader="dot" w:pos="8494"/>
            </w:tabs>
            <w:rPr>
              <w:rFonts w:ascii="Times New Roman" w:eastAsiaTheme="minorEastAsia" w:hAnsi="Times New Roman" w:cs="Times New Roman"/>
              <w:b w:val="0"/>
              <w:bCs w:val="0"/>
              <w:caps w:val="0"/>
              <w:noProof/>
              <w:sz w:val="24"/>
              <w:szCs w:val="24"/>
            </w:rPr>
          </w:pPr>
          <w:hyperlink w:anchor="_Toc50373166" w:history="1">
            <w:r w:rsidR="00BE19D5" w:rsidRPr="00D21BC0">
              <w:rPr>
                <w:rStyle w:val="Hipervnculo"/>
                <w:rFonts w:ascii="Times New Roman" w:hAnsi="Times New Roman" w:cs="Times New Roman"/>
                <w:noProof/>
                <w:sz w:val="24"/>
                <w:szCs w:val="24"/>
              </w:rPr>
              <w:t>CAPÍTULO 3: EL INCIDENTE “EXCEPCIONAL” DE NULIDAD DE ACTUACIONES Y SU RELACIÓN CON EL RECURSO DE AMPARO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_Toc50373166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156</w:t>
            </w:r>
            <w:r w:rsidR="00BE19D5" w:rsidRPr="00D21BC0">
              <w:rPr>
                <w:rFonts w:ascii="Times New Roman" w:hAnsi="Times New Roman" w:cs="Times New Roman"/>
                <w:noProof/>
                <w:webHidden/>
                <w:sz w:val="24"/>
                <w:szCs w:val="24"/>
              </w:rPr>
              <w:fldChar w:fldCharType="end"/>
            </w:r>
          </w:hyperlink>
        </w:p>
        <w:p w14:paraId="0C56C145" w14:textId="0884C120"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67" w:history="1">
            <w:r w:rsidR="00BE19D5" w:rsidRPr="00D21BC0">
              <w:rPr>
                <w:rStyle w:val="Hipervnculo"/>
                <w:rFonts w:ascii="Times New Roman" w:hAnsi="Times New Roman" w:cs="Times New Roman"/>
                <w:noProof/>
                <w:sz w:val="24"/>
                <w:szCs w:val="24"/>
              </w:rPr>
              <w:t>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INTRODUCCIÓN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_Toc50373167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156</w:t>
            </w:r>
            <w:r w:rsidR="00BE19D5" w:rsidRPr="00D21BC0">
              <w:rPr>
                <w:rFonts w:ascii="Times New Roman" w:hAnsi="Times New Roman" w:cs="Times New Roman"/>
                <w:noProof/>
                <w:webHidden/>
                <w:sz w:val="24"/>
                <w:szCs w:val="24"/>
              </w:rPr>
              <w:fldChar w:fldCharType="end"/>
            </w:r>
          </w:hyperlink>
        </w:p>
        <w:p w14:paraId="774124C4" w14:textId="12D1634A"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68" w:history="1">
            <w:r w:rsidR="00BE19D5" w:rsidRPr="00D21BC0">
              <w:rPr>
                <w:rStyle w:val="Hipervnculo"/>
                <w:rFonts w:ascii="Times New Roman" w:hAnsi="Times New Roman" w:cs="Times New Roman"/>
                <w:noProof/>
                <w:sz w:val="24"/>
                <w:szCs w:val="24"/>
              </w:rPr>
              <w:t>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La nulidad de actuaciones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157</w:t>
            </w:r>
            <w:r w:rsidR="00BE19D5" w:rsidRPr="00D21BC0">
              <w:rPr>
                <w:rFonts w:ascii="Times New Roman" w:hAnsi="Times New Roman" w:cs="Times New Roman"/>
                <w:noProof/>
                <w:webHidden/>
                <w:sz w:val="24"/>
                <w:szCs w:val="24"/>
              </w:rPr>
              <w:fldChar w:fldCharType="end"/>
            </w:r>
          </w:hyperlink>
        </w:p>
        <w:p w14:paraId="192C75F5" w14:textId="227EF9B8"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69"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Breve referencia a los antecedentes históricos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_Toc50373169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158</w:t>
            </w:r>
            <w:r w:rsidR="00BE19D5" w:rsidRPr="00D21BC0">
              <w:rPr>
                <w:rFonts w:ascii="Times New Roman" w:hAnsi="Times New Roman" w:cs="Times New Roman"/>
                <w:noProof/>
                <w:webHidden/>
                <w:sz w:val="24"/>
                <w:szCs w:val="24"/>
              </w:rPr>
              <w:fldChar w:fldCharType="end"/>
            </w:r>
          </w:hyperlink>
        </w:p>
        <w:p w14:paraId="59B5EA21" w14:textId="2495782A"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0"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Regulación legal actual de la nulidad de actuaciones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168</w:t>
            </w:r>
            <w:r w:rsidR="00BE19D5" w:rsidRPr="00D21BC0">
              <w:rPr>
                <w:rFonts w:ascii="Times New Roman" w:hAnsi="Times New Roman" w:cs="Times New Roman"/>
                <w:noProof/>
                <w:webHidden/>
                <w:sz w:val="24"/>
                <w:szCs w:val="24"/>
              </w:rPr>
              <w:fldChar w:fldCharType="end"/>
            </w:r>
          </w:hyperlink>
        </w:p>
        <w:p w14:paraId="32E3E1AF" w14:textId="4F517419"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1"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Principios que rigen la nulidad de actuaciones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172</w:t>
            </w:r>
            <w:r w:rsidR="00BE19D5" w:rsidRPr="00D21BC0">
              <w:rPr>
                <w:rFonts w:ascii="Times New Roman" w:hAnsi="Times New Roman" w:cs="Times New Roman"/>
                <w:noProof/>
                <w:webHidden/>
                <w:sz w:val="24"/>
                <w:szCs w:val="24"/>
              </w:rPr>
              <w:fldChar w:fldCharType="end"/>
            </w:r>
          </w:hyperlink>
        </w:p>
        <w:p w14:paraId="6B55CD6A" w14:textId="22AFAA26"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2" w:history="1">
            <w:r w:rsidR="00BE19D5" w:rsidRPr="00D21BC0">
              <w:rPr>
                <w:rStyle w:val="Hipervnculo"/>
                <w:rFonts w:ascii="Times New Roman" w:hAnsi="Times New Roman" w:cs="Times New Roman"/>
                <w:noProof/>
                <w:sz w:val="24"/>
                <w:szCs w:val="24"/>
              </w:rPr>
              <w:t>4.</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Causas de nulidad</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_Toc50373172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175</w:t>
            </w:r>
            <w:r w:rsidR="00BE19D5" w:rsidRPr="00D21BC0">
              <w:rPr>
                <w:rFonts w:ascii="Times New Roman" w:hAnsi="Times New Roman" w:cs="Times New Roman"/>
                <w:noProof/>
                <w:webHidden/>
                <w:sz w:val="24"/>
                <w:szCs w:val="24"/>
              </w:rPr>
              <w:fldChar w:fldCharType="end"/>
            </w:r>
          </w:hyperlink>
        </w:p>
        <w:p w14:paraId="55B6495A" w14:textId="3B24CBE8"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3" w:history="1">
            <w:r w:rsidR="00BE19D5" w:rsidRPr="00D21BC0">
              <w:rPr>
                <w:rStyle w:val="Hipervnculo"/>
                <w:rFonts w:ascii="Times New Roman" w:hAnsi="Times New Roman" w:cs="Times New Roman"/>
                <w:noProof/>
                <w:sz w:val="24"/>
                <w:szCs w:val="24"/>
              </w:rPr>
              <w:t>5.</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Procedimiento para declarar la nulidad de un acto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_Toc50373173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187</w:t>
            </w:r>
            <w:r w:rsidR="00BE19D5" w:rsidRPr="00D21BC0">
              <w:rPr>
                <w:rFonts w:ascii="Times New Roman" w:hAnsi="Times New Roman" w:cs="Times New Roman"/>
                <w:noProof/>
                <w:webHidden/>
                <w:sz w:val="24"/>
                <w:szCs w:val="24"/>
              </w:rPr>
              <w:fldChar w:fldCharType="end"/>
            </w:r>
          </w:hyperlink>
        </w:p>
        <w:p w14:paraId="4D28E6A0" w14:textId="6486FB44"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74" w:history="1">
            <w:r w:rsidR="00BE19D5" w:rsidRPr="00D21BC0">
              <w:rPr>
                <w:rStyle w:val="Hipervnculo"/>
                <w:rFonts w:ascii="Times New Roman" w:hAnsi="Times New Roman" w:cs="Times New Roman"/>
                <w:noProof/>
                <w:sz w:val="24"/>
                <w:szCs w:val="24"/>
              </w:rPr>
              <w:t>III.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El incidente “excepcional” de nulidad de actuaciones (art. 241 LOPJ)</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_Toc50373174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191</w:t>
            </w:r>
            <w:r w:rsidR="00BE19D5" w:rsidRPr="00D21BC0">
              <w:rPr>
                <w:rFonts w:ascii="Times New Roman" w:hAnsi="Times New Roman" w:cs="Times New Roman"/>
                <w:noProof/>
                <w:webHidden/>
                <w:sz w:val="24"/>
                <w:szCs w:val="24"/>
              </w:rPr>
              <w:fldChar w:fldCharType="end"/>
            </w:r>
          </w:hyperlink>
        </w:p>
        <w:p w14:paraId="3524554D" w14:textId="25A880F2"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5"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Breve referencia a los antecedentes históricos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_Toc50373175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192</w:t>
            </w:r>
            <w:r w:rsidR="00BE19D5" w:rsidRPr="00D21BC0">
              <w:rPr>
                <w:rFonts w:ascii="Times New Roman" w:hAnsi="Times New Roman" w:cs="Times New Roman"/>
                <w:noProof/>
                <w:webHidden/>
                <w:sz w:val="24"/>
                <w:szCs w:val="24"/>
              </w:rPr>
              <w:fldChar w:fldCharType="end"/>
            </w:r>
          </w:hyperlink>
        </w:p>
        <w:p w14:paraId="4DE94842" w14:textId="46ECA271"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6"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Regulación legal actual del incidente "excepcional" de nulidad de actuaciones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_Toc50373176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193</w:t>
            </w:r>
            <w:r w:rsidR="00BE19D5" w:rsidRPr="00D21BC0">
              <w:rPr>
                <w:rFonts w:ascii="Times New Roman" w:hAnsi="Times New Roman" w:cs="Times New Roman"/>
                <w:noProof/>
                <w:webHidden/>
                <w:sz w:val="24"/>
                <w:szCs w:val="24"/>
              </w:rPr>
              <w:fldChar w:fldCharType="end"/>
            </w:r>
          </w:hyperlink>
        </w:p>
        <w:p w14:paraId="0985EB4A" w14:textId="528F4C55"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7"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Principios que rigen el incidente “excepcional” de nulidad de actuaciones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_Toc50373177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195</w:t>
            </w:r>
            <w:r w:rsidR="00BE19D5" w:rsidRPr="00D21BC0">
              <w:rPr>
                <w:rFonts w:ascii="Times New Roman" w:hAnsi="Times New Roman" w:cs="Times New Roman"/>
                <w:noProof/>
                <w:webHidden/>
                <w:sz w:val="24"/>
                <w:szCs w:val="24"/>
              </w:rPr>
              <w:fldChar w:fldCharType="end"/>
            </w:r>
          </w:hyperlink>
        </w:p>
        <w:p w14:paraId="71A02B27" w14:textId="2943DC52"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8" w:history="1">
            <w:r w:rsidR="00BE19D5" w:rsidRPr="00D21BC0">
              <w:rPr>
                <w:rStyle w:val="Hipervnculo"/>
                <w:rFonts w:ascii="Times New Roman" w:hAnsi="Times New Roman" w:cs="Times New Roman"/>
                <w:noProof/>
                <w:sz w:val="24"/>
                <w:szCs w:val="24"/>
              </w:rPr>
              <w:t>4.</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Naturaleza jurídica y causas por las que procede el incidente</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198</w:t>
            </w:r>
            <w:r w:rsidR="00BE19D5" w:rsidRPr="00D21BC0">
              <w:rPr>
                <w:rFonts w:ascii="Times New Roman" w:hAnsi="Times New Roman" w:cs="Times New Roman"/>
                <w:noProof/>
                <w:webHidden/>
                <w:sz w:val="24"/>
                <w:szCs w:val="24"/>
              </w:rPr>
              <w:fldChar w:fldCharType="end"/>
            </w:r>
          </w:hyperlink>
        </w:p>
        <w:p w14:paraId="28A47CFE" w14:textId="6A4708FE"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79" w:history="1">
            <w:r w:rsidR="00BE19D5" w:rsidRPr="00D21BC0">
              <w:rPr>
                <w:rStyle w:val="Hipervnculo"/>
                <w:rFonts w:ascii="Times New Roman" w:hAnsi="Times New Roman" w:cs="Times New Roman"/>
                <w:noProof/>
                <w:sz w:val="24"/>
                <w:szCs w:val="24"/>
              </w:rPr>
              <w:t>5.</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Configuración procesal del incidente “excepcional” de nulidad de actuaciones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_Toc50373179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200</w:t>
            </w:r>
            <w:r w:rsidR="00BE19D5" w:rsidRPr="00D21BC0">
              <w:rPr>
                <w:rFonts w:ascii="Times New Roman" w:hAnsi="Times New Roman" w:cs="Times New Roman"/>
                <w:noProof/>
                <w:webHidden/>
                <w:sz w:val="24"/>
                <w:szCs w:val="24"/>
              </w:rPr>
              <w:fldChar w:fldCharType="end"/>
            </w:r>
          </w:hyperlink>
        </w:p>
        <w:p w14:paraId="495BDFA2" w14:textId="437BB9B3"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80" w:history="1">
            <w:r w:rsidR="00BE19D5" w:rsidRPr="00D21BC0">
              <w:rPr>
                <w:rStyle w:val="Hipervnculo"/>
                <w:rFonts w:ascii="Times New Roman" w:hAnsi="Times New Roman" w:cs="Times New Roman"/>
                <w:noProof/>
                <w:sz w:val="24"/>
                <w:szCs w:val="24"/>
              </w:rPr>
              <w:t>IV.</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La relación entre el incidente “excepcional” de nulidad de actuaciones y el recurso de amparo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210</w:t>
            </w:r>
            <w:r w:rsidR="00BE19D5" w:rsidRPr="00D21BC0">
              <w:rPr>
                <w:rFonts w:ascii="Times New Roman" w:hAnsi="Times New Roman" w:cs="Times New Roman"/>
                <w:noProof/>
                <w:webHidden/>
                <w:sz w:val="24"/>
                <w:szCs w:val="24"/>
              </w:rPr>
              <w:fldChar w:fldCharType="end"/>
            </w:r>
          </w:hyperlink>
        </w:p>
        <w:p w14:paraId="649F2F01" w14:textId="348C0EEB"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81"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El incidente excepcional de nulidad de actuaciones como instrumento procesal para remediar lesiones de derechos fundamentales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210</w:t>
            </w:r>
            <w:r w:rsidR="00BE19D5" w:rsidRPr="00D21BC0">
              <w:rPr>
                <w:rFonts w:ascii="Times New Roman" w:hAnsi="Times New Roman" w:cs="Times New Roman"/>
                <w:noProof/>
                <w:webHidden/>
                <w:sz w:val="24"/>
                <w:szCs w:val="24"/>
              </w:rPr>
              <w:fldChar w:fldCharType="end"/>
            </w:r>
          </w:hyperlink>
        </w:p>
        <w:p w14:paraId="49DB1B72" w14:textId="132B7DE7"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82"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El incidente “excepcional” de nulidad de actuaciones como medio de acceso al recurso de amparo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_Toc50373182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213</w:t>
            </w:r>
            <w:r w:rsidR="00BE19D5" w:rsidRPr="00D21BC0">
              <w:rPr>
                <w:rFonts w:ascii="Times New Roman" w:hAnsi="Times New Roman" w:cs="Times New Roman"/>
                <w:noProof/>
                <w:webHidden/>
                <w:sz w:val="24"/>
                <w:szCs w:val="24"/>
              </w:rPr>
              <w:fldChar w:fldCharType="end"/>
            </w:r>
          </w:hyperlink>
        </w:p>
        <w:p w14:paraId="75B8B555" w14:textId="4B86E617"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83"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imposibilidad de simultanear el incidente de nulidad de actuaciones y el recurso de amparo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_Toc50373183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223</w:t>
            </w:r>
            <w:r w:rsidR="00BE19D5" w:rsidRPr="00D21BC0">
              <w:rPr>
                <w:rFonts w:ascii="Times New Roman" w:hAnsi="Times New Roman" w:cs="Times New Roman"/>
                <w:noProof/>
                <w:webHidden/>
                <w:sz w:val="24"/>
                <w:szCs w:val="24"/>
              </w:rPr>
              <w:fldChar w:fldCharType="end"/>
            </w:r>
          </w:hyperlink>
        </w:p>
        <w:p w14:paraId="4A1184AD" w14:textId="64171E57" w:rsidR="00BE19D5" w:rsidRPr="00D21BC0" w:rsidRDefault="00271BCE">
          <w:pPr>
            <w:pStyle w:val="TDC1"/>
            <w:tabs>
              <w:tab w:val="right" w:leader="dot" w:pos="8494"/>
            </w:tabs>
            <w:rPr>
              <w:rFonts w:ascii="Times New Roman" w:eastAsiaTheme="minorEastAsia" w:hAnsi="Times New Roman" w:cs="Times New Roman"/>
              <w:b w:val="0"/>
              <w:bCs w:val="0"/>
              <w:caps w:val="0"/>
              <w:noProof/>
              <w:sz w:val="24"/>
              <w:szCs w:val="24"/>
            </w:rPr>
          </w:pPr>
          <w:hyperlink w:anchor="_Toc50373184" w:history="1">
            <w:r w:rsidR="00BE19D5" w:rsidRPr="00D21BC0">
              <w:rPr>
                <w:rStyle w:val="Hipervnculo"/>
                <w:rFonts w:ascii="Times New Roman" w:hAnsi="Times New Roman" w:cs="Times New Roman"/>
                <w:noProof/>
                <w:sz w:val="24"/>
                <w:szCs w:val="24"/>
              </w:rPr>
              <w:t>CAPÍTULO CUARTO: LA ESPECIAL TRASCENDENCIA CONSTITUCIONAL, ¿UN CONCEPTO JURÍDICO INDETERMINADO?</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_Toc50373184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232</w:t>
            </w:r>
            <w:r w:rsidR="00BE19D5" w:rsidRPr="00D21BC0">
              <w:rPr>
                <w:rFonts w:ascii="Times New Roman" w:hAnsi="Times New Roman" w:cs="Times New Roman"/>
                <w:noProof/>
                <w:webHidden/>
                <w:sz w:val="24"/>
                <w:szCs w:val="24"/>
              </w:rPr>
              <w:fldChar w:fldCharType="end"/>
            </w:r>
          </w:hyperlink>
        </w:p>
        <w:p w14:paraId="1D1BB1FF" w14:textId="48D6904E"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85" w:history="1">
            <w:r w:rsidR="00BE19D5" w:rsidRPr="00D21BC0">
              <w:rPr>
                <w:rStyle w:val="Hipervnculo"/>
                <w:rFonts w:ascii="Times New Roman" w:hAnsi="Times New Roman" w:cs="Times New Roman"/>
                <w:noProof/>
                <w:sz w:val="24"/>
                <w:szCs w:val="24"/>
              </w:rPr>
              <w:t>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INTRODUCCIÓN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_Toc50373185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232</w:t>
            </w:r>
            <w:r w:rsidR="00BE19D5" w:rsidRPr="00D21BC0">
              <w:rPr>
                <w:rFonts w:ascii="Times New Roman" w:hAnsi="Times New Roman" w:cs="Times New Roman"/>
                <w:noProof/>
                <w:webHidden/>
                <w:sz w:val="24"/>
                <w:szCs w:val="24"/>
              </w:rPr>
              <w:fldChar w:fldCharType="end"/>
            </w:r>
          </w:hyperlink>
        </w:p>
        <w:p w14:paraId="4A88529C" w14:textId="16462E36"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86" w:history="1">
            <w:r w:rsidR="00BE19D5" w:rsidRPr="00D21BC0">
              <w:rPr>
                <w:rStyle w:val="Hipervnculo"/>
                <w:rFonts w:ascii="Times New Roman" w:hAnsi="Times New Roman" w:cs="Times New Roman"/>
                <w:noProof/>
                <w:sz w:val="24"/>
                <w:szCs w:val="24"/>
              </w:rPr>
              <w:t>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LA ESPECIAL TRASCENDENCIA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_Toc50373186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233</w:t>
            </w:r>
            <w:r w:rsidR="00BE19D5" w:rsidRPr="00D21BC0">
              <w:rPr>
                <w:rFonts w:ascii="Times New Roman" w:hAnsi="Times New Roman" w:cs="Times New Roman"/>
                <w:noProof/>
                <w:webHidden/>
                <w:sz w:val="24"/>
                <w:szCs w:val="24"/>
              </w:rPr>
              <w:fldChar w:fldCharType="end"/>
            </w:r>
          </w:hyperlink>
        </w:p>
        <w:p w14:paraId="6AD615BE" w14:textId="6A7F3FDC"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87"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La apreciación de la especial trascendencia constitucional, ¿una decisión discrecional del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_Toc50373187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233</w:t>
            </w:r>
            <w:r w:rsidR="00BE19D5" w:rsidRPr="00D21BC0">
              <w:rPr>
                <w:rFonts w:ascii="Times New Roman" w:hAnsi="Times New Roman" w:cs="Times New Roman"/>
                <w:noProof/>
                <w:webHidden/>
                <w:sz w:val="24"/>
                <w:szCs w:val="24"/>
              </w:rPr>
              <w:fldChar w:fldCharType="end"/>
            </w:r>
          </w:hyperlink>
        </w:p>
        <w:p w14:paraId="320D0985" w14:textId="7BB67C86"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88"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Criterios que permiten precisar la especial trascendencia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238</w:t>
            </w:r>
            <w:r w:rsidR="00BE19D5" w:rsidRPr="00D21BC0">
              <w:rPr>
                <w:rFonts w:ascii="Times New Roman" w:hAnsi="Times New Roman" w:cs="Times New Roman"/>
                <w:noProof/>
                <w:webHidden/>
                <w:sz w:val="24"/>
                <w:szCs w:val="24"/>
              </w:rPr>
              <w:fldChar w:fldCharType="end"/>
            </w:r>
          </w:hyperlink>
        </w:p>
        <w:p w14:paraId="3932F195" w14:textId="197A0841"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89" w:history="1">
            <w:r w:rsidR="00BE19D5" w:rsidRPr="00D21BC0">
              <w:rPr>
                <w:rStyle w:val="Hipervnculo"/>
                <w:rFonts w:ascii="Times New Roman" w:hAnsi="Times New Roman" w:cs="Times New Roman"/>
                <w:noProof/>
                <w:sz w:val="24"/>
                <w:szCs w:val="24"/>
              </w:rPr>
              <w:t>III.</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EVOLUCION JURISPRUDENCIAL DE LOS DIFERENTES SUPUESTOS DE ESPECIAL TRASCENDENCIA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_Toc50373189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264</w:t>
            </w:r>
            <w:r w:rsidR="00BE19D5" w:rsidRPr="00D21BC0">
              <w:rPr>
                <w:rFonts w:ascii="Times New Roman" w:hAnsi="Times New Roman" w:cs="Times New Roman"/>
                <w:noProof/>
                <w:webHidden/>
                <w:sz w:val="24"/>
                <w:szCs w:val="24"/>
              </w:rPr>
              <w:fldChar w:fldCharType="end"/>
            </w:r>
          </w:hyperlink>
        </w:p>
        <w:p w14:paraId="726AB8CB" w14:textId="148EA61B"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0"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Recurso que plantea un problema o faceta de un derecho fundamental susceptible de amparo sobre el que no haya doctrina del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268</w:t>
            </w:r>
            <w:r w:rsidR="00BE19D5" w:rsidRPr="00D21BC0">
              <w:rPr>
                <w:rFonts w:ascii="Times New Roman" w:hAnsi="Times New Roman" w:cs="Times New Roman"/>
                <w:noProof/>
                <w:webHidden/>
                <w:sz w:val="24"/>
                <w:szCs w:val="24"/>
              </w:rPr>
              <w:fldChar w:fldCharType="end"/>
            </w:r>
          </w:hyperlink>
        </w:p>
        <w:p w14:paraId="03403185" w14:textId="0B143209"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1"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Aclaración o cambio de doctrina como consecuencia de un proceso de reflexión interna, surgimiento de nuevas realidades sociales o cambios normativos relevantes, o cambio en la doctrina de órganos de garantía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278</w:t>
            </w:r>
            <w:r w:rsidR="00BE19D5" w:rsidRPr="00D21BC0">
              <w:rPr>
                <w:rFonts w:ascii="Times New Roman" w:hAnsi="Times New Roman" w:cs="Times New Roman"/>
                <w:noProof/>
                <w:webHidden/>
                <w:sz w:val="24"/>
                <w:szCs w:val="24"/>
              </w:rPr>
              <w:fldChar w:fldCharType="end"/>
            </w:r>
          </w:hyperlink>
        </w:p>
        <w:p w14:paraId="50B872D6" w14:textId="6A3E16FA"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2" w:history="1">
            <w:r w:rsidR="00BE19D5" w:rsidRPr="00D21BC0">
              <w:rPr>
                <w:rStyle w:val="Hipervnculo"/>
                <w:rFonts w:ascii="Times New Roman" w:hAnsi="Times New Roman" w:cs="Times New Roman"/>
                <w:noProof/>
                <w:sz w:val="24"/>
                <w:szCs w:val="24"/>
              </w:rPr>
              <w:t>3.</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Cuando la vulneración del derecho fundamental proviene de la ley o de otra disposición con carácter general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_Toc50373192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286</w:t>
            </w:r>
            <w:r w:rsidR="00BE19D5" w:rsidRPr="00D21BC0">
              <w:rPr>
                <w:rFonts w:ascii="Times New Roman" w:hAnsi="Times New Roman" w:cs="Times New Roman"/>
                <w:noProof/>
                <w:webHidden/>
                <w:sz w:val="24"/>
                <w:szCs w:val="24"/>
              </w:rPr>
              <w:fldChar w:fldCharType="end"/>
            </w:r>
          </w:hyperlink>
        </w:p>
        <w:p w14:paraId="4F1A6C70" w14:textId="2BD03DED"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3" w:history="1">
            <w:r w:rsidR="00BE19D5" w:rsidRPr="00D21BC0">
              <w:rPr>
                <w:rStyle w:val="Hipervnculo"/>
                <w:rFonts w:ascii="Times New Roman" w:hAnsi="Times New Roman" w:cs="Times New Roman"/>
                <w:noProof/>
                <w:sz w:val="24"/>
                <w:szCs w:val="24"/>
              </w:rPr>
              <w:t>4.</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Si la vulneración trae causa de una interpretación jurisprudencial de la ley que el Tribunal Constitucional considera lesiva y cree necesario proclamar otra interpretación conforme a la Constitución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_Toc50373193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295</w:t>
            </w:r>
            <w:r w:rsidR="00BE19D5" w:rsidRPr="00D21BC0">
              <w:rPr>
                <w:rFonts w:ascii="Times New Roman" w:hAnsi="Times New Roman" w:cs="Times New Roman"/>
                <w:noProof/>
                <w:webHidden/>
                <w:sz w:val="24"/>
                <w:szCs w:val="24"/>
              </w:rPr>
              <w:fldChar w:fldCharType="end"/>
            </w:r>
          </w:hyperlink>
        </w:p>
        <w:p w14:paraId="43BED65C" w14:textId="086AEBEE"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4" w:history="1">
            <w:r w:rsidR="00BE19D5" w:rsidRPr="00D21BC0">
              <w:rPr>
                <w:rStyle w:val="Hipervnculo"/>
                <w:rFonts w:ascii="Times New Roman" w:hAnsi="Times New Roman" w:cs="Times New Roman"/>
                <w:noProof/>
                <w:sz w:val="24"/>
                <w:szCs w:val="24"/>
              </w:rPr>
              <w:t>5.</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Cuando la doctrina del TC sobre el derecho fundamental que se alega esté siendo incumplida de modo general y reiterado por la jurisdicción ordinaria, o existan resoluciones judiciales contradictorias sobre el derecho fundamental, interpretado de manera distinta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_Toc50373194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297</w:t>
            </w:r>
            <w:r w:rsidR="00BE19D5" w:rsidRPr="00D21BC0">
              <w:rPr>
                <w:rFonts w:ascii="Times New Roman" w:hAnsi="Times New Roman" w:cs="Times New Roman"/>
                <w:noProof/>
                <w:webHidden/>
                <w:sz w:val="24"/>
                <w:szCs w:val="24"/>
              </w:rPr>
              <w:fldChar w:fldCharType="end"/>
            </w:r>
          </w:hyperlink>
        </w:p>
        <w:p w14:paraId="0B3260D1" w14:textId="2D705B76"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5" w:history="1">
            <w:r w:rsidR="00BE19D5" w:rsidRPr="00D21BC0">
              <w:rPr>
                <w:rStyle w:val="Hipervnculo"/>
                <w:rFonts w:ascii="Times New Roman" w:hAnsi="Times New Roman" w:cs="Times New Roman"/>
                <w:noProof/>
                <w:sz w:val="24"/>
                <w:szCs w:val="24"/>
              </w:rPr>
              <w:t>6.</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Cuando un órgano judicial incurra en una negativa manifiesta del deber de acatamiento de la doctrina del Tribunal Constitucional</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_Toc50373195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304</w:t>
            </w:r>
            <w:r w:rsidR="00BE19D5" w:rsidRPr="00D21BC0">
              <w:rPr>
                <w:rFonts w:ascii="Times New Roman" w:hAnsi="Times New Roman" w:cs="Times New Roman"/>
                <w:noProof/>
                <w:webHidden/>
                <w:sz w:val="24"/>
                <w:szCs w:val="24"/>
              </w:rPr>
              <w:fldChar w:fldCharType="end"/>
            </w:r>
          </w:hyperlink>
        </w:p>
        <w:p w14:paraId="26B8D9CA" w14:textId="736B9A1E"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6" w:history="1">
            <w:r w:rsidR="00BE19D5" w:rsidRPr="00D21BC0">
              <w:rPr>
                <w:rStyle w:val="Hipervnculo"/>
                <w:rFonts w:ascii="Times New Roman" w:hAnsi="Times New Roman" w:cs="Times New Roman"/>
                <w:noProof/>
                <w:sz w:val="24"/>
                <w:szCs w:val="24"/>
              </w:rPr>
              <w:t>7.</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Cuando el asunto suscitado, sin estar incluido en ninguno de los supuestos anteriores, trascienda del caso concreto porque plantee una cuestión jurídica de relevante y general repercusión social o económica o tenga unas consecuencias políticas generales, consecuencias que podrían concurrir, sobre todo, aunque no exclusivamente, en determinados amparos electorales o parlamentarios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_Toc50373196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309</w:t>
            </w:r>
            <w:r w:rsidR="00BE19D5" w:rsidRPr="00D21BC0">
              <w:rPr>
                <w:rFonts w:ascii="Times New Roman" w:hAnsi="Times New Roman" w:cs="Times New Roman"/>
                <w:noProof/>
                <w:webHidden/>
                <w:sz w:val="24"/>
                <w:szCs w:val="24"/>
              </w:rPr>
              <w:fldChar w:fldCharType="end"/>
            </w:r>
          </w:hyperlink>
        </w:p>
        <w:p w14:paraId="1C87E623" w14:textId="36D278B5" w:rsidR="00BE19D5" w:rsidRPr="00D21BC0" w:rsidRDefault="00271BCE">
          <w:pPr>
            <w:pStyle w:val="TDC2"/>
            <w:tabs>
              <w:tab w:val="left" w:pos="720"/>
              <w:tab w:val="right" w:leader="dot" w:pos="8494"/>
            </w:tabs>
            <w:rPr>
              <w:rFonts w:ascii="Times New Roman" w:eastAsiaTheme="minorEastAsia" w:hAnsi="Times New Roman" w:cs="Times New Roman"/>
              <w:smallCaps w:val="0"/>
              <w:noProof/>
              <w:sz w:val="24"/>
              <w:szCs w:val="24"/>
            </w:rPr>
          </w:pPr>
          <w:hyperlink w:anchor="_Toc50373197" w:history="1">
            <w:r w:rsidR="00BE19D5" w:rsidRPr="00D21BC0">
              <w:rPr>
                <w:rStyle w:val="Hipervnculo"/>
                <w:rFonts w:ascii="Times New Roman" w:hAnsi="Times New Roman" w:cs="Times New Roman"/>
                <w:noProof/>
                <w:sz w:val="24"/>
                <w:szCs w:val="24"/>
              </w:rPr>
              <w:t>IV.</w:t>
            </w:r>
            <w:r w:rsidR="00BE19D5" w:rsidRPr="00D21BC0">
              <w:rPr>
                <w:rFonts w:ascii="Times New Roman" w:eastAsiaTheme="minorEastAsia" w:hAnsi="Times New Roman" w:cs="Times New Roman"/>
                <w:smallCaps w:val="0"/>
                <w:noProof/>
                <w:sz w:val="24"/>
                <w:szCs w:val="24"/>
              </w:rPr>
              <w:tab/>
            </w:r>
            <w:r w:rsidR="00BE19D5" w:rsidRPr="00D21BC0">
              <w:rPr>
                <w:rStyle w:val="Hipervnculo"/>
                <w:rFonts w:ascii="Times New Roman" w:hAnsi="Times New Roman" w:cs="Times New Roman"/>
                <w:noProof/>
                <w:sz w:val="24"/>
                <w:szCs w:val="24"/>
              </w:rPr>
              <w:t>EL RECURSO DE AMPARO EN LA ACTUALIDAD</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_Toc50373197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319</w:t>
            </w:r>
            <w:r w:rsidR="00BE19D5" w:rsidRPr="00D21BC0">
              <w:rPr>
                <w:rFonts w:ascii="Times New Roman" w:hAnsi="Times New Roman" w:cs="Times New Roman"/>
                <w:noProof/>
                <w:webHidden/>
                <w:sz w:val="24"/>
                <w:szCs w:val="24"/>
              </w:rPr>
              <w:fldChar w:fldCharType="end"/>
            </w:r>
          </w:hyperlink>
        </w:p>
        <w:p w14:paraId="249498B2" w14:textId="76777F6C"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8" w:history="1">
            <w:r w:rsidR="00BE19D5" w:rsidRPr="00D21BC0">
              <w:rPr>
                <w:rStyle w:val="Hipervnculo"/>
                <w:rFonts w:ascii="Times New Roman" w:hAnsi="Times New Roman" w:cs="Times New Roman"/>
                <w:noProof/>
                <w:sz w:val="24"/>
                <w:szCs w:val="24"/>
              </w:rPr>
              <w:t>1.</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Algunos datos estadísticos sobre las consecuencias del nuevo régimen de admisión</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_Toc50373198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319</w:t>
            </w:r>
            <w:r w:rsidR="00BE19D5" w:rsidRPr="00D21BC0">
              <w:rPr>
                <w:rFonts w:ascii="Times New Roman" w:hAnsi="Times New Roman" w:cs="Times New Roman"/>
                <w:noProof/>
                <w:webHidden/>
                <w:sz w:val="24"/>
                <w:szCs w:val="24"/>
              </w:rPr>
              <w:fldChar w:fldCharType="end"/>
            </w:r>
          </w:hyperlink>
        </w:p>
        <w:p w14:paraId="73B29F2E" w14:textId="61A80AFD" w:rsidR="00BE19D5" w:rsidRPr="00D21BC0" w:rsidRDefault="00271BCE">
          <w:pPr>
            <w:pStyle w:val="TDC3"/>
            <w:tabs>
              <w:tab w:val="left" w:pos="960"/>
              <w:tab w:val="right" w:leader="dot" w:pos="8494"/>
            </w:tabs>
            <w:rPr>
              <w:rFonts w:ascii="Times New Roman" w:eastAsiaTheme="minorEastAsia" w:hAnsi="Times New Roman" w:cs="Times New Roman"/>
              <w:i w:val="0"/>
              <w:iCs w:val="0"/>
              <w:noProof/>
              <w:sz w:val="24"/>
              <w:szCs w:val="24"/>
            </w:rPr>
          </w:pPr>
          <w:hyperlink w:anchor="_Toc50373199" w:history="1">
            <w:r w:rsidR="00BE19D5" w:rsidRPr="00D21BC0">
              <w:rPr>
                <w:rStyle w:val="Hipervnculo"/>
                <w:rFonts w:ascii="Times New Roman" w:hAnsi="Times New Roman" w:cs="Times New Roman"/>
                <w:noProof/>
                <w:sz w:val="24"/>
                <w:szCs w:val="24"/>
              </w:rPr>
              <w:t>2.</w:t>
            </w:r>
            <w:r w:rsidR="00BE19D5" w:rsidRPr="00D21BC0">
              <w:rPr>
                <w:rFonts w:ascii="Times New Roman" w:eastAsiaTheme="minorEastAsia" w:hAnsi="Times New Roman" w:cs="Times New Roman"/>
                <w:i w:val="0"/>
                <w:iCs w:val="0"/>
                <w:noProof/>
                <w:sz w:val="24"/>
                <w:szCs w:val="24"/>
              </w:rPr>
              <w:tab/>
            </w:r>
            <w:r w:rsidR="00BE19D5" w:rsidRPr="00D21BC0">
              <w:rPr>
                <w:rStyle w:val="Hipervnculo"/>
                <w:rFonts w:ascii="Times New Roman" w:hAnsi="Times New Roman" w:cs="Times New Roman"/>
                <w:noProof/>
                <w:sz w:val="24"/>
                <w:szCs w:val="24"/>
              </w:rPr>
              <w:t>Breve referencia a la adecuación de la reforma de 2007 al Convenio Europeo de Derechos Humanos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_Toc50373199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325</w:t>
            </w:r>
            <w:r w:rsidR="00BE19D5" w:rsidRPr="00D21BC0">
              <w:rPr>
                <w:rFonts w:ascii="Times New Roman" w:hAnsi="Times New Roman" w:cs="Times New Roman"/>
                <w:noProof/>
                <w:webHidden/>
                <w:sz w:val="24"/>
                <w:szCs w:val="24"/>
              </w:rPr>
              <w:fldChar w:fldCharType="end"/>
            </w:r>
          </w:hyperlink>
        </w:p>
        <w:p w14:paraId="2691A298" w14:textId="3A0273D5" w:rsidR="00BE19D5" w:rsidRPr="00D21BC0" w:rsidRDefault="00271BCE">
          <w:pPr>
            <w:pStyle w:val="TDC1"/>
            <w:tabs>
              <w:tab w:val="right" w:leader="dot" w:pos="8494"/>
            </w:tabs>
            <w:rPr>
              <w:rFonts w:ascii="Times New Roman" w:eastAsiaTheme="minorEastAsia" w:hAnsi="Times New Roman" w:cs="Times New Roman"/>
              <w:b w:val="0"/>
              <w:bCs w:val="0"/>
              <w:caps w:val="0"/>
              <w:noProof/>
              <w:sz w:val="24"/>
              <w:szCs w:val="24"/>
            </w:rPr>
          </w:pPr>
          <w:hyperlink w:anchor="_Toc50373200" w:history="1">
            <w:r w:rsidR="00BE19D5" w:rsidRPr="00D21BC0">
              <w:rPr>
                <w:rStyle w:val="Hipervnculo"/>
                <w:rFonts w:ascii="Times New Roman" w:hAnsi="Times New Roman" w:cs="Times New Roman"/>
                <w:noProof/>
                <w:sz w:val="24"/>
                <w:szCs w:val="24"/>
              </w:rPr>
              <w:t>CONCLUSIONES</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_Toc50373200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330</w:t>
            </w:r>
            <w:r w:rsidR="00BE19D5" w:rsidRPr="00D21BC0">
              <w:rPr>
                <w:rFonts w:ascii="Times New Roman" w:hAnsi="Times New Roman" w:cs="Times New Roman"/>
                <w:noProof/>
                <w:webHidden/>
                <w:sz w:val="24"/>
                <w:szCs w:val="24"/>
              </w:rPr>
              <w:fldChar w:fldCharType="end"/>
            </w:r>
          </w:hyperlink>
        </w:p>
        <w:p w14:paraId="3C1776DD" w14:textId="52DA4337" w:rsidR="00BE19D5" w:rsidRPr="00D21BC0" w:rsidRDefault="00271BCE">
          <w:pPr>
            <w:pStyle w:val="TDC1"/>
            <w:tabs>
              <w:tab w:val="right" w:leader="dot" w:pos="8494"/>
            </w:tabs>
            <w:rPr>
              <w:rFonts w:ascii="Times New Roman" w:eastAsiaTheme="minorEastAsia" w:hAnsi="Times New Roman" w:cs="Times New Roman"/>
              <w:b w:val="0"/>
              <w:bCs w:val="0"/>
              <w:caps w:val="0"/>
              <w:noProof/>
              <w:sz w:val="24"/>
              <w:szCs w:val="24"/>
            </w:rPr>
          </w:pPr>
          <w:hyperlink w:anchor="_Toc50373201" w:history="1">
            <w:r w:rsidR="00BE19D5" w:rsidRPr="00D21BC0">
              <w:rPr>
                <w:rStyle w:val="Hipervnculo"/>
                <w:rFonts w:ascii="Times New Roman" w:hAnsi="Times New Roman" w:cs="Times New Roman"/>
                <w:noProof/>
                <w:sz w:val="24"/>
                <w:szCs w:val="24"/>
              </w:rPr>
              <w:t>BIBLIOGRAFÍA</w:t>
            </w:r>
            <w:r w:rsidR="00BE19D5" w:rsidRPr="00D21BC0">
              <w:rPr>
                <w:rFonts w:ascii="Times New Roman" w:hAnsi="Times New Roman" w:cs="Times New Roman"/>
                <w:noProof/>
                <w:webHidden/>
                <w:sz w:val="24"/>
                <w:szCs w:val="24"/>
              </w:rPr>
              <w:tab/>
            </w:r>
            <w:r w:rsidR="00BE19D5" w:rsidRPr="00D21BC0">
              <w:rPr>
                <w:rFonts w:ascii="Times New Roman" w:hAnsi="Times New Roman" w:cs="Times New Roman"/>
                <w:noProof/>
                <w:webHidden/>
                <w:sz w:val="24"/>
                <w:szCs w:val="24"/>
              </w:rPr>
              <w:fldChar w:fldCharType="begin"/>
            </w:r>
            <w:r w:rsidR="00BE19D5" w:rsidRPr="00D21BC0">
              <w:rPr>
                <w:rFonts w:ascii="Times New Roman" w:hAnsi="Times New Roman" w:cs="Times New Roman"/>
                <w:noProof/>
                <w:webHidden/>
                <w:sz w:val="24"/>
                <w:szCs w:val="24"/>
              </w:rPr>
              <w:instrText xml:space="preserve"> PAGEREF _Toc50373201 \h </w:instrText>
            </w:r>
            <w:r w:rsidR="00BE19D5" w:rsidRPr="00D21BC0">
              <w:rPr>
                <w:rFonts w:ascii="Times New Roman" w:hAnsi="Times New Roman" w:cs="Times New Roman"/>
                <w:noProof/>
                <w:webHidden/>
                <w:sz w:val="24"/>
                <w:szCs w:val="24"/>
              </w:rPr>
            </w:r>
            <w:r w:rsidR="00BE19D5" w:rsidRPr="00D21BC0">
              <w:rPr>
                <w:rFonts w:ascii="Times New Roman" w:hAnsi="Times New Roman" w:cs="Times New Roman"/>
                <w:noProof/>
                <w:webHidden/>
                <w:sz w:val="24"/>
                <w:szCs w:val="24"/>
              </w:rPr>
              <w:fldChar w:fldCharType="separate"/>
            </w:r>
            <w:r w:rsidR="00BE19D5" w:rsidRPr="00D21BC0">
              <w:rPr>
                <w:rFonts w:ascii="Times New Roman" w:hAnsi="Times New Roman" w:cs="Times New Roman"/>
                <w:noProof/>
                <w:webHidden/>
                <w:sz w:val="24"/>
                <w:szCs w:val="24"/>
              </w:rPr>
              <w:t>342</w:t>
            </w:r>
            <w:r w:rsidR="00BE19D5" w:rsidRPr="00D21BC0">
              <w:rPr>
                <w:rFonts w:ascii="Times New Roman" w:hAnsi="Times New Roman" w:cs="Times New Roman"/>
                <w:noProof/>
                <w:webHidden/>
                <w:sz w:val="24"/>
                <w:szCs w:val="24"/>
              </w:rPr>
              <w:fldChar w:fldCharType="end"/>
            </w:r>
          </w:hyperlink>
        </w:p>
        <w:p w14:paraId="4BC8CD37" w14:textId="1A5176FD" w:rsidR="00BE19D5" w:rsidRDefault="00BE19D5">
          <w:r w:rsidRPr="00D21BC0">
            <w:rPr>
              <w:b/>
              <w:bCs/>
              <w:szCs w:val="24"/>
            </w:rPr>
            <w:fldChar w:fldCharType="end"/>
          </w:r>
        </w:p>
      </w:sdtContent>
    </w:sdt>
    <w:p w14:paraId="5EBB1127" w14:textId="77777777" w:rsidR="00BE19D5" w:rsidRPr="000A3957" w:rsidRDefault="00BE19D5" w:rsidP="00BE19D5"/>
    <w:p w14:paraId="6AFF6F51" w14:textId="7D9498D7" w:rsidR="004D3F58" w:rsidRDefault="004D3F58" w:rsidP="007E4414"/>
    <w:p w14:paraId="20BFF445" w14:textId="67EC2587" w:rsidR="00DB1C40" w:rsidRDefault="00E3624E" w:rsidP="00DB1C40">
      <w:pPr>
        <w:pStyle w:val="TDC1"/>
        <w:tabs>
          <w:tab w:val="right" w:leader="dot" w:pos="8494"/>
        </w:tabs>
        <w:rPr>
          <w:rFonts w:eastAsiaTheme="minorEastAsia" w:cstheme="minorBidi"/>
          <w:b w:val="0"/>
          <w:bCs w:val="0"/>
          <w:caps w:val="0"/>
          <w:noProof/>
          <w:sz w:val="22"/>
          <w:szCs w:val="22"/>
        </w:rPr>
      </w:pPr>
      <w:r w:rsidRPr="00E3624E">
        <w:rPr>
          <w:rFonts w:ascii="Times New Roman" w:hAnsi="Times New Roman" w:cs="Times New Roman"/>
          <w:sz w:val="24"/>
          <w:szCs w:val="24"/>
        </w:rPr>
        <w:fldChar w:fldCharType="begin"/>
      </w:r>
      <w:r w:rsidRPr="00E3624E">
        <w:rPr>
          <w:rFonts w:ascii="Times New Roman" w:hAnsi="Times New Roman" w:cs="Times New Roman"/>
          <w:sz w:val="24"/>
          <w:szCs w:val="24"/>
        </w:rPr>
        <w:instrText xml:space="preserve"> TOC \o "1-5" \h \z \u </w:instrText>
      </w:r>
      <w:r w:rsidRPr="00E3624E">
        <w:rPr>
          <w:rFonts w:ascii="Times New Roman" w:hAnsi="Times New Roman" w:cs="Times New Roman"/>
          <w:sz w:val="24"/>
          <w:szCs w:val="24"/>
        </w:rPr>
        <w:fldChar w:fldCharType="separate"/>
      </w:r>
    </w:p>
    <w:p w14:paraId="7F8E1B95" w14:textId="060E3C5C" w:rsidR="00834F51" w:rsidRDefault="00834F51">
      <w:pPr>
        <w:pStyle w:val="TDC1"/>
        <w:tabs>
          <w:tab w:val="right" w:leader="dot" w:pos="8494"/>
        </w:tabs>
        <w:rPr>
          <w:rFonts w:eastAsiaTheme="minorEastAsia" w:cstheme="minorBidi"/>
          <w:b w:val="0"/>
          <w:bCs w:val="0"/>
          <w:caps w:val="0"/>
          <w:noProof/>
          <w:sz w:val="22"/>
          <w:szCs w:val="22"/>
        </w:rPr>
      </w:pPr>
    </w:p>
    <w:p w14:paraId="4E3E14AB" w14:textId="49D7839A" w:rsidR="00756616" w:rsidRDefault="00E3624E">
      <w:r w:rsidRPr="00E3624E">
        <w:rPr>
          <w:szCs w:val="24"/>
        </w:rPr>
        <w:fldChar w:fldCharType="end"/>
      </w:r>
    </w:p>
    <w:p w14:paraId="76C50C22" w14:textId="6A7BD719" w:rsidR="00AA2BB1" w:rsidRDefault="00AA2BB1"/>
    <w:p w14:paraId="626C3193" w14:textId="530FBB58" w:rsidR="004D3F58" w:rsidRDefault="004D3F58"/>
    <w:p w14:paraId="48B86ECF" w14:textId="77777777" w:rsidR="004D3F58" w:rsidRDefault="004D3F58" w:rsidP="007E4414"/>
    <w:p w14:paraId="381E4CA3" w14:textId="615AC7A7" w:rsidR="007E4414" w:rsidRDefault="007E4414" w:rsidP="007E4414">
      <w:r>
        <w:lastRenderedPageBreak/>
        <w:br w:type="page"/>
      </w:r>
    </w:p>
    <w:p w14:paraId="489EDE5D" w14:textId="7AF3E904" w:rsidR="00DB1C40" w:rsidRPr="00DB1C40" w:rsidRDefault="007E4414" w:rsidP="00DB1C40">
      <w:pPr>
        <w:pStyle w:val="Ttulo1"/>
        <w:jc w:val="center"/>
      </w:pPr>
      <w:bookmarkStart w:id="7" w:name="_Toc49423590"/>
      <w:bookmarkStart w:id="8" w:name="_Toc49708552"/>
      <w:bookmarkStart w:id="9" w:name="_Toc49790238"/>
      <w:bookmarkStart w:id="10" w:name="_Toc49866468"/>
      <w:bookmarkStart w:id="11" w:name="_Toc50373128"/>
      <w:r>
        <w:lastRenderedPageBreak/>
        <w:t>INTRODUCCIÓN</w:t>
      </w:r>
      <w:bookmarkEnd w:id="7"/>
      <w:bookmarkEnd w:id="8"/>
      <w:bookmarkEnd w:id="9"/>
      <w:bookmarkEnd w:id="10"/>
      <w:bookmarkEnd w:id="11"/>
    </w:p>
    <w:p w14:paraId="11C57579" w14:textId="77777777" w:rsidR="00DB1C40" w:rsidRPr="00F00037" w:rsidRDefault="00DB1C40" w:rsidP="00DB1C40">
      <w:pPr>
        <w:spacing w:before="240" w:after="240"/>
        <w:rPr>
          <w:szCs w:val="24"/>
        </w:rPr>
      </w:pPr>
      <w:r w:rsidRPr="00F00037">
        <w:rPr>
          <w:szCs w:val="24"/>
        </w:rPr>
        <w:t>Ha transcurrido más de una década desde que entrara en vigor la Ley Orgánica 6/2007, de 24 de mayo, por la que se modifica la Ley Orgánica 2/1979, de 3 de octubre, del Tribunal Constitucional. Antes de esta fecha, cualquier ciudadano al que se le lesionaba un derecho fundamental</w:t>
      </w:r>
      <w:r>
        <w:rPr>
          <w:szCs w:val="24"/>
        </w:rPr>
        <w:t>,</w:t>
      </w:r>
      <w:r w:rsidRPr="00F00037">
        <w:rPr>
          <w:szCs w:val="24"/>
        </w:rPr>
        <w:t xml:space="preserve"> y siempre que hubiera agotado todos los recursos judiciales susceptibles de plantear</w:t>
      </w:r>
      <w:r>
        <w:rPr>
          <w:szCs w:val="24"/>
        </w:rPr>
        <w:t>,</w:t>
      </w:r>
      <w:r w:rsidRPr="00F00037">
        <w:rPr>
          <w:szCs w:val="24"/>
        </w:rPr>
        <w:t xml:space="preserve"> tenía como última opción el recurso de amparo. </w:t>
      </w:r>
      <w:r w:rsidRPr="0030415D">
        <w:rPr>
          <w:szCs w:val="24"/>
        </w:rPr>
        <w:t>El Tribunal Constitucional se constituyó de esta forma como “última i</w:t>
      </w:r>
      <w:r>
        <w:rPr>
          <w:szCs w:val="24"/>
        </w:rPr>
        <w:t>nstancia” para reclamar las lesiones de los derechos fundamentales.</w:t>
      </w:r>
    </w:p>
    <w:p w14:paraId="5F3854B5" w14:textId="77777777" w:rsidR="00DB1C40" w:rsidRDefault="00DB1C40" w:rsidP="00DB1C40">
      <w:pPr>
        <w:spacing w:after="240"/>
        <w:rPr>
          <w:szCs w:val="24"/>
        </w:rPr>
      </w:pPr>
      <w:r w:rsidRPr="00F00037">
        <w:rPr>
          <w:szCs w:val="24"/>
        </w:rPr>
        <w:t>Esta situación condujo a la saturación del Tribunal Constitucional con procesos que podían tardar hasta 10 años desde su admisión a trámite hasta su resolución. La reforma era una necesidad urgente.</w:t>
      </w:r>
      <w:r w:rsidRPr="0030415D">
        <w:rPr>
          <w:szCs w:val="24"/>
        </w:rPr>
        <w:t xml:space="preserve"> </w:t>
      </w:r>
    </w:p>
    <w:p w14:paraId="0F1694F9" w14:textId="77777777" w:rsidR="00DB1C40" w:rsidRPr="00F00037" w:rsidRDefault="00DB1C40" w:rsidP="00DB1C40">
      <w:pPr>
        <w:spacing w:after="240"/>
        <w:rPr>
          <w:szCs w:val="24"/>
        </w:rPr>
      </w:pPr>
      <w:r>
        <w:rPr>
          <w:szCs w:val="24"/>
        </w:rPr>
        <w:t>L</w:t>
      </w:r>
      <w:r w:rsidRPr="00F00037">
        <w:rPr>
          <w:szCs w:val="24"/>
        </w:rPr>
        <w:t xml:space="preserve">a jurisdicción constitucional arranca de las previsiones constitucionales del título IX y la configuración legal encomendada al legislador orgánico constituye un elemento relevante que tuvo su primera expresión en la LO 2/1979, de 3 de octubre. Esta norma ha constituido el instrumento indispensable para la realización de las tareas a cargo del Tribunal Constitucional y los procedimientos en ella previstos han arraigado en la vida y la conciencia jurídica españolas. </w:t>
      </w:r>
    </w:p>
    <w:p w14:paraId="705DD98A" w14:textId="77777777" w:rsidR="00DB1C40" w:rsidRDefault="00DB1C40" w:rsidP="00DB1C40">
      <w:pPr>
        <w:spacing w:after="240"/>
        <w:rPr>
          <w:szCs w:val="24"/>
        </w:rPr>
      </w:pPr>
      <w:r w:rsidRPr="00F00037">
        <w:rPr>
          <w:szCs w:val="24"/>
        </w:rPr>
        <w:t>La amplia experiencia en su aplicación se refleja en el gran número de casos planteados y resueltos –en constante incremento hasta alcanzar en el año 2004 el número de 7.951 asuntos ingresados y 7.823 resoluciones dictadas– y también ha dado lugar a varias reformas legislativas (LO 8/1984, de 26 de diciembre; LO 4/1985, de 7 de junio; LO 6/1988, de 9 de junio; LO 7/1999, de 21 de abril; LO 1/2000, de 7 de enero). Sin embargo, las mencionadas mo</w:t>
      </w:r>
      <w:r>
        <w:rPr>
          <w:szCs w:val="24"/>
        </w:rPr>
        <w:t>dificaciones no habían llevado a cabo</w:t>
      </w:r>
      <w:r w:rsidRPr="00F00037">
        <w:rPr>
          <w:szCs w:val="24"/>
        </w:rPr>
        <w:t xml:space="preserve"> hasta el momento una reforma que afrontase de manera conjunta las dificultades de funcionamiento del Tribunal Constitucional, que es el objetivo de la LO 6/2007, de 24 de mayo.</w:t>
      </w:r>
    </w:p>
    <w:p w14:paraId="5B6F6F1A" w14:textId="77777777" w:rsidR="00DB1C40" w:rsidRDefault="00DB1C40" w:rsidP="00DB1C40">
      <w:pPr>
        <w:spacing w:after="240"/>
        <w:rPr>
          <w:szCs w:val="24"/>
        </w:rPr>
      </w:pPr>
      <w:r w:rsidRPr="00384400">
        <w:rPr>
          <w:szCs w:val="24"/>
        </w:rPr>
        <w:t xml:space="preserve">La reforma operada en 2007 </w:t>
      </w:r>
      <w:r>
        <w:rPr>
          <w:szCs w:val="24"/>
        </w:rPr>
        <w:t>incidió principalmente en dos figuras con el objeto de solventar los problemas que venía arrastrando el Alto Tribunal desde hacía años, el recurso de amparo y el incidente de nulidad de actuaciones.</w:t>
      </w:r>
    </w:p>
    <w:p w14:paraId="5D062EE8" w14:textId="77777777" w:rsidR="00DB1C40" w:rsidRPr="00941105" w:rsidRDefault="00DB1C40" w:rsidP="00DB1C40">
      <w:pPr>
        <w:spacing w:after="240"/>
        <w:rPr>
          <w:szCs w:val="24"/>
        </w:rPr>
      </w:pPr>
      <w:r>
        <w:rPr>
          <w:szCs w:val="24"/>
        </w:rPr>
        <w:lastRenderedPageBreak/>
        <w:t xml:space="preserve">Por una parte, se pretendió cambiar </w:t>
      </w:r>
      <w:r w:rsidRPr="00384400">
        <w:rPr>
          <w:szCs w:val="24"/>
        </w:rPr>
        <w:t>el papel que juega</w:t>
      </w:r>
      <w:r>
        <w:rPr>
          <w:szCs w:val="24"/>
        </w:rPr>
        <w:t>n</w:t>
      </w:r>
      <w:r w:rsidRPr="00384400">
        <w:rPr>
          <w:szCs w:val="24"/>
        </w:rPr>
        <w:t xml:space="preserve"> </w:t>
      </w:r>
      <w:r>
        <w:rPr>
          <w:szCs w:val="24"/>
        </w:rPr>
        <w:t>los jueces de la j</w:t>
      </w:r>
      <w:r w:rsidRPr="00384400">
        <w:rPr>
          <w:szCs w:val="24"/>
        </w:rPr>
        <w:t>urisdicción ordinari</w:t>
      </w:r>
      <w:r>
        <w:rPr>
          <w:szCs w:val="24"/>
        </w:rPr>
        <w:t>a en la tarea de tutela de los derechos f</w:t>
      </w:r>
      <w:r w:rsidRPr="00384400">
        <w:rPr>
          <w:szCs w:val="24"/>
        </w:rPr>
        <w:t xml:space="preserve">undamentales </w:t>
      </w:r>
      <w:r>
        <w:rPr>
          <w:szCs w:val="24"/>
        </w:rPr>
        <w:t>remarcando ese protagonismo que nunca debieron perder. Así pues, se abrió</w:t>
      </w:r>
      <w:r w:rsidRPr="00384400">
        <w:rPr>
          <w:szCs w:val="24"/>
        </w:rPr>
        <w:t xml:space="preserve"> un abanico de posibilidades en torno a los justiciables sobre la mejor manera de tutelar estos derechos y los mecanismos </w:t>
      </w:r>
      <w:r>
        <w:rPr>
          <w:szCs w:val="24"/>
        </w:rPr>
        <w:t>existentes para ello, c</w:t>
      </w:r>
      <w:r w:rsidRPr="00384400">
        <w:rPr>
          <w:szCs w:val="24"/>
        </w:rPr>
        <w:t>omo el inci</w:t>
      </w:r>
      <w:r>
        <w:rPr>
          <w:szCs w:val="24"/>
        </w:rPr>
        <w:t>dente de nulidad de actuaciones, reformado para este fin.</w:t>
      </w:r>
      <w:r w:rsidRPr="00384400">
        <w:rPr>
          <w:szCs w:val="24"/>
        </w:rPr>
        <w:t xml:space="preserve">  </w:t>
      </w:r>
      <w:r w:rsidRPr="00941105">
        <w:rPr>
          <w:szCs w:val="24"/>
        </w:rPr>
        <w:t xml:space="preserve">La intencionalidad no </w:t>
      </w:r>
      <w:r>
        <w:rPr>
          <w:szCs w:val="24"/>
        </w:rPr>
        <w:t>fue</w:t>
      </w:r>
      <w:r w:rsidRPr="00941105">
        <w:rPr>
          <w:szCs w:val="24"/>
        </w:rPr>
        <w:t xml:space="preserve"> otra que </w:t>
      </w:r>
      <w:r>
        <w:rPr>
          <w:szCs w:val="24"/>
        </w:rPr>
        <w:t xml:space="preserve">la de </w:t>
      </w:r>
      <w:r w:rsidRPr="00941105">
        <w:rPr>
          <w:szCs w:val="24"/>
        </w:rPr>
        <w:t>reafirmar que los intereses subjetivos de los ciudadanos de</w:t>
      </w:r>
      <w:r>
        <w:rPr>
          <w:szCs w:val="24"/>
        </w:rPr>
        <w:t>bían</w:t>
      </w:r>
      <w:r w:rsidRPr="00941105">
        <w:rPr>
          <w:szCs w:val="24"/>
        </w:rPr>
        <w:t xml:space="preserve"> ser protegidos fundamentalmente por los tribunales ordinarios y no por el TC. Éste atenderá esencialmente a aquellos casos novedosos que,</w:t>
      </w:r>
      <w:r>
        <w:rPr>
          <w:szCs w:val="24"/>
        </w:rPr>
        <w:t xml:space="preserve"> </w:t>
      </w:r>
      <w:r w:rsidRPr="00941105">
        <w:rPr>
          <w:szCs w:val="24"/>
        </w:rPr>
        <w:t>exijan un pronunciamiento de este Tribunal.</w:t>
      </w:r>
    </w:p>
    <w:p w14:paraId="51425ACA" w14:textId="77777777" w:rsidR="00DB1C40" w:rsidRDefault="00DB1C40" w:rsidP="00DB1C40">
      <w:pPr>
        <w:spacing w:after="240"/>
        <w:rPr>
          <w:szCs w:val="24"/>
        </w:rPr>
      </w:pPr>
      <w:r w:rsidRPr="00384400">
        <w:rPr>
          <w:szCs w:val="24"/>
        </w:rPr>
        <w:t>Asimismo,</w:t>
      </w:r>
      <w:r>
        <w:rPr>
          <w:szCs w:val="24"/>
        </w:rPr>
        <w:t xml:space="preserve"> se estableció </w:t>
      </w:r>
      <w:r w:rsidRPr="00890DD3">
        <w:rPr>
          <w:szCs w:val="24"/>
        </w:rPr>
        <w:t>una</w:t>
      </w:r>
      <w:r>
        <w:rPr>
          <w:szCs w:val="24"/>
        </w:rPr>
        <w:t xml:space="preserve"> </w:t>
      </w:r>
      <w:r w:rsidRPr="003B2388">
        <w:rPr>
          <w:szCs w:val="24"/>
        </w:rPr>
        <w:t xml:space="preserve">nueva configuración </w:t>
      </w:r>
      <w:r w:rsidRPr="00890DD3">
        <w:rPr>
          <w:szCs w:val="24"/>
        </w:rPr>
        <w:t xml:space="preserve">del recurso de amparo constitucional, </w:t>
      </w:r>
      <w:r>
        <w:rPr>
          <w:szCs w:val="24"/>
        </w:rPr>
        <w:t>caracterizada principalmente por el endurecimiento del</w:t>
      </w:r>
      <w:r w:rsidRPr="00890DD3">
        <w:rPr>
          <w:szCs w:val="24"/>
        </w:rPr>
        <w:t xml:space="preserve"> trámit</w:t>
      </w:r>
      <w:r>
        <w:rPr>
          <w:szCs w:val="24"/>
        </w:rPr>
        <w:t xml:space="preserve">e de admisión de las demandas. La novedad más significativa fue la introducción de </w:t>
      </w:r>
      <w:r w:rsidRPr="00384400">
        <w:rPr>
          <w:szCs w:val="24"/>
        </w:rPr>
        <w:t xml:space="preserve">un nuevo requisito para la admisión de las demandas de amparo: la especial trascendencia constitucional. </w:t>
      </w:r>
    </w:p>
    <w:p w14:paraId="79A1CF6C" w14:textId="77777777" w:rsidR="00DB1C40" w:rsidRDefault="00DB1C40" w:rsidP="00DB1C40">
      <w:pPr>
        <w:spacing w:after="240"/>
        <w:rPr>
          <w:szCs w:val="24"/>
        </w:rPr>
      </w:pPr>
      <w:r w:rsidRPr="003B2388">
        <w:rPr>
          <w:szCs w:val="24"/>
        </w:rPr>
        <w:t>Desde este momento</w:t>
      </w:r>
      <w:r w:rsidRPr="00941105">
        <w:rPr>
          <w:szCs w:val="24"/>
        </w:rPr>
        <w:t xml:space="preserve">, para que el recurso de amparo </w:t>
      </w:r>
      <w:r>
        <w:rPr>
          <w:szCs w:val="24"/>
        </w:rPr>
        <w:t>fuese</w:t>
      </w:r>
      <w:r w:rsidRPr="00941105">
        <w:rPr>
          <w:szCs w:val="24"/>
        </w:rPr>
        <w:t xml:space="preserve"> admitido a trámite, no sólo tendr</w:t>
      </w:r>
      <w:r>
        <w:rPr>
          <w:szCs w:val="24"/>
        </w:rPr>
        <w:t>ía</w:t>
      </w:r>
      <w:r w:rsidRPr="00941105">
        <w:rPr>
          <w:szCs w:val="24"/>
        </w:rPr>
        <w:t xml:space="preserve"> que cumplir los requisitos procesales que se exigen en los arts. 41 a 46 y 49 de la LOTC, sino que además deberá justificar la lesión de uno o varios derechos fundamentales para así justificar una decisión sobre el fondo del asunto por parte del Tribunal Constitucional, en razón de su especial trascendencia constitucional, como así lo establece la nueva redacción del art. 50.1 LOTC.  Ésta será apreciada de acuerdo a una serie de criterios: atendiendo a la importancia que la decisión tenga para la interpretación de la Constitución; para su aplicación o para su general eficacia, y para la determinación del contenido y alcance de los derechos fundamentales. </w:t>
      </w:r>
      <w:r>
        <w:rPr>
          <w:szCs w:val="24"/>
        </w:rPr>
        <w:t>De este modo</w:t>
      </w:r>
      <w:r w:rsidRPr="00384400">
        <w:rPr>
          <w:szCs w:val="24"/>
        </w:rPr>
        <w:t>, sólo serían admitidas aquellas demandas de amparo que, en base a esa especial trascendencia constitucional, resultaran de gran interés para el Tribunal Constitucional y, por tanto, viera conveniente su resolución.</w:t>
      </w:r>
      <w:r>
        <w:rPr>
          <w:szCs w:val="24"/>
        </w:rPr>
        <w:t xml:space="preserve"> Esta reforma dio lugar a un nuevo sistema </w:t>
      </w:r>
      <w:r w:rsidRPr="00890DD3">
        <w:rPr>
          <w:szCs w:val="24"/>
        </w:rPr>
        <w:t xml:space="preserve">en el que </w:t>
      </w:r>
      <w:r>
        <w:rPr>
          <w:szCs w:val="24"/>
        </w:rPr>
        <w:t xml:space="preserve">será </w:t>
      </w:r>
      <w:r w:rsidRPr="00890DD3">
        <w:rPr>
          <w:szCs w:val="24"/>
        </w:rPr>
        <w:t>el</w:t>
      </w:r>
      <w:r>
        <w:rPr>
          <w:szCs w:val="24"/>
        </w:rPr>
        <w:t xml:space="preserve"> </w:t>
      </w:r>
      <w:r w:rsidRPr="00890DD3">
        <w:rPr>
          <w:szCs w:val="24"/>
        </w:rPr>
        <w:t>demandante el que deb</w:t>
      </w:r>
      <w:r>
        <w:rPr>
          <w:szCs w:val="24"/>
        </w:rPr>
        <w:t>a</w:t>
      </w:r>
      <w:r w:rsidRPr="00890DD3">
        <w:rPr>
          <w:szCs w:val="24"/>
        </w:rPr>
        <w:t xml:space="preserve"> alegar y acreditar que su recurso posee una</w:t>
      </w:r>
      <w:r>
        <w:rPr>
          <w:szCs w:val="24"/>
        </w:rPr>
        <w:t xml:space="preserve"> </w:t>
      </w:r>
      <w:r w:rsidRPr="00890DD3">
        <w:rPr>
          <w:szCs w:val="24"/>
        </w:rPr>
        <w:t>especial trascendencia constitucional que justifique la admisión y resolución</w:t>
      </w:r>
      <w:r>
        <w:rPr>
          <w:szCs w:val="24"/>
        </w:rPr>
        <w:t xml:space="preserve"> </w:t>
      </w:r>
      <w:r w:rsidRPr="00890DD3">
        <w:rPr>
          <w:szCs w:val="24"/>
        </w:rPr>
        <w:t>por parte del Tribunal</w:t>
      </w:r>
      <w:r>
        <w:rPr>
          <w:szCs w:val="24"/>
        </w:rPr>
        <w:t xml:space="preserve">, hecho destacable teniendo en cuanta </w:t>
      </w:r>
      <w:r w:rsidRPr="00890DD3">
        <w:rPr>
          <w:szCs w:val="24"/>
        </w:rPr>
        <w:t>la</w:t>
      </w:r>
      <w:r>
        <w:rPr>
          <w:szCs w:val="24"/>
        </w:rPr>
        <w:t xml:space="preserve"> </w:t>
      </w:r>
      <w:r w:rsidRPr="00890DD3">
        <w:rPr>
          <w:szCs w:val="24"/>
        </w:rPr>
        <w:t>anterior regulación de causas de inadmisión tasadas, centradas</w:t>
      </w:r>
      <w:r>
        <w:rPr>
          <w:szCs w:val="24"/>
        </w:rPr>
        <w:t xml:space="preserve"> </w:t>
      </w:r>
      <w:r w:rsidRPr="00890DD3">
        <w:rPr>
          <w:szCs w:val="24"/>
        </w:rPr>
        <w:t>principalmente en la acreditación de la existencia de la vulneración de un</w:t>
      </w:r>
      <w:r>
        <w:rPr>
          <w:szCs w:val="24"/>
        </w:rPr>
        <w:t xml:space="preserve"> </w:t>
      </w:r>
      <w:r w:rsidRPr="00890DD3">
        <w:rPr>
          <w:szCs w:val="24"/>
        </w:rPr>
        <w:t>derecho fundamental o libertad pública.</w:t>
      </w:r>
    </w:p>
    <w:p w14:paraId="4F9F4C7B" w14:textId="77777777" w:rsidR="00DB1C40" w:rsidRDefault="00DB1C40" w:rsidP="00DB1C40">
      <w:pPr>
        <w:spacing w:after="240"/>
        <w:rPr>
          <w:szCs w:val="24"/>
        </w:rPr>
      </w:pPr>
      <w:r w:rsidRPr="00384400">
        <w:rPr>
          <w:szCs w:val="24"/>
        </w:rPr>
        <w:t xml:space="preserve">Con </w:t>
      </w:r>
      <w:r>
        <w:rPr>
          <w:szCs w:val="24"/>
        </w:rPr>
        <w:t xml:space="preserve">la introducción de </w:t>
      </w:r>
      <w:r w:rsidRPr="00384400">
        <w:rPr>
          <w:szCs w:val="24"/>
        </w:rPr>
        <w:t>este requisito</w:t>
      </w:r>
      <w:r>
        <w:rPr>
          <w:szCs w:val="24"/>
        </w:rPr>
        <w:t>,</w:t>
      </w:r>
      <w:r w:rsidRPr="00384400">
        <w:rPr>
          <w:szCs w:val="24"/>
        </w:rPr>
        <w:t xml:space="preserve"> el recurso de amparo sufrió un gran cambio que afectó a su naturaleza</w:t>
      </w:r>
      <w:r>
        <w:rPr>
          <w:szCs w:val="24"/>
        </w:rPr>
        <w:t xml:space="preserve"> y funcionalidad. Esto dio lugar a numerosos debates por parte de la </w:t>
      </w:r>
      <w:r>
        <w:rPr>
          <w:szCs w:val="24"/>
        </w:rPr>
        <w:lastRenderedPageBreak/>
        <w:t xml:space="preserve">doctrina constitucionalista –e </w:t>
      </w:r>
      <w:r w:rsidRPr="002B6D68">
        <w:rPr>
          <w:szCs w:val="24"/>
        </w:rPr>
        <w:t>incluso</w:t>
      </w:r>
      <w:r w:rsidRPr="00A81438">
        <w:rPr>
          <w:color w:val="FF0000"/>
          <w:szCs w:val="24"/>
        </w:rPr>
        <w:t xml:space="preserve"> </w:t>
      </w:r>
      <w:r>
        <w:rPr>
          <w:szCs w:val="24"/>
        </w:rPr>
        <w:t xml:space="preserve">procesalista- acerca de </w:t>
      </w:r>
      <w:r w:rsidRPr="00103F4E">
        <w:rPr>
          <w:szCs w:val="24"/>
        </w:rPr>
        <w:t xml:space="preserve">la </w:t>
      </w:r>
      <w:r>
        <w:rPr>
          <w:szCs w:val="24"/>
        </w:rPr>
        <w:t xml:space="preserve">posible </w:t>
      </w:r>
      <w:r w:rsidRPr="00103F4E">
        <w:rPr>
          <w:szCs w:val="24"/>
        </w:rPr>
        <w:t>objetivación del recurso</w:t>
      </w:r>
      <w:r>
        <w:rPr>
          <w:szCs w:val="24"/>
        </w:rPr>
        <w:t>,</w:t>
      </w:r>
      <w:r w:rsidRPr="00103F4E">
        <w:rPr>
          <w:szCs w:val="24"/>
        </w:rPr>
        <w:t xml:space="preserve"> </w:t>
      </w:r>
      <w:r>
        <w:rPr>
          <w:szCs w:val="24"/>
        </w:rPr>
        <w:t xml:space="preserve">así como del </w:t>
      </w:r>
      <w:r w:rsidRPr="00103F4E">
        <w:rPr>
          <w:szCs w:val="24"/>
        </w:rPr>
        <w:t>alcance y límites de su nuevo trámite de admisión</w:t>
      </w:r>
      <w:r>
        <w:rPr>
          <w:szCs w:val="24"/>
        </w:rPr>
        <w:t>, llegándose</w:t>
      </w:r>
      <w:r w:rsidRPr="00A81438">
        <w:rPr>
          <w:color w:val="FF0000"/>
          <w:szCs w:val="24"/>
        </w:rPr>
        <w:t xml:space="preserve"> </w:t>
      </w:r>
      <w:r>
        <w:rPr>
          <w:szCs w:val="24"/>
        </w:rPr>
        <w:t>a plantear hasta la posible in</w:t>
      </w:r>
      <w:r w:rsidRPr="00103F4E">
        <w:rPr>
          <w:szCs w:val="24"/>
        </w:rPr>
        <w:t>constitucionalidad de la</w:t>
      </w:r>
      <w:r>
        <w:rPr>
          <w:szCs w:val="24"/>
        </w:rPr>
        <w:t xml:space="preserve"> reforma. </w:t>
      </w:r>
    </w:p>
    <w:p w14:paraId="2D45FA67" w14:textId="77777777" w:rsidR="00DB1C40" w:rsidRDefault="00DB1C40" w:rsidP="00DB1C40">
      <w:pPr>
        <w:spacing w:after="240"/>
        <w:rPr>
          <w:szCs w:val="24"/>
        </w:rPr>
      </w:pPr>
      <w:r w:rsidRPr="00941105">
        <w:rPr>
          <w:szCs w:val="24"/>
        </w:rPr>
        <w:t>Est</w:t>
      </w:r>
      <w:r>
        <w:rPr>
          <w:szCs w:val="24"/>
        </w:rPr>
        <w:t>a objetivación</w:t>
      </w:r>
      <w:r w:rsidRPr="00941105">
        <w:rPr>
          <w:szCs w:val="24"/>
        </w:rPr>
        <w:t xml:space="preserve"> qued</w:t>
      </w:r>
      <w:r>
        <w:rPr>
          <w:szCs w:val="24"/>
        </w:rPr>
        <w:t>ó</w:t>
      </w:r>
      <w:r w:rsidRPr="00941105">
        <w:rPr>
          <w:szCs w:val="24"/>
        </w:rPr>
        <w:t xml:space="preserve"> determinad</w:t>
      </w:r>
      <w:r>
        <w:rPr>
          <w:szCs w:val="24"/>
        </w:rPr>
        <w:t>a</w:t>
      </w:r>
      <w:r w:rsidRPr="00941105">
        <w:rPr>
          <w:szCs w:val="24"/>
        </w:rPr>
        <w:t xml:space="preserve"> por dos autos emitidos por el TC en el año 2008. Nos centraremos también en el ATC 29/2011, de 17 de marzo, importante resolución que asienta por completo las bases de la objetivación del recurso de amparo.</w:t>
      </w:r>
      <w:r>
        <w:rPr>
          <w:szCs w:val="24"/>
        </w:rPr>
        <w:t xml:space="preserve"> </w:t>
      </w:r>
      <w:r w:rsidRPr="00941105">
        <w:rPr>
          <w:szCs w:val="24"/>
        </w:rPr>
        <w:t xml:space="preserve">A </w:t>
      </w:r>
      <w:r>
        <w:rPr>
          <w:szCs w:val="24"/>
        </w:rPr>
        <w:t>nuestro</w:t>
      </w:r>
      <w:r w:rsidRPr="00941105">
        <w:rPr>
          <w:szCs w:val="24"/>
        </w:rPr>
        <w:t xml:space="preserve"> parecer, una de las consecuencias más importantes (y gravosas) que la reforma de 2007 ha tenido ha sido esta objetivación. Como veremos, hay autores que sostienen que esta exigencia de justificación de la especial trascendencia constitucional no ha convertido al recurso de amparo en un recurso objetivo. Sin embargo, hoy día, diez años después de esta reforma, a mi parecer es un hecho que todos podemos ver: El recurso de amparo ya no es lo que era. Y es </w:t>
      </w:r>
      <w:r>
        <w:rPr>
          <w:szCs w:val="24"/>
        </w:rPr>
        <w:t>que la</w:t>
      </w:r>
      <w:r w:rsidRPr="00941105">
        <w:rPr>
          <w:szCs w:val="24"/>
        </w:rPr>
        <w:t xml:space="preserve"> objetivación, lejos de ser un simple vocablo, es una realidad que ha cambiado por completo la naturaleza de este recurso. Si miramos hacia atrás, podemos ver, un recurso de amparo por y para la protección de los derechos fundamentales. El fin último de est</w:t>
      </w:r>
      <w:r>
        <w:rPr>
          <w:szCs w:val="24"/>
        </w:rPr>
        <w:t>a figura</w:t>
      </w:r>
      <w:r w:rsidRPr="00941105">
        <w:rPr>
          <w:szCs w:val="24"/>
        </w:rPr>
        <w:t xml:space="preserve"> era velar por el respeto y la protección de estos derechos cuando la jurisdicción ordinaria no lo había hecho. Bien es cierto que, desde un principio, se dispuso que el garante principal de la protección de éstos sería el juez ordinario, pero este recurso estaba ahí cuando este primer escalón no funcionaba. Nos encontrábamos ante un recurso subsidiario, pero que existía para la protección de estos derechos cuando habían sido lesionados. </w:t>
      </w:r>
      <w:r>
        <w:rPr>
          <w:szCs w:val="24"/>
        </w:rPr>
        <w:t>T</w:t>
      </w:r>
      <w:r w:rsidRPr="00941105">
        <w:rPr>
          <w:szCs w:val="24"/>
        </w:rPr>
        <w:t xml:space="preserve">ras </w:t>
      </w:r>
      <w:r>
        <w:rPr>
          <w:szCs w:val="24"/>
        </w:rPr>
        <w:t xml:space="preserve">más de </w:t>
      </w:r>
      <w:r w:rsidRPr="00941105">
        <w:rPr>
          <w:szCs w:val="24"/>
        </w:rPr>
        <w:t>diez años de</w:t>
      </w:r>
      <w:r>
        <w:rPr>
          <w:szCs w:val="24"/>
        </w:rPr>
        <w:t>spués de la</w:t>
      </w:r>
      <w:r w:rsidRPr="00941105">
        <w:rPr>
          <w:szCs w:val="24"/>
        </w:rPr>
        <w:t xml:space="preserve"> reforma podemos ver claramente que esta objetivación se ha producido, pero este hecho no es algo que se produjo de un día para otro. Todo lo contrario, fue un hecho que poco a poco fuimos viendo a través de la jurisprudencia del Tribunal Constitucional.</w:t>
      </w:r>
    </w:p>
    <w:p w14:paraId="70A41496" w14:textId="77777777" w:rsidR="00DB1C40" w:rsidRDefault="00DB1C40" w:rsidP="00DB1C40">
      <w:pPr>
        <w:spacing w:after="240"/>
        <w:rPr>
          <w:szCs w:val="24"/>
        </w:rPr>
      </w:pPr>
      <w:r>
        <w:rPr>
          <w:szCs w:val="24"/>
        </w:rPr>
        <w:t xml:space="preserve">La justificación de la especial trascendencia constitucional creó numerosos problemas, principalmente por la indeterminación del concepto. Ello dio lugar a un enorme número de demandas rechazadas por no justificar adecuadamente el requisito e, incluso, no incluir dicha justificación. </w:t>
      </w:r>
      <w:r w:rsidRPr="00384400">
        <w:rPr>
          <w:szCs w:val="24"/>
        </w:rPr>
        <w:t xml:space="preserve"> </w:t>
      </w:r>
      <w:r>
        <w:rPr>
          <w:szCs w:val="24"/>
        </w:rPr>
        <w:t>Debido a esto, d</w:t>
      </w:r>
      <w:r w:rsidRPr="00384400">
        <w:rPr>
          <w:szCs w:val="24"/>
        </w:rPr>
        <w:t xml:space="preserve">os años más tarde, el Tribunal dictó la sentencia 155/2009. En ella se intentó dar luz a este abstracto concepto enumerando una serie de supuestos en los que el Alto Tribunal consideraba que existía esta especial trascendencia constitucional. </w:t>
      </w:r>
      <w:r>
        <w:rPr>
          <w:szCs w:val="24"/>
        </w:rPr>
        <w:t>No obstante, como exponemos en este trabajo, esto fue insuficiente, por lo que se hace necesario, aún a día de hoy, un estudio de la jurisprudencia del TC en aras de clarificar esta figura.</w:t>
      </w:r>
    </w:p>
    <w:p w14:paraId="61B6B028" w14:textId="77777777" w:rsidR="00DB1C40" w:rsidRPr="00941105" w:rsidRDefault="00DB1C40" w:rsidP="00DB1C40">
      <w:pPr>
        <w:spacing w:after="240"/>
        <w:rPr>
          <w:szCs w:val="24"/>
        </w:rPr>
      </w:pPr>
      <w:r>
        <w:rPr>
          <w:szCs w:val="24"/>
        </w:rPr>
        <w:lastRenderedPageBreak/>
        <w:t>A</w:t>
      </w:r>
      <w:r w:rsidRPr="00941105">
        <w:rPr>
          <w:szCs w:val="24"/>
        </w:rPr>
        <w:t xml:space="preserve"> primera vista, podríamos afirmar que, con más de treinta años de jurisprudencia constitucional, esta reforma sería razonable pues </w:t>
      </w:r>
      <w:r w:rsidRPr="002B6D68">
        <w:rPr>
          <w:szCs w:val="24"/>
        </w:rPr>
        <w:t>estaríamos</w:t>
      </w:r>
      <w:r w:rsidRPr="00A81438">
        <w:rPr>
          <w:color w:val="FF0000"/>
          <w:szCs w:val="24"/>
        </w:rPr>
        <w:t xml:space="preserve"> </w:t>
      </w:r>
      <w:r w:rsidRPr="00941105">
        <w:rPr>
          <w:szCs w:val="24"/>
        </w:rPr>
        <w:t xml:space="preserve">paliando graves problemas estructurales de nuestro TC y, además, </w:t>
      </w:r>
      <w:r w:rsidRPr="002B6D68">
        <w:rPr>
          <w:szCs w:val="24"/>
        </w:rPr>
        <w:t>evitando</w:t>
      </w:r>
      <w:r w:rsidRPr="00A81438">
        <w:rPr>
          <w:color w:val="FF0000"/>
          <w:szCs w:val="24"/>
        </w:rPr>
        <w:t xml:space="preserve"> </w:t>
      </w:r>
      <w:r w:rsidRPr="00941105">
        <w:rPr>
          <w:szCs w:val="24"/>
        </w:rPr>
        <w:t xml:space="preserve">el uso de éste como una tercera instancia judicial. Sin embargo, a </w:t>
      </w:r>
      <w:r>
        <w:rPr>
          <w:szCs w:val="24"/>
        </w:rPr>
        <w:t>nuestro</w:t>
      </w:r>
      <w:r w:rsidRPr="00941105">
        <w:rPr>
          <w:szCs w:val="24"/>
        </w:rPr>
        <w:t xml:space="preserve"> parecer, esta reforma ha planteado más problemas que soluciones. A día de hoy, más de diez años desde la </w:t>
      </w:r>
      <w:r>
        <w:rPr>
          <w:szCs w:val="24"/>
        </w:rPr>
        <w:t>reforma,</w:t>
      </w:r>
      <w:r w:rsidRPr="00941105">
        <w:rPr>
          <w:szCs w:val="24"/>
        </w:rPr>
        <w:t xml:space="preserve"> podemos ver con más perspectiva las consecuencias de esta Ley y si las soluciones que introducía para solventar la situación de caos que venía sufriendo el TC han sido efectivas. Teniendo en cuenta </w:t>
      </w:r>
      <w:r>
        <w:rPr>
          <w:szCs w:val="24"/>
        </w:rPr>
        <w:t xml:space="preserve">el tiempo transcurrido desde </w:t>
      </w:r>
      <w:r w:rsidRPr="00941105">
        <w:rPr>
          <w:szCs w:val="24"/>
        </w:rPr>
        <w:t>la entrada en vigor de esta LO, resulta interesante comprobar si esta reforma ha sido realmente efectiva y, en su caso</w:t>
      </w:r>
      <w:r w:rsidRPr="002B6D68">
        <w:rPr>
          <w:szCs w:val="24"/>
        </w:rPr>
        <w:t xml:space="preserve">, </w:t>
      </w:r>
      <w:r w:rsidRPr="00941105">
        <w:rPr>
          <w:szCs w:val="24"/>
        </w:rPr>
        <w:t>en qué medida. Nos resultará muy difícil contestar a esta pregunta con rotundidad, por lo que llevaremos a cabo un estudio de las cifras y estadísticas de nuestro TC que nos clarificará en qué puntos ha habido una mejora y en qué puntos la reforma no ha funcionado, viendo así si el balance ha sido positivo o negativo. Con esto podremos averiguar si efectivamente la reforma cumplió con los objetivos que perseguía, principalmente con la descarga de trabajo de esta institución, así como con la disminución de la entrada de demandas, recayendo, la principal garantía de los derechos fundamentales en los jueces de la jurisdicción ordinaria.</w:t>
      </w:r>
    </w:p>
    <w:p w14:paraId="3890DD80" w14:textId="77777777" w:rsidR="00DB1C40" w:rsidRPr="00D01BCC" w:rsidRDefault="00DB1C40" w:rsidP="00DB1C40">
      <w:pPr>
        <w:spacing w:after="240"/>
        <w:rPr>
          <w:szCs w:val="24"/>
        </w:rPr>
      </w:pPr>
      <w:r w:rsidRPr="00D01BCC">
        <w:rPr>
          <w:szCs w:val="24"/>
        </w:rPr>
        <w:t>Quedan, por tanto, varios interrogantes que no han sido solventados y que han dado lugar a una jurisprudencia titubeante que ha provocado, a su vez, una gran inseguridad jurídica.</w:t>
      </w:r>
    </w:p>
    <w:p w14:paraId="288E51B7" w14:textId="77777777" w:rsidR="00DB1C40" w:rsidRPr="00D01BCC" w:rsidRDefault="00DB1C40" w:rsidP="00DB1C40">
      <w:pPr>
        <w:spacing w:after="240"/>
        <w:rPr>
          <w:szCs w:val="24"/>
        </w:rPr>
      </w:pPr>
      <w:r w:rsidRPr="00D01BCC">
        <w:rPr>
          <w:szCs w:val="24"/>
        </w:rPr>
        <w:t>Por todo lo anterior, consideramos necesario ahondar de forma monográfica en la situación fáctica creada a fin de incrementar la seguridad jurídica en la tutela de los derechos fundamentales.</w:t>
      </w:r>
    </w:p>
    <w:p w14:paraId="76E1A7A1" w14:textId="77777777" w:rsidR="00DB1C40" w:rsidRDefault="00DB1C40" w:rsidP="00DB1C40">
      <w:pPr>
        <w:spacing w:after="240"/>
        <w:rPr>
          <w:szCs w:val="24"/>
        </w:rPr>
      </w:pPr>
      <w:r w:rsidRPr="00D01BCC">
        <w:rPr>
          <w:szCs w:val="24"/>
        </w:rPr>
        <w:t>Este trabajo aborda la evolución y situación actual del recurso de amparo, así como la problemática que, aún a día de hoy, trece años después de la reforma operada por la LO 6/2007, sigue presentando este recurso.</w:t>
      </w:r>
    </w:p>
    <w:p w14:paraId="49E8B6A3" w14:textId="77777777" w:rsidR="00DB1C40" w:rsidRDefault="00DB1C40" w:rsidP="00DB1C40">
      <w:pPr>
        <w:spacing w:after="240"/>
        <w:rPr>
          <w:szCs w:val="24"/>
        </w:rPr>
      </w:pPr>
      <w:r w:rsidRPr="008D5956">
        <w:rPr>
          <w:szCs w:val="24"/>
        </w:rPr>
        <w:t xml:space="preserve">Así pues, </w:t>
      </w:r>
      <w:r w:rsidRPr="00E44170">
        <w:rPr>
          <w:szCs w:val="24"/>
        </w:rPr>
        <w:t>los objetivos</w:t>
      </w:r>
      <w:r w:rsidRPr="008D5956">
        <w:rPr>
          <w:szCs w:val="24"/>
        </w:rPr>
        <w:t xml:space="preserve"> </w:t>
      </w:r>
      <w:r>
        <w:rPr>
          <w:szCs w:val="24"/>
        </w:rPr>
        <w:t>que perseguimos son</w:t>
      </w:r>
      <w:r w:rsidRPr="008D5956">
        <w:rPr>
          <w:szCs w:val="24"/>
        </w:rPr>
        <w:t xml:space="preserve"> los </w:t>
      </w:r>
      <w:r>
        <w:rPr>
          <w:szCs w:val="24"/>
        </w:rPr>
        <w:t>siguientes</w:t>
      </w:r>
      <w:r w:rsidRPr="008D5956">
        <w:rPr>
          <w:szCs w:val="24"/>
        </w:rPr>
        <w:t>:</w:t>
      </w:r>
    </w:p>
    <w:p w14:paraId="7FB35B76" w14:textId="77777777" w:rsidR="00DB1C40" w:rsidRPr="00AC6E10" w:rsidRDefault="00DB1C40" w:rsidP="001A4310">
      <w:pPr>
        <w:pStyle w:val="Prrafodelista"/>
        <w:numPr>
          <w:ilvl w:val="0"/>
          <w:numId w:val="65"/>
        </w:numPr>
        <w:rPr>
          <w:szCs w:val="24"/>
        </w:rPr>
      </w:pPr>
      <w:r w:rsidRPr="00AC6E10">
        <w:rPr>
          <w:szCs w:val="24"/>
        </w:rPr>
        <w:t>Analizar los antecedentes históricos de la reforma, centrándonos principalmente en las propuestas que se hicieron para la modificación de la Ley Orgánica del Tribunal Constitucional, para así concluir si la propuesta elegida fue la más adecuada atendiendo a las necesidades del momento.</w:t>
      </w:r>
    </w:p>
    <w:p w14:paraId="1EC8AC50" w14:textId="77777777" w:rsidR="00DB1C40" w:rsidRPr="00AC6E10" w:rsidRDefault="00DB1C40" w:rsidP="001A4310">
      <w:pPr>
        <w:pStyle w:val="Prrafodelista"/>
        <w:numPr>
          <w:ilvl w:val="0"/>
          <w:numId w:val="65"/>
        </w:numPr>
        <w:rPr>
          <w:szCs w:val="24"/>
        </w:rPr>
      </w:pPr>
      <w:r w:rsidRPr="00AC6E10">
        <w:rPr>
          <w:szCs w:val="24"/>
        </w:rPr>
        <w:lastRenderedPageBreak/>
        <w:t>Estudiar la configuración del recurso de amparo, haciendo especial hincapié en su trámite de admisión, con el objeto de comprehender el cambio que supuso la introducción del requisito de la especial trascendencia constitucional.</w:t>
      </w:r>
    </w:p>
    <w:p w14:paraId="13874904" w14:textId="77777777" w:rsidR="00DB1C40" w:rsidRPr="00AC6E10" w:rsidRDefault="00DB1C40" w:rsidP="001A4310">
      <w:pPr>
        <w:pStyle w:val="Prrafodelista"/>
        <w:numPr>
          <w:ilvl w:val="0"/>
          <w:numId w:val="65"/>
        </w:numPr>
        <w:rPr>
          <w:szCs w:val="24"/>
        </w:rPr>
      </w:pPr>
      <w:r w:rsidRPr="00AC6E10">
        <w:rPr>
          <w:szCs w:val="24"/>
        </w:rPr>
        <w:t>Averiguar si el recurso de amparo fue objetivado con la reforma y, en su caso, las consecuencias que dicha objetivación ha supuesto.</w:t>
      </w:r>
    </w:p>
    <w:p w14:paraId="4808CAA9" w14:textId="77777777" w:rsidR="00DB1C40" w:rsidRPr="00AC6E10" w:rsidRDefault="00DB1C40" w:rsidP="001A4310">
      <w:pPr>
        <w:pStyle w:val="Prrafodelista"/>
        <w:numPr>
          <w:ilvl w:val="0"/>
          <w:numId w:val="65"/>
        </w:numPr>
        <w:rPr>
          <w:szCs w:val="24"/>
        </w:rPr>
      </w:pPr>
      <w:r w:rsidRPr="00AC6E10">
        <w:rPr>
          <w:szCs w:val="24"/>
        </w:rPr>
        <w:t xml:space="preserve">Indagar acerca de la reforma realizada al incidente de nulidad de actuaciones y lo que ésta ha supuesto para la protección de los derechos fundamentales en la jurisdicción ordinaria. De este modo, apreciaremos si se han cumplido los objetivos que se persiguieron con dicha modificación y, en su caso, analizaremos cuáles han sido los errores cometidos que han impedido esta consecución. Igualmente, plantear posibles mejoras que harían de esta figura un instrumento más efectivo para la salvaguardia de estos derechos. </w:t>
      </w:r>
    </w:p>
    <w:p w14:paraId="145395AE" w14:textId="77777777" w:rsidR="00DB1C40" w:rsidRPr="00AC6E10" w:rsidRDefault="00DB1C40" w:rsidP="001A4310">
      <w:pPr>
        <w:pStyle w:val="Prrafodelista"/>
        <w:numPr>
          <w:ilvl w:val="0"/>
          <w:numId w:val="65"/>
        </w:numPr>
        <w:rPr>
          <w:szCs w:val="24"/>
        </w:rPr>
      </w:pPr>
      <w:r w:rsidRPr="00AC6E10">
        <w:rPr>
          <w:szCs w:val="24"/>
        </w:rPr>
        <w:t xml:space="preserve">Examinar la relación entre el incidente de nulidad de actuaciones y el recurso de amparo con el objeto de elaborar una efectiva estrategia procesal que permita proteger los derechos fundamentales con el adecuado uso de ambas figuras. </w:t>
      </w:r>
    </w:p>
    <w:p w14:paraId="65A1F758" w14:textId="77777777" w:rsidR="00DB1C40" w:rsidRPr="00AC6E10" w:rsidRDefault="00DB1C40" w:rsidP="001A4310">
      <w:pPr>
        <w:pStyle w:val="Prrafodelista"/>
        <w:numPr>
          <w:ilvl w:val="0"/>
          <w:numId w:val="65"/>
        </w:numPr>
        <w:rPr>
          <w:szCs w:val="24"/>
        </w:rPr>
      </w:pPr>
      <w:r w:rsidRPr="00AC6E10">
        <w:rPr>
          <w:szCs w:val="24"/>
        </w:rPr>
        <w:t>Analizar las respuestas que ha ido dando el Tribunal Constitucional a lo largo de los años para definir el concepto de la especial trascendencia constitucional. De este modo, concretar el alcance, significado y contenido jurídico de esta figura, así como cuáles son las obligaciones impuestas al demandante en orden a su cumplimentación. Asimismo, investigar en torno a la apreciación y vinculación del propio TC a este requisito.</w:t>
      </w:r>
    </w:p>
    <w:p w14:paraId="119AE195" w14:textId="77777777" w:rsidR="00DB1C40" w:rsidRPr="00AC6E10" w:rsidRDefault="00DB1C40" w:rsidP="001A4310">
      <w:pPr>
        <w:pStyle w:val="Prrafodelista"/>
        <w:numPr>
          <w:ilvl w:val="0"/>
          <w:numId w:val="65"/>
        </w:numPr>
        <w:rPr>
          <w:szCs w:val="24"/>
        </w:rPr>
      </w:pPr>
      <w:r w:rsidRPr="00AC6E10">
        <w:rPr>
          <w:szCs w:val="24"/>
        </w:rPr>
        <w:t xml:space="preserve">Estudiar la evolución de la jurisprudencia del TC tras la STC 155/2009 para concretar el significado y la funcionalidad de los supuestos enumerados en </w:t>
      </w:r>
      <w:r>
        <w:rPr>
          <w:szCs w:val="24"/>
        </w:rPr>
        <w:t>dicha</w:t>
      </w:r>
      <w:r w:rsidRPr="00AC6E10">
        <w:rPr>
          <w:szCs w:val="24"/>
        </w:rPr>
        <w:t xml:space="preserve"> </w:t>
      </w:r>
      <w:r w:rsidRPr="002B6D68">
        <w:rPr>
          <w:szCs w:val="24"/>
        </w:rPr>
        <w:t>se</w:t>
      </w:r>
      <w:r w:rsidRPr="00AC6E10">
        <w:rPr>
          <w:szCs w:val="24"/>
        </w:rPr>
        <w:t xml:space="preserve">ntencia. De este modo, arrojaremos luz sobre el significado de la especial trascendencia constitucional.  </w:t>
      </w:r>
    </w:p>
    <w:p w14:paraId="7DCCD935" w14:textId="77777777" w:rsidR="00DB1C40" w:rsidRPr="00AC6E10" w:rsidRDefault="00DB1C40" w:rsidP="001A4310">
      <w:pPr>
        <w:pStyle w:val="Prrafodelista"/>
        <w:numPr>
          <w:ilvl w:val="0"/>
          <w:numId w:val="65"/>
        </w:numPr>
        <w:rPr>
          <w:color w:val="000000" w:themeColor="text1"/>
          <w:szCs w:val="24"/>
        </w:rPr>
      </w:pPr>
      <w:r w:rsidRPr="00AC6E10">
        <w:rPr>
          <w:color w:val="000000" w:themeColor="text1"/>
          <w:szCs w:val="24"/>
        </w:rPr>
        <w:t xml:space="preserve">Valorar, atendiendo a las cifras y teniendo en cuenta los años transcurridos desde la reforma, si las medidas tomadas en la LO 6/2007 fueron acertadas y consiguieron los objetivos perseguidos. </w:t>
      </w:r>
    </w:p>
    <w:p w14:paraId="36B5BC6B" w14:textId="77777777" w:rsidR="00DB1C40" w:rsidRPr="00AC6E10" w:rsidRDefault="00DB1C40" w:rsidP="001A4310">
      <w:pPr>
        <w:pStyle w:val="Prrafodelista"/>
        <w:numPr>
          <w:ilvl w:val="0"/>
          <w:numId w:val="65"/>
        </w:numPr>
        <w:rPr>
          <w:color w:val="000000" w:themeColor="text1"/>
          <w:szCs w:val="24"/>
        </w:rPr>
      </w:pPr>
      <w:r w:rsidRPr="00AC6E10">
        <w:rPr>
          <w:color w:val="000000" w:themeColor="text1"/>
          <w:szCs w:val="24"/>
        </w:rPr>
        <w:lastRenderedPageBreak/>
        <w:t xml:space="preserve">Analizar los aciertos y errores de la reforma para poder establecer una propuesta de mejora que establezca medidas más efectivas para la protección de los derechos fundamentales y la funcionalidad del TC. </w:t>
      </w:r>
    </w:p>
    <w:p w14:paraId="750A1994" w14:textId="77777777" w:rsidR="00DB1C40" w:rsidRPr="00AC6E10" w:rsidRDefault="00DB1C40" w:rsidP="001A4310">
      <w:pPr>
        <w:pStyle w:val="Prrafodelista"/>
        <w:numPr>
          <w:ilvl w:val="0"/>
          <w:numId w:val="65"/>
        </w:numPr>
        <w:rPr>
          <w:color w:val="000000" w:themeColor="text1"/>
          <w:szCs w:val="24"/>
        </w:rPr>
      </w:pPr>
      <w:r w:rsidRPr="00AC6E10">
        <w:rPr>
          <w:color w:val="000000" w:themeColor="text1"/>
          <w:szCs w:val="24"/>
        </w:rPr>
        <w:t>Determinar cuál podría ser el futuro del recurso</w:t>
      </w:r>
      <w:r>
        <w:rPr>
          <w:color w:val="000000" w:themeColor="text1"/>
          <w:szCs w:val="24"/>
        </w:rPr>
        <w:t xml:space="preserve"> de</w:t>
      </w:r>
      <w:r w:rsidRPr="00AC6E10">
        <w:rPr>
          <w:color w:val="000000" w:themeColor="text1"/>
          <w:szCs w:val="24"/>
        </w:rPr>
        <w:t xml:space="preserve"> amparo constitucional </w:t>
      </w:r>
      <w:r>
        <w:rPr>
          <w:color w:val="000000" w:themeColor="text1"/>
          <w:szCs w:val="24"/>
        </w:rPr>
        <w:t xml:space="preserve">y del incidente de nulidad de actuaciones </w:t>
      </w:r>
      <w:r w:rsidRPr="00AC6E10">
        <w:rPr>
          <w:color w:val="000000" w:themeColor="text1"/>
          <w:szCs w:val="24"/>
        </w:rPr>
        <w:t>y</w:t>
      </w:r>
      <w:r>
        <w:rPr>
          <w:color w:val="000000" w:themeColor="text1"/>
          <w:szCs w:val="24"/>
        </w:rPr>
        <w:t xml:space="preserve"> las posibles medidas que podrían tomarse para hacerlos más funcionales y efectivos.</w:t>
      </w:r>
    </w:p>
    <w:p w14:paraId="79CFFBF9" w14:textId="77777777" w:rsidR="00DB1C40" w:rsidRDefault="00DB1C40" w:rsidP="00DB1C40">
      <w:pPr>
        <w:spacing w:after="240"/>
        <w:rPr>
          <w:szCs w:val="24"/>
        </w:rPr>
      </w:pPr>
      <w:r w:rsidRPr="00890DD3">
        <w:rPr>
          <w:szCs w:val="24"/>
        </w:rPr>
        <w:t xml:space="preserve">En lo referente a la </w:t>
      </w:r>
      <w:r w:rsidRPr="00AC6E10">
        <w:rPr>
          <w:szCs w:val="24"/>
        </w:rPr>
        <w:t>organización de los contenidos,</w:t>
      </w:r>
      <w:r w:rsidRPr="00890DD3">
        <w:rPr>
          <w:szCs w:val="24"/>
        </w:rPr>
        <w:t xml:space="preserve"> este trabajo se estructura en</w:t>
      </w:r>
      <w:r>
        <w:rPr>
          <w:szCs w:val="24"/>
        </w:rPr>
        <w:t xml:space="preserve"> cuatro </w:t>
      </w:r>
      <w:r w:rsidRPr="00890DD3">
        <w:rPr>
          <w:szCs w:val="24"/>
        </w:rPr>
        <w:t>capítulos</w:t>
      </w:r>
      <w:r>
        <w:rPr>
          <w:szCs w:val="24"/>
        </w:rPr>
        <w:t>:</w:t>
      </w:r>
    </w:p>
    <w:p w14:paraId="3B026D3A" w14:textId="77777777" w:rsidR="00DB1C40" w:rsidRDefault="00DB1C40" w:rsidP="00DB1C40">
      <w:pPr>
        <w:spacing w:after="240"/>
        <w:rPr>
          <w:szCs w:val="24"/>
        </w:rPr>
      </w:pPr>
      <w:r>
        <w:rPr>
          <w:szCs w:val="24"/>
        </w:rPr>
        <w:t xml:space="preserve">En el primero de ellos trataremos los antecedentes históricos del Tribunal Constitucional, centrándonos principalmente en la crisis funcional de la institución los años previos a la reforma.  </w:t>
      </w:r>
    </w:p>
    <w:p w14:paraId="672527F4" w14:textId="77777777" w:rsidR="00DB1C40" w:rsidRPr="00941105" w:rsidRDefault="00DB1C40" w:rsidP="00DB1C40">
      <w:pPr>
        <w:spacing w:after="240"/>
        <w:rPr>
          <w:szCs w:val="24"/>
        </w:rPr>
      </w:pPr>
      <w:r>
        <w:rPr>
          <w:szCs w:val="24"/>
        </w:rPr>
        <w:t xml:space="preserve">En el segundo capítulo abordaremos el contenido de la </w:t>
      </w:r>
      <w:r w:rsidRPr="00941105">
        <w:rPr>
          <w:szCs w:val="24"/>
        </w:rPr>
        <w:t>LO 6/2007</w:t>
      </w:r>
      <w:r>
        <w:rPr>
          <w:szCs w:val="24"/>
        </w:rPr>
        <w:t xml:space="preserve"> y la </w:t>
      </w:r>
      <w:r w:rsidRPr="00941105">
        <w:rPr>
          <w:szCs w:val="24"/>
        </w:rPr>
        <w:t xml:space="preserve">nueva regulación que ésta </w:t>
      </w:r>
      <w:r>
        <w:rPr>
          <w:szCs w:val="24"/>
        </w:rPr>
        <w:t xml:space="preserve">le dio </w:t>
      </w:r>
      <w:r w:rsidRPr="00941105">
        <w:rPr>
          <w:szCs w:val="24"/>
        </w:rPr>
        <w:t xml:space="preserve">al </w:t>
      </w:r>
      <w:r>
        <w:rPr>
          <w:szCs w:val="24"/>
        </w:rPr>
        <w:t xml:space="preserve">recurso de </w:t>
      </w:r>
      <w:r w:rsidRPr="00941105">
        <w:rPr>
          <w:szCs w:val="24"/>
        </w:rPr>
        <w:t>amparo</w:t>
      </w:r>
      <w:r>
        <w:rPr>
          <w:szCs w:val="24"/>
        </w:rPr>
        <w:t xml:space="preserve">. Prestaremos </w:t>
      </w:r>
      <w:r w:rsidRPr="00941105">
        <w:rPr>
          <w:szCs w:val="24"/>
        </w:rPr>
        <w:t>especial</w:t>
      </w:r>
      <w:r>
        <w:rPr>
          <w:szCs w:val="24"/>
        </w:rPr>
        <w:t xml:space="preserve"> atención a </w:t>
      </w:r>
      <w:r w:rsidRPr="00941105">
        <w:rPr>
          <w:szCs w:val="24"/>
        </w:rPr>
        <w:t>la problemática acaecida a raíz de</w:t>
      </w:r>
      <w:r>
        <w:rPr>
          <w:szCs w:val="24"/>
        </w:rPr>
        <w:t xml:space="preserve"> la entrada en vigor de la Ley.</w:t>
      </w:r>
      <w:r w:rsidRPr="00941105">
        <w:rPr>
          <w:szCs w:val="24"/>
        </w:rPr>
        <w:t xml:space="preserve"> </w:t>
      </w:r>
      <w:r>
        <w:rPr>
          <w:szCs w:val="24"/>
        </w:rPr>
        <w:t>Uno de l</w:t>
      </w:r>
      <w:r w:rsidRPr="00941105">
        <w:rPr>
          <w:szCs w:val="24"/>
        </w:rPr>
        <w:t>os puntos clave a tratar ser</w:t>
      </w:r>
      <w:r>
        <w:rPr>
          <w:szCs w:val="24"/>
        </w:rPr>
        <w:t xml:space="preserve">á </w:t>
      </w:r>
      <w:r w:rsidRPr="00941105">
        <w:rPr>
          <w:szCs w:val="24"/>
        </w:rPr>
        <w:t>la objetivación del recurso de amparo</w:t>
      </w:r>
      <w:r>
        <w:rPr>
          <w:szCs w:val="24"/>
        </w:rPr>
        <w:t xml:space="preserve">. </w:t>
      </w:r>
      <w:r w:rsidRPr="00D32097">
        <w:rPr>
          <w:szCs w:val="24"/>
        </w:rPr>
        <w:t>T</w:t>
      </w:r>
      <w:r w:rsidRPr="00941105">
        <w:rPr>
          <w:szCs w:val="24"/>
        </w:rPr>
        <w:t xml:space="preserve">ras </w:t>
      </w:r>
      <w:r>
        <w:rPr>
          <w:szCs w:val="24"/>
        </w:rPr>
        <w:t xml:space="preserve">la </w:t>
      </w:r>
      <w:r w:rsidRPr="00941105">
        <w:rPr>
          <w:szCs w:val="24"/>
        </w:rPr>
        <w:t>reforma</w:t>
      </w:r>
      <w:r>
        <w:rPr>
          <w:szCs w:val="24"/>
        </w:rPr>
        <w:t xml:space="preserve"> </w:t>
      </w:r>
      <w:r w:rsidRPr="00941105">
        <w:rPr>
          <w:szCs w:val="24"/>
        </w:rPr>
        <w:t>ya no importará la gravedad de la lesión para admitir a trámite el recurso pues, pese a que ésta debe</w:t>
      </w:r>
      <w:r>
        <w:rPr>
          <w:szCs w:val="24"/>
        </w:rPr>
        <w:t>rá demostrarse,</w:t>
      </w:r>
      <w:r w:rsidRPr="00941105">
        <w:rPr>
          <w:szCs w:val="24"/>
        </w:rPr>
        <w:t xml:space="preserve"> no será la que determine la relevancia del recurso para ser admitido pues esto lo hará la especial trascendencia constitucional. </w:t>
      </w:r>
    </w:p>
    <w:p w14:paraId="177AAC56" w14:textId="77777777" w:rsidR="00DB1C40" w:rsidRDefault="00DB1C40" w:rsidP="00DB1C40">
      <w:pPr>
        <w:spacing w:after="240"/>
        <w:rPr>
          <w:szCs w:val="24"/>
        </w:rPr>
      </w:pPr>
      <w:r>
        <w:rPr>
          <w:szCs w:val="24"/>
        </w:rPr>
        <w:t>El tercer capítulo analizaremos el incidente de nulidad de actuaciones. Nos centraremos en los cambios que introdujo la reforma de 2007 en esta figura y los objetivos que con ello se perseguían. De este modo, plantearemos las deficiencias de esta nueva regulación y expondremos algunos cambios que consideramos que mejorarían este incidente.</w:t>
      </w:r>
    </w:p>
    <w:p w14:paraId="583219E9" w14:textId="77777777" w:rsidR="00DB1C40" w:rsidRPr="00384400" w:rsidRDefault="00DB1C40" w:rsidP="00DB1C40">
      <w:pPr>
        <w:spacing w:after="240"/>
        <w:rPr>
          <w:szCs w:val="24"/>
        </w:rPr>
      </w:pPr>
      <w:r w:rsidRPr="00941105">
        <w:rPr>
          <w:szCs w:val="24"/>
        </w:rPr>
        <w:t xml:space="preserve">En </w:t>
      </w:r>
      <w:r>
        <w:rPr>
          <w:szCs w:val="24"/>
        </w:rPr>
        <w:t>el cuarto capítulo</w:t>
      </w:r>
      <w:r w:rsidRPr="00941105">
        <w:rPr>
          <w:szCs w:val="24"/>
        </w:rPr>
        <w:t xml:space="preserve"> nos dedicaremos a la especial trascendencia constitucional</w:t>
      </w:r>
      <w:r>
        <w:rPr>
          <w:szCs w:val="24"/>
        </w:rPr>
        <w:t>.</w:t>
      </w:r>
      <w:r w:rsidRPr="00941105">
        <w:rPr>
          <w:szCs w:val="24"/>
        </w:rPr>
        <w:t xml:space="preserve"> Intentaremos dar luz a este concepto tan abstracto e indeterminado aún a día de hoy</w:t>
      </w:r>
      <w:r>
        <w:rPr>
          <w:szCs w:val="24"/>
        </w:rPr>
        <w:t xml:space="preserve">. Analizaremos cómo </w:t>
      </w:r>
      <w:r w:rsidRPr="00941105">
        <w:rPr>
          <w:szCs w:val="24"/>
        </w:rPr>
        <w:t>nuestro TC interpretaba este término en los primeros años tras su introducción</w:t>
      </w:r>
      <w:r>
        <w:rPr>
          <w:szCs w:val="24"/>
        </w:rPr>
        <w:t xml:space="preserve"> y dedicaremos especial atención a la </w:t>
      </w:r>
      <w:r w:rsidRPr="00941105">
        <w:rPr>
          <w:szCs w:val="24"/>
        </w:rPr>
        <w:t xml:space="preserve">STC 155/2009, de 25 de junio, en la que </w:t>
      </w:r>
      <w:r>
        <w:rPr>
          <w:szCs w:val="24"/>
        </w:rPr>
        <w:t>el</w:t>
      </w:r>
      <w:r w:rsidRPr="00941105">
        <w:rPr>
          <w:szCs w:val="24"/>
        </w:rPr>
        <w:t xml:space="preserve"> T</w:t>
      </w:r>
      <w:r>
        <w:rPr>
          <w:szCs w:val="24"/>
        </w:rPr>
        <w:t>ribunal,</w:t>
      </w:r>
      <w:r w:rsidRPr="00941105">
        <w:rPr>
          <w:szCs w:val="24"/>
        </w:rPr>
        <w:t xml:space="preserve"> por vez primera</w:t>
      </w:r>
      <w:r>
        <w:rPr>
          <w:szCs w:val="24"/>
        </w:rPr>
        <w:t>,</w:t>
      </w:r>
      <w:r w:rsidRPr="00941105">
        <w:rPr>
          <w:szCs w:val="24"/>
        </w:rPr>
        <w:t xml:space="preserve"> definió qué debía entenderse por especial trascendencia constitucional, así como en qué casos podríamos entender que ésta concurría. A raíz de esta Sentencia, nuestro trabajo consistirá en el análisis de la jurisprudencia de nuestro Alto Tribunal en la interpretación de este </w:t>
      </w:r>
      <w:r w:rsidRPr="002B6D68">
        <w:rPr>
          <w:szCs w:val="24"/>
        </w:rPr>
        <w:t>requisito</w:t>
      </w:r>
      <w:r w:rsidRPr="00941105">
        <w:rPr>
          <w:szCs w:val="24"/>
        </w:rPr>
        <w:t xml:space="preserve">, así como en el estudio de los casos en </w:t>
      </w:r>
      <w:r w:rsidRPr="00941105">
        <w:rPr>
          <w:szCs w:val="24"/>
        </w:rPr>
        <w:lastRenderedPageBreak/>
        <w:t>los que se ha admitido a trámite las demandas de amparo debido a una correcta justificación de este requisito y los casos en los que, por el contrario, no lo ha hecho y por qué.</w:t>
      </w:r>
      <w:r>
        <w:rPr>
          <w:szCs w:val="24"/>
        </w:rPr>
        <w:t xml:space="preserve"> </w:t>
      </w:r>
      <w:r w:rsidRPr="00941105">
        <w:rPr>
          <w:szCs w:val="24"/>
        </w:rPr>
        <w:t>Una vez efectuado este análisis</w:t>
      </w:r>
      <w:r>
        <w:rPr>
          <w:szCs w:val="24"/>
        </w:rPr>
        <w:t>,</w:t>
      </w:r>
      <w:r w:rsidRPr="00941105">
        <w:rPr>
          <w:szCs w:val="24"/>
        </w:rPr>
        <w:t xml:space="preserve"> cabe plantearse los problemas actuales que esta nueva regulación del recurso de amparo plantea. Finalizaremos, por tanto, haciendo mención a aquellas cuestiones que aún quedan por resolver e intentando plantear posibles soluciones.</w:t>
      </w:r>
    </w:p>
    <w:p w14:paraId="1518E21A" w14:textId="77777777" w:rsidR="00DB1C40" w:rsidRDefault="00DB1C40" w:rsidP="00DB1C40">
      <w:pPr>
        <w:spacing w:after="240"/>
        <w:rPr>
          <w:szCs w:val="24"/>
        </w:rPr>
      </w:pPr>
    </w:p>
    <w:p w14:paraId="460F00CF" w14:textId="77777777" w:rsidR="00DB1C40" w:rsidRPr="00DB1C40" w:rsidRDefault="00DB1C40" w:rsidP="00DB1C40"/>
    <w:p w14:paraId="1BD74B89" w14:textId="16ACF0FB" w:rsidR="007E4414" w:rsidRDefault="007E4414" w:rsidP="007E4414">
      <w:r>
        <w:br w:type="page"/>
      </w:r>
    </w:p>
    <w:p w14:paraId="3B78CB11" w14:textId="272445BF" w:rsidR="001523DF" w:rsidRDefault="00802FD1" w:rsidP="00AA2BB1">
      <w:pPr>
        <w:pStyle w:val="Ttulo1"/>
      </w:pPr>
      <w:r w:rsidRPr="00D5321F">
        <w:rPr>
          <w:caps/>
        </w:rPr>
        <w:lastRenderedPageBreak/>
        <w:fldChar w:fldCharType="begin"/>
      </w:r>
      <w:r w:rsidRPr="00D5321F">
        <w:instrText xml:space="preserve"> TOC \o "1-6" \u </w:instrText>
      </w:r>
      <w:r w:rsidRPr="00D5321F">
        <w:rPr>
          <w:caps/>
        </w:rPr>
        <w:fldChar w:fldCharType="end"/>
      </w:r>
      <w:bookmarkStart w:id="12" w:name="_Toc466481470"/>
      <w:bookmarkStart w:id="13" w:name="_Toc468382135"/>
      <w:bookmarkStart w:id="14" w:name="_Toc49708553"/>
      <w:bookmarkStart w:id="15" w:name="_Toc49790239"/>
      <w:bookmarkStart w:id="16" w:name="_Toc49866469"/>
      <w:bookmarkStart w:id="17" w:name="_Toc50373129"/>
      <w:r w:rsidR="002C63EA" w:rsidRPr="00D5321F">
        <w:t>CAPÍTULO PRIMERO</w:t>
      </w:r>
      <w:r w:rsidR="00AA2BB1">
        <w:t xml:space="preserve">: </w:t>
      </w:r>
      <w:bookmarkEnd w:id="0"/>
      <w:bookmarkEnd w:id="1"/>
      <w:bookmarkEnd w:id="2"/>
      <w:bookmarkEnd w:id="3"/>
      <w:bookmarkEnd w:id="4"/>
      <w:bookmarkEnd w:id="12"/>
      <w:bookmarkEnd w:id="13"/>
      <w:r w:rsidR="008A78F7" w:rsidRPr="00D5321F">
        <w:t>ANTECEDENTES HISTÓRICOS DE LA REFORMA OPERADA POR LA LEY ORGÁNICA 6/2007, DE 24 DE MAYO</w:t>
      </w:r>
      <w:bookmarkEnd w:id="14"/>
      <w:bookmarkEnd w:id="15"/>
      <w:bookmarkEnd w:id="16"/>
      <w:bookmarkEnd w:id="17"/>
    </w:p>
    <w:p w14:paraId="1D0CE7EE" w14:textId="5FE378A8" w:rsidR="00B74FD0" w:rsidRPr="00500DB3" w:rsidRDefault="00AA2BB1" w:rsidP="008A70BD">
      <w:pPr>
        <w:pStyle w:val="Ttulo2"/>
      </w:pPr>
      <w:bookmarkStart w:id="18" w:name="_Toc49708554"/>
      <w:bookmarkStart w:id="19" w:name="_Toc49790240"/>
      <w:bookmarkStart w:id="20" w:name="_Toc49866470"/>
      <w:bookmarkStart w:id="21" w:name="_Toc50373130"/>
      <w:r>
        <w:t>INTRODUCCIÓN</w:t>
      </w:r>
      <w:bookmarkEnd w:id="18"/>
      <w:bookmarkEnd w:id="19"/>
      <w:bookmarkEnd w:id="20"/>
      <w:bookmarkEnd w:id="21"/>
    </w:p>
    <w:p w14:paraId="480DC9D0" w14:textId="593301E3" w:rsidR="0048019D" w:rsidRDefault="0048019D" w:rsidP="00AA2BB1">
      <w:pPr>
        <w:pStyle w:val="texto"/>
        <w:ind w:firstLine="0"/>
        <w:rPr>
          <w:rFonts w:ascii="Times New Roman" w:hAnsi="Times New Roman"/>
          <w:szCs w:val="24"/>
        </w:rPr>
      </w:pPr>
      <w:r w:rsidRPr="00500DB3">
        <w:rPr>
          <w:rFonts w:ascii="Times New Roman" w:hAnsi="Times New Roman"/>
          <w:szCs w:val="24"/>
        </w:rPr>
        <w:t>La institución del Tribu</w:t>
      </w:r>
      <w:r w:rsidR="00AA2BB1">
        <w:rPr>
          <w:rFonts w:ascii="Times New Roman" w:hAnsi="Times New Roman"/>
          <w:szCs w:val="24"/>
        </w:rPr>
        <w:t>nal Constitucional</w:t>
      </w:r>
      <w:r w:rsidR="00AC0D23">
        <w:rPr>
          <w:rFonts w:ascii="Times New Roman" w:hAnsi="Times New Roman"/>
          <w:szCs w:val="24"/>
        </w:rPr>
        <w:t xml:space="preserve"> </w:t>
      </w:r>
      <w:r w:rsidRPr="00500DB3">
        <w:rPr>
          <w:rFonts w:ascii="Times New Roman" w:hAnsi="Times New Roman"/>
          <w:szCs w:val="24"/>
        </w:rPr>
        <w:t xml:space="preserve">en Europa se inserta </w:t>
      </w:r>
      <w:r w:rsidR="00B5790C">
        <w:rPr>
          <w:rFonts w:ascii="Times New Roman" w:hAnsi="Times New Roman"/>
          <w:szCs w:val="24"/>
        </w:rPr>
        <w:t>dentro del marco teórico de la j</w:t>
      </w:r>
      <w:r w:rsidRPr="00500DB3">
        <w:rPr>
          <w:rFonts w:ascii="Times New Roman" w:hAnsi="Times New Roman"/>
          <w:szCs w:val="24"/>
        </w:rPr>
        <w:t>usticia constitucional que ideó el jurista austriaco H</w:t>
      </w:r>
      <w:r w:rsidR="00CE028C">
        <w:rPr>
          <w:rFonts w:ascii="Times New Roman" w:hAnsi="Times New Roman"/>
          <w:szCs w:val="24"/>
        </w:rPr>
        <w:t>ans Kelsen en 1920. El</w:t>
      </w:r>
      <w:r w:rsidRPr="00500DB3">
        <w:rPr>
          <w:rFonts w:ascii="Times New Roman" w:hAnsi="Times New Roman"/>
          <w:szCs w:val="24"/>
        </w:rPr>
        <w:t xml:space="preserve"> modelo de justicia constitucional concentrad</w:t>
      </w:r>
      <w:r w:rsidR="00CE028C">
        <w:rPr>
          <w:rFonts w:ascii="Times New Roman" w:hAnsi="Times New Roman"/>
          <w:szCs w:val="24"/>
        </w:rPr>
        <w:t xml:space="preserve">a, fue desarrollado </w:t>
      </w:r>
      <w:r w:rsidR="00CE028C" w:rsidRPr="00CE028C">
        <w:rPr>
          <w:rFonts w:ascii="Times New Roman" w:hAnsi="Times New Roman"/>
          <w:szCs w:val="24"/>
        </w:rPr>
        <w:t>en la Europa del período de entreguerras</w:t>
      </w:r>
      <w:r w:rsidR="00CE028C">
        <w:rPr>
          <w:rFonts w:ascii="Times New Roman" w:hAnsi="Times New Roman"/>
          <w:szCs w:val="24"/>
        </w:rPr>
        <w:t xml:space="preserve">. Fue aquí cuando surgieron </w:t>
      </w:r>
      <w:r w:rsidR="00CE028C" w:rsidRPr="00CE028C">
        <w:rPr>
          <w:rFonts w:ascii="Times New Roman" w:hAnsi="Times New Roman"/>
          <w:szCs w:val="24"/>
        </w:rPr>
        <w:t>los primeros Tribunales Constitucionales y, más concretamente, en las Constituciones de Austria y Checoslovaquia de 1920.</w:t>
      </w:r>
      <w:r w:rsidR="00CE028C">
        <w:rPr>
          <w:rFonts w:ascii="Times New Roman" w:hAnsi="Times New Roman"/>
          <w:szCs w:val="24"/>
        </w:rPr>
        <w:t xml:space="preserve"> El modelo concentrado </w:t>
      </w:r>
      <w:r w:rsidRPr="00500DB3">
        <w:rPr>
          <w:rFonts w:ascii="Times New Roman" w:hAnsi="Times New Roman"/>
          <w:szCs w:val="24"/>
        </w:rPr>
        <w:t>crea específicamente un tribunal como guardián de la Constitución</w:t>
      </w:r>
      <w:r w:rsidR="00CE028C">
        <w:rPr>
          <w:rFonts w:ascii="Times New Roman" w:hAnsi="Times New Roman"/>
          <w:szCs w:val="24"/>
        </w:rPr>
        <w:t xml:space="preserve">. </w:t>
      </w:r>
      <w:r w:rsidRPr="00500DB3">
        <w:rPr>
          <w:rFonts w:ascii="Times New Roman" w:hAnsi="Times New Roman"/>
          <w:szCs w:val="24"/>
        </w:rPr>
        <w:t>Este Tribunal es único y se encuentra separado del resto de los tribunales. Es llamado a pronunciarse sobre cuestiones estrictamente jurídico-constitucionales, con total abstracción de los conflictos e intereses que subyacen tanto a las normas enjuiciadas como a los concretos casos de aplicación</w:t>
      </w:r>
      <w:r w:rsidR="004D4CBD" w:rsidRPr="00500DB3">
        <w:rPr>
          <w:rFonts w:ascii="Times New Roman" w:hAnsi="Times New Roman"/>
          <w:szCs w:val="24"/>
        </w:rPr>
        <w:t xml:space="preserve"> de las mismas</w:t>
      </w:r>
      <w:r w:rsidR="004D4CBD" w:rsidRPr="00500DB3">
        <w:rPr>
          <w:rStyle w:val="Refdenotaalpie"/>
          <w:rFonts w:ascii="Times New Roman" w:hAnsi="Times New Roman"/>
          <w:szCs w:val="24"/>
        </w:rPr>
        <w:footnoteReference w:id="1"/>
      </w:r>
      <w:r w:rsidR="004D4CBD" w:rsidRPr="00500DB3">
        <w:rPr>
          <w:rFonts w:ascii="Times New Roman" w:hAnsi="Times New Roman"/>
          <w:szCs w:val="24"/>
        </w:rPr>
        <w:t>.</w:t>
      </w:r>
    </w:p>
    <w:p w14:paraId="7E506078" w14:textId="398E1355" w:rsidR="00B03777" w:rsidRPr="00500DB3" w:rsidRDefault="00B03777" w:rsidP="00AA2BB1">
      <w:pPr>
        <w:pStyle w:val="texto"/>
        <w:spacing w:after="100"/>
        <w:ind w:firstLine="0"/>
        <w:rPr>
          <w:rFonts w:ascii="Times New Roman" w:hAnsi="Times New Roman"/>
          <w:szCs w:val="24"/>
        </w:rPr>
      </w:pPr>
      <w:r>
        <w:rPr>
          <w:rFonts w:ascii="Times New Roman" w:hAnsi="Times New Roman"/>
          <w:szCs w:val="24"/>
        </w:rPr>
        <w:t>El modelo</w:t>
      </w:r>
      <w:r w:rsidRPr="00500DB3">
        <w:rPr>
          <w:rFonts w:ascii="Times New Roman" w:hAnsi="Times New Roman"/>
          <w:szCs w:val="24"/>
        </w:rPr>
        <w:t xml:space="preserve"> americano</w:t>
      </w:r>
      <w:r>
        <w:rPr>
          <w:rFonts w:ascii="Times New Roman" w:hAnsi="Times New Roman"/>
          <w:szCs w:val="24"/>
        </w:rPr>
        <w:t xml:space="preserve">, por su parte, </w:t>
      </w:r>
      <w:r w:rsidR="001F011E">
        <w:rPr>
          <w:rFonts w:ascii="Times New Roman" w:hAnsi="Times New Roman"/>
          <w:szCs w:val="24"/>
        </w:rPr>
        <w:t>es un sistema de justicia constitucional difuso</w:t>
      </w:r>
      <w:r w:rsidRPr="00500DB3">
        <w:rPr>
          <w:rFonts w:ascii="Times New Roman" w:hAnsi="Times New Roman"/>
          <w:szCs w:val="24"/>
        </w:rPr>
        <w:t xml:space="preserve"> donde todos los jueces velan por la salvaguarda de la Constitución, teniendo la última palabra el Tribunal Supremo</w:t>
      </w:r>
      <w:r w:rsidRPr="00500DB3">
        <w:rPr>
          <w:rStyle w:val="Refdenotaalpie"/>
          <w:rFonts w:ascii="Times New Roman" w:hAnsi="Times New Roman"/>
          <w:szCs w:val="24"/>
        </w:rPr>
        <w:footnoteReference w:id="2"/>
      </w:r>
      <w:r w:rsidRPr="00500DB3">
        <w:rPr>
          <w:rFonts w:ascii="Times New Roman" w:hAnsi="Times New Roman"/>
          <w:szCs w:val="24"/>
        </w:rPr>
        <w:t xml:space="preserve">.   </w:t>
      </w:r>
    </w:p>
    <w:p w14:paraId="492142EA" w14:textId="7DC9386A" w:rsidR="006034DB" w:rsidRDefault="0048019D" w:rsidP="00AA2BB1">
      <w:pPr>
        <w:pStyle w:val="texto"/>
        <w:ind w:firstLine="0"/>
        <w:rPr>
          <w:rFonts w:ascii="Times New Roman" w:hAnsi="Times New Roman"/>
          <w:szCs w:val="24"/>
        </w:rPr>
      </w:pPr>
      <w:r w:rsidRPr="00500DB3">
        <w:rPr>
          <w:rFonts w:ascii="Times New Roman" w:hAnsi="Times New Roman"/>
          <w:szCs w:val="24"/>
        </w:rPr>
        <w:t>Debem</w:t>
      </w:r>
      <w:r w:rsidR="00AC0D23">
        <w:rPr>
          <w:rFonts w:ascii="Times New Roman" w:hAnsi="Times New Roman"/>
          <w:szCs w:val="24"/>
        </w:rPr>
        <w:t>os enmarcar la aparición de la j</w:t>
      </w:r>
      <w:r w:rsidRPr="00500DB3">
        <w:rPr>
          <w:rFonts w:ascii="Times New Roman" w:hAnsi="Times New Roman"/>
          <w:szCs w:val="24"/>
        </w:rPr>
        <w:t>usticia constitucional e</w:t>
      </w:r>
      <w:r w:rsidR="007D6C39">
        <w:rPr>
          <w:rFonts w:ascii="Times New Roman" w:hAnsi="Times New Roman"/>
          <w:szCs w:val="24"/>
        </w:rPr>
        <w:t xml:space="preserve">n el contenido del artículo VI de la </w:t>
      </w:r>
      <w:r w:rsidR="00AC0D23">
        <w:rPr>
          <w:rFonts w:ascii="Times New Roman" w:hAnsi="Times New Roman"/>
          <w:szCs w:val="24"/>
        </w:rPr>
        <w:t xml:space="preserve">Constitución </w:t>
      </w:r>
      <w:r w:rsidR="007D6C39">
        <w:rPr>
          <w:rFonts w:ascii="Times New Roman" w:hAnsi="Times New Roman"/>
          <w:szCs w:val="24"/>
        </w:rPr>
        <w:t xml:space="preserve">de los Estados Unidos </w:t>
      </w:r>
      <w:r w:rsidR="00AC0D23">
        <w:rPr>
          <w:rFonts w:ascii="Times New Roman" w:hAnsi="Times New Roman"/>
          <w:szCs w:val="24"/>
        </w:rPr>
        <w:t>de 1787</w:t>
      </w:r>
      <w:r w:rsidR="007D6C39">
        <w:rPr>
          <w:rFonts w:ascii="Times New Roman" w:hAnsi="Times New Roman"/>
          <w:szCs w:val="24"/>
        </w:rPr>
        <w:t xml:space="preserve">. Este artículo establece que </w:t>
      </w:r>
      <w:proofErr w:type="gramStart"/>
      <w:r w:rsidR="00AC0D23">
        <w:rPr>
          <w:rFonts w:ascii="Times New Roman" w:hAnsi="Times New Roman"/>
          <w:szCs w:val="24"/>
        </w:rPr>
        <w:t>Constitución</w:t>
      </w:r>
      <w:proofErr w:type="gramEnd"/>
      <w:r w:rsidR="007D6C39">
        <w:rPr>
          <w:rFonts w:ascii="Times New Roman" w:hAnsi="Times New Roman"/>
          <w:szCs w:val="24"/>
        </w:rPr>
        <w:t xml:space="preserve"> así como las leyes y tratados hechos de acuerdo a la misma son Ley Suprema del país</w:t>
      </w:r>
      <w:r w:rsidR="007D6C39">
        <w:rPr>
          <w:rStyle w:val="Refdenotaalpie"/>
          <w:rFonts w:ascii="Times New Roman" w:hAnsi="Times New Roman"/>
          <w:szCs w:val="24"/>
        </w:rPr>
        <w:footnoteReference w:id="3"/>
      </w:r>
      <w:r w:rsidR="007D6C39">
        <w:rPr>
          <w:rFonts w:ascii="Times New Roman" w:hAnsi="Times New Roman"/>
          <w:szCs w:val="24"/>
        </w:rPr>
        <w:t xml:space="preserve">. </w:t>
      </w:r>
      <w:r w:rsidR="002816BD">
        <w:rPr>
          <w:rFonts w:ascii="Times New Roman" w:hAnsi="Times New Roman"/>
          <w:szCs w:val="24"/>
        </w:rPr>
        <w:t>Cabe destacar al respecto</w:t>
      </w:r>
      <w:r w:rsidRPr="00500DB3">
        <w:rPr>
          <w:rFonts w:ascii="Times New Roman" w:hAnsi="Times New Roman"/>
          <w:szCs w:val="24"/>
        </w:rPr>
        <w:t xml:space="preserve"> la labor </w:t>
      </w:r>
      <w:r w:rsidR="002816BD">
        <w:rPr>
          <w:rFonts w:ascii="Times New Roman" w:hAnsi="Times New Roman"/>
          <w:szCs w:val="24"/>
        </w:rPr>
        <w:t xml:space="preserve">realizada por </w:t>
      </w:r>
      <w:r w:rsidRPr="00500DB3">
        <w:rPr>
          <w:rFonts w:ascii="Times New Roman" w:hAnsi="Times New Roman"/>
          <w:szCs w:val="24"/>
        </w:rPr>
        <w:t xml:space="preserve">el juez Marshall, </w:t>
      </w:r>
      <w:proofErr w:type="gramStart"/>
      <w:r w:rsidRPr="00500DB3">
        <w:rPr>
          <w:rFonts w:ascii="Times New Roman" w:hAnsi="Times New Roman"/>
          <w:szCs w:val="24"/>
        </w:rPr>
        <w:t>President</w:t>
      </w:r>
      <w:r w:rsidR="00AC0D23">
        <w:rPr>
          <w:rFonts w:ascii="Times New Roman" w:hAnsi="Times New Roman"/>
          <w:szCs w:val="24"/>
        </w:rPr>
        <w:t>e</w:t>
      </w:r>
      <w:proofErr w:type="gramEnd"/>
      <w:r w:rsidR="00AC0D23">
        <w:rPr>
          <w:rFonts w:ascii="Times New Roman" w:hAnsi="Times New Roman"/>
          <w:szCs w:val="24"/>
        </w:rPr>
        <w:t xml:space="preserve"> del Tribunal Supremo de los Estados Unidos</w:t>
      </w:r>
      <w:r w:rsidRPr="00500DB3">
        <w:rPr>
          <w:rFonts w:ascii="Times New Roman" w:hAnsi="Times New Roman"/>
          <w:szCs w:val="24"/>
        </w:rPr>
        <w:t xml:space="preserve">, </w:t>
      </w:r>
      <w:r w:rsidR="006034DB">
        <w:rPr>
          <w:rFonts w:ascii="Times New Roman" w:hAnsi="Times New Roman"/>
          <w:szCs w:val="24"/>
        </w:rPr>
        <w:t xml:space="preserve">pocos años después </w:t>
      </w:r>
      <w:r w:rsidRPr="00500DB3">
        <w:rPr>
          <w:rFonts w:ascii="Times New Roman" w:hAnsi="Times New Roman"/>
          <w:szCs w:val="24"/>
        </w:rPr>
        <w:t xml:space="preserve">cuando resolvió el </w:t>
      </w:r>
      <w:r w:rsidR="00AC0D23">
        <w:rPr>
          <w:rFonts w:ascii="Times New Roman" w:hAnsi="Times New Roman"/>
          <w:szCs w:val="24"/>
        </w:rPr>
        <w:t xml:space="preserve">famoso </w:t>
      </w:r>
      <w:r w:rsidRPr="00500DB3">
        <w:rPr>
          <w:rFonts w:ascii="Times New Roman" w:hAnsi="Times New Roman"/>
          <w:szCs w:val="24"/>
        </w:rPr>
        <w:lastRenderedPageBreak/>
        <w:t>caso Marbury vs Madison</w:t>
      </w:r>
      <w:r w:rsidR="001114BA">
        <w:rPr>
          <w:rStyle w:val="Refdenotaalpie"/>
          <w:rFonts w:ascii="Times New Roman" w:hAnsi="Times New Roman"/>
          <w:szCs w:val="24"/>
        </w:rPr>
        <w:footnoteReference w:id="4"/>
      </w:r>
      <w:r w:rsidR="00AA2A2D">
        <w:rPr>
          <w:rFonts w:ascii="Times New Roman" w:hAnsi="Times New Roman"/>
          <w:szCs w:val="24"/>
        </w:rPr>
        <w:t xml:space="preserve"> en </w:t>
      </w:r>
      <w:r w:rsidRPr="00500DB3">
        <w:rPr>
          <w:rFonts w:ascii="Times New Roman" w:hAnsi="Times New Roman"/>
          <w:szCs w:val="24"/>
        </w:rPr>
        <w:t>1803</w:t>
      </w:r>
      <w:r w:rsidR="00040417">
        <w:rPr>
          <w:rStyle w:val="Refdenotaalpie"/>
          <w:rFonts w:ascii="Times New Roman" w:hAnsi="Times New Roman"/>
          <w:szCs w:val="24"/>
        </w:rPr>
        <w:footnoteReference w:id="5"/>
      </w:r>
      <w:r w:rsidRPr="00500DB3">
        <w:rPr>
          <w:rFonts w:ascii="Times New Roman" w:hAnsi="Times New Roman"/>
          <w:szCs w:val="24"/>
        </w:rPr>
        <w:t xml:space="preserve">. </w:t>
      </w:r>
      <w:r w:rsidR="00FD30C0">
        <w:rPr>
          <w:rFonts w:ascii="Times New Roman" w:hAnsi="Times New Roman"/>
          <w:szCs w:val="24"/>
        </w:rPr>
        <w:t>E</w:t>
      </w:r>
      <w:r w:rsidR="00FD30C0" w:rsidRPr="00FD30C0">
        <w:rPr>
          <w:rFonts w:ascii="Times New Roman" w:hAnsi="Times New Roman"/>
          <w:szCs w:val="24"/>
        </w:rPr>
        <w:t>ste caso no se refiere, como podríamos pensar en un principio, a una cuestión relativa a derechos fundamentales. Por el contrario, se trata de un caso relativo a una de las posibles vías para garantizar la Constitución.</w:t>
      </w:r>
      <w:r w:rsidR="004D52C3" w:rsidRPr="004D52C3">
        <w:t xml:space="preserve"> </w:t>
      </w:r>
      <w:r w:rsidR="004D52C3" w:rsidRPr="004D52C3">
        <w:rPr>
          <w:rFonts w:ascii="Times New Roman" w:hAnsi="Times New Roman"/>
          <w:szCs w:val="24"/>
        </w:rPr>
        <w:t xml:space="preserve">En el caso Marbury nos encontramos un asunto en el que se plantea la supremacía de la </w:t>
      </w:r>
      <w:r w:rsidR="00F1749E" w:rsidRPr="004D52C3">
        <w:rPr>
          <w:rFonts w:ascii="Times New Roman" w:hAnsi="Times New Roman"/>
          <w:szCs w:val="24"/>
        </w:rPr>
        <w:t>Constitución,</w:t>
      </w:r>
      <w:r w:rsidR="004D52C3" w:rsidRPr="004D52C3">
        <w:rPr>
          <w:rFonts w:ascii="Times New Roman" w:hAnsi="Times New Roman"/>
          <w:szCs w:val="24"/>
        </w:rPr>
        <w:t xml:space="preserve"> así como el papel que los jueces deben desempeñar ante las leyes que contradicen el contenido de la Ley Suprema.</w:t>
      </w:r>
      <w:r w:rsidR="006034DB">
        <w:rPr>
          <w:rFonts w:ascii="Times New Roman" w:hAnsi="Times New Roman"/>
          <w:szCs w:val="24"/>
        </w:rPr>
        <w:t xml:space="preserve"> Aunque hoy día pueda parecer clara la respuesta a este asunto, la verdad es que en el momento en el que éste se planteó la respuesta no era tan simple. Por este motivo, podemos decir que este caso asentó las bases de </w:t>
      </w:r>
      <w:r w:rsidR="007D6C39">
        <w:rPr>
          <w:rFonts w:ascii="Times New Roman" w:hAnsi="Times New Roman"/>
          <w:szCs w:val="24"/>
        </w:rPr>
        <w:t>lo que hoy se conoce como justicia</w:t>
      </w:r>
      <w:r w:rsidR="006034DB">
        <w:rPr>
          <w:rFonts w:ascii="Times New Roman" w:hAnsi="Times New Roman"/>
          <w:szCs w:val="24"/>
        </w:rPr>
        <w:t xml:space="preserve"> </w:t>
      </w:r>
      <w:proofErr w:type="gramStart"/>
      <w:r w:rsidR="006034DB">
        <w:rPr>
          <w:rFonts w:ascii="Times New Roman" w:hAnsi="Times New Roman"/>
          <w:szCs w:val="24"/>
        </w:rPr>
        <w:t>constitucional</w:t>
      </w:r>
      <w:proofErr w:type="gramEnd"/>
      <w:r w:rsidR="00AA2A2D">
        <w:rPr>
          <w:rFonts w:ascii="Times New Roman" w:hAnsi="Times New Roman"/>
          <w:szCs w:val="24"/>
        </w:rPr>
        <w:t xml:space="preserve"> así como el principio de supremacía constitucional</w:t>
      </w:r>
      <w:r w:rsidR="006034DB">
        <w:rPr>
          <w:rStyle w:val="Refdenotaalpie"/>
          <w:rFonts w:ascii="Times New Roman" w:hAnsi="Times New Roman"/>
          <w:szCs w:val="24"/>
        </w:rPr>
        <w:footnoteReference w:id="6"/>
      </w:r>
      <w:r w:rsidR="006034DB">
        <w:rPr>
          <w:rFonts w:ascii="Times New Roman" w:hAnsi="Times New Roman"/>
          <w:szCs w:val="24"/>
        </w:rPr>
        <w:t xml:space="preserve">. </w:t>
      </w:r>
    </w:p>
    <w:p w14:paraId="219AC4A3" w14:textId="77777777" w:rsidR="00CE028C" w:rsidRPr="00500DB3" w:rsidRDefault="00CE028C" w:rsidP="00AA2BB1">
      <w:pPr>
        <w:pStyle w:val="texto"/>
        <w:ind w:firstLine="0"/>
        <w:rPr>
          <w:rFonts w:ascii="Times New Roman" w:hAnsi="Times New Roman"/>
          <w:szCs w:val="24"/>
        </w:rPr>
      </w:pPr>
      <w:r>
        <w:rPr>
          <w:rFonts w:ascii="Times New Roman" w:hAnsi="Times New Roman"/>
          <w:szCs w:val="24"/>
        </w:rPr>
        <w:t>En nuestro sistema, p</w:t>
      </w:r>
      <w:r w:rsidRPr="00500DB3">
        <w:rPr>
          <w:rFonts w:ascii="Times New Roman" w:hAnsi="Times New Roman"/>
          <w:szCs w:val="24"/>
        </w:rPr>
        <w:t xml:space="preserve">artimos de la base de que la Constitución es la Norma Suprema del Estado y que el resto </w:t>
      </w:r>
      <w:r>
        <w:rPr>
          <w:rFonts w:ascii="Times New Roman" w:hAnsi="Times New Roman"/>
          <w:szCs w:val="24"/>
        </w:rPr>
        <w:t>de normas se supeditan a ella. El sistema de j</w:t>
      </w:r>
      <w:r w:rsidRPr="00500DB3">
        <w:rPr>
          <w:rFonts w:ascii="Times New Roman" w:hAnsi="Times New Roman"/>
          <w:szCs w:val="24"/>
        </w:rPr>
        <w:t>usticia constitucional se crearía como medio eficaz para arbitrar el control de la constitucionalidad de las leyes que emanan del Poder Legislativo.</w:t>
      </w:r>
    </w:p>
    <w:p w14:paraId="644E4C62" w14:textId="009B2934" w:rsidR="0048019D" w:rsidRPr="00500DB3" w:rsidRDefault="00D95AF1" w:rsidP="00AA2BB1">
      <w:pPr>
        <w:pStyle w:val="texto"/>
        <w:ind w:firstLine="0"/>
        <w:rPr>
          <w:rFonts w:ascii="Times New Roman" w:hAnsi="Times New Roman"/>
          <w:szCs w:val="24"/>
        </w:rPr>
      </w:pPr>
      <w:r>
        <w:rPr>
          <w:rFonts w:ascii="Times New Roman" w:hAnsi="Times New Roman"/>
          <w:szCs w:val="24"/>
        </w:rPr>
        <w:t>P</w:t>
      </w:r>
      <w:r w:rsidR="001F011E">
        <w:rPr>
          <w:rFonts w:ascii="Times New Roman" w:hAnsi="Times New Roman"/>
          <w:szCs w:val="24"/>
        </w:rPr>
        <w:t>odemos identificar como e</w:t>
      </w:r>
      <w:r w:rsidR="0048019D" w:rsidRPr="00500DB3">
        <w:rPr>
          <w:rFonts w:ascii="Times New Roman" w:hAnsi="Times New Roman"/>
          <w:szCs w:val="24"/>
        </w:rPr>
        <w:t>l antecedente más próximo a</w:t>
      </w:r>
      <w:r w:rsidR="00D85EF4">
        <w:rPr>
          <w:rFonts w:ascii="Times New Roman" w:hAnsi="Times New Roman"/>
          <w:szCs w:val="24"/>
        </w:rPr>
        <w:t xml:space="preserve"> nuestro TC</w:t>
      </w:r>
      <w:r w:rsidR="0048019D" w:rsidRPr="00500DB3">
        <w:rPr>
          <w:rFonts w:ascii="Times New Roman" w:hAnsi="Times New Roman"/>
          <w:szCs w:val="24"/>
        </w:rPr>
        <w:t xml:space="preserve"> </w:t>
      </w:r>
      <w:r w:rsidR="001F011E">
        <w:rPr>
          <w:rFonts w:ascii="Times New Roman" w:hAnsi="Times New Roman"/>
          <w:szCs w:val="24"/>
        </w:rPr>
        <w:t>al</w:t>
      </w:r>
      <w:r w:rsidR="00C63143" w:rsidRPr="00500DB3">
        <w:rPr>
          <w:rFonts w:ascii="Times New Roman" w:hAnsi="Times New Roman"/>
          <w:szCs w:val="24"/>
        </w:rPr>
        <w:t xml:space="preserve"> </w:t>
      </w:r>
      <w:r w:rsidR="0048019D" w:rsidRPr="00500DB3">
        <w:rPr>
          <w:rFonts w:ascii="Times New Roman" w:hAnsi="Times New Roman"/>
          <w:szCs w:val="24"/>
        </w:rPr>
        <w:t xml:space="preserve">Tribunal de Garantías Constitucionales </w:t>
      </w:r>
      <w:r w:rsidR="00D85EF4">
        <w:rPr>
          <w:rFonts w:ascii="Times New Roman" w:hAnsi="Times New Roman"/>
          <w:szCs w:val="24"/>
        </w:rPr>
        <w:t xml:space="preserve"> </w:t>
      </w:r>
      <w:r w:rsidR="001F011E">
        <w:rPr>
          <w:rFonts w:ascii="Times New Roman" w:hAnsi="Times New Roman"/>
          <w:szCs w:val="24"/>
        </w:rPr>
        <w:t>creado en la Segunda República con la Constitución Española</w:t>
      </w:r>
      <w:r w:rsidR="0048019D" w:rsidRPr="00500DB3">
        <w:rPr>
          <w:rFonts w:ascii="Times New Roman" w:hAnsi="Times New Roman"/>
          <w:szCs w:val="24"/>
        </w:rPr>
        <w:t xml:space="preserve"> de 1931</w:t>
      </w:r>
      <w:r w:rsidR="001F011E">
        <w:rPr>
          <w:rStyle w:val="Refdenotaalpie"/>
          <w:rFonts w:ascii="Times New Roman" w:hAnsi="Times New Roman"/>
          <w:szCs w:val="24"/>
        </w:rPr>
        <w:footnoteReference w:id="7"/>
      </w:r>
      <w:r>
        <w:rPr>
          <w:rFonts w:ascii="Times New Roman" w:hAnsi="Times New Roman"/>
          <w:szCs w:val="24"/>
        </w:rPr>
        <w:t xml:space="preserve">, </w:t>
      </w:r>
      <w:r w:rsidRPr="00D95AF1">
        <w:rPr>
          <w:rFonts w:ascii="Times New Roman" w:hAnsi="Times New Roman"/>
          <w:szCs w:val="24"/>
        </w:rPr>
        <w:t>aunque en diversos proyectos constitucionales (</w:t>
      </w:r>
      <w:r>
        <w:rPr>
          <w:rFonts w:ascii="Times New Roman" w:hAnsi="Times New Roman"/>
          <w:szCs w:val="24"/>
        </w:rPr>
        <w:t xml:space="preserve">concretamente los de </w:t>
      </w:r>
      <w:r w:rsidRPr="00D95AF1">
        <w:rPr>
          <w:rFonts w:ascii="Times New Roman" w:hAnsi="Times New Roman"/>
          <w:szCs w:val="24"/>
        </w:rPr>
        <w:t>1873 y 1929) se contemplaba u</w:t>
      </w:r>
      <w:r>
        <w:rPr>
          <w:rFonts w:ascii="Times New Roman" w:hAnsi="Times New Roman"/>
          <w:szCs w:val="24"/>
        </w:rPr>
        <w:t xml:space="preserve">n control de constitucionalidad. </w:t>
      </w:r>
      <w:r w:rsidR="0048019D" w:rsidRPr="00500DB3">
        <w:rPr>
          <w:rFonts w:ascii="Times New Roman" w:hAnsi="Times New Roman"/>
          <w:szCs w:val="24"/>
        </w:rPr>
        <w:t xml:space="preserve"> Nos ajustamos al modelo de </w:t>
      </w:r>
      <w:r w:rsidR="0048019D" w:rsidRPr="00500DB3">
        <w:rPr>
          <w:rFonts w:ascii="Times New Roman" w:hAnsi="Times New Roman"/>
          <w:szCs w:val="24"/>
        </w:rPr>
        <w:lastRenderedPageBreak/>
        <w:t xml:space="preserve">Kelsen de justicia constitucional, creando un tribunal </w:t>
      </w:r>
      <w:r w:rsidR="0048019D" w:rsidRPr="00500DB3">
        <w:rPr>
          <w:rFonts w:ascii="Times New Roman" w:hAnsi="Times New Roman"/>
          <w:i/>
          <w:szCs w:val="24"/>
        </w:rPr>
        <w:t>ad hoc</w:t>
      </w:r>
      <w:r w:rsidR="0048019D" w:rsidRPr="00500DB3">
        <w:rPr>
          <w:rFonts w:ascii="Times New Roman" w:hAnsi="Times New Roman"/>
          <w:szCs w:val="24"/>
        </w:rPr>
        <w:t>, ajeno al Poder Judicial, encargado de ve</w:t>
      </w:r>
      <w:r w:rsidR="001F011E">
        <w:rPr>
          <w:rFonts w:ascii="Times New Roman" w:hAnsi="Times New Roman"/>
          <w:szCs w:val="24"/>
        </w:rPr>
        <w:t>lar por el cumplimiento de la Constitución</w:t>
      </w:r>
      <w:r w:rsidR="0048019D" w:rsidRPr="00500DB3">
        <w:rPr>
          <w:rFonts w:ascii="Times New Roman" w:hAnsi="Times New Roman"/>
          <w:szCs w:val="24"/>
        </w:rPr>
        <w:t xml:space="preserve"> como Norma jurídica Suprema</w:t>
      </w:r>
      <w:r w:rsidR="001F011E" w:rsidRPr="00500DB3">
        <w:rPr>
          <w:rStyle w:val="Refdenotaalpie"/>
          <w:rFonts w:ascii="Times New Roman" w:hAnsi="Times New Roman"/>
          <w:szCs w:val="24"/>
        </w:rPr>
        <w:footnoteReference w:id="8"/>
      </w:r>
      <w:r w:rsidR="0048019D" w:rsidRPr="00500DB3">
        <w:rPr>
          <w:rFonts w:ascii="Times New Roman" w:hAnsi="Times New Roman"/>
          <w:szCs w:val="24"/>
        </w:rPr>
        <w:t>.</w:t>
      </w:r>
    </w:p>
    <w:p w14:paraId="63C21806" w14:textId="32E8FF48" w:rsidR="00E94982" w:rsidRPr="00500DB3" w:rsidRDefault="00D85EF4" w:rsidP="00AA2BB1">
      <w:pPr>
        <w:pStyle w:val="texto"/>
        <w:ind w:firstLine="0"/>
        <w:rPr>
          <w:rFonts w:ascii="Times New Roman" w:hAnsi="Times New Roman"/>
          <w:szCs w:val="24"/>
        </w:rPr>
      </w:pPr>
      <w:r>
        <w:rPr>
          <w:rFonts w:ascii="Times New Roman" w:hAnsi="Times New Roman"/>
          <w:szCs w:val="24"/>
        </w:rPr>
        <w:t xml:space="preserve">El TGC </w:t>
      </w:r>
      <w:r w:rsidR="00D03378" w:rsidRPr="00500DB3">
        <w:rPr>
          <w:rFonts w:ascii="Times New Roman" w:hAnsi="Times New Roman"/>
          <w:szCs w:val="24"/>
        </w:rPr>
        <w:t>fue esta</w:t>
      </w:r>
      <w:r w:rsidR="00205348">
        <w:rPr>
          <w:rFonts w:ascii="Times New Roman" w:hAnsi="Times New Roman"/>
          <w:szCs w:val="24"/>
        </w:rPr>
        <w:t xml:space="preserve">blecido </w:t>
      </w:r>
      <w:r w:rsidR="00D95AF1">
        <w:rPr>
          <w:rFonts w:ascii="Times New Roman" w:hAnsi="Times New Roman"/>
          <w:szCs w:val="24"/>
        </w:rPr>
        <w:t xml:space="preserve">en </w:t>
      </w:r>
      <w:r w:rsidR="00D95AF1" w:rsidRPr="00D95AF1">
        <w:rPr>
          <w:rFonts w:ascii="Times New Roman" w:hAnsi="Times New Roman"/>
          <w:szCs w:val="24"/>
        </w:rPr>
        <w:t>la Constit</w:t>
      </w:r>
      <w:r w:rsidR="00D95AF1">
        <w:rPr>
          <w:rFonts w:ascii="Times New Roman" w:hAnsi="Times New Roman"/>
          <w:szCs w:val="24"/>
        </w:rPr>
        <w:t>ución de 9 de diciembre de 1931. E</w:t>
      </w:r>
      <w:r w:rsidR="00D95AF1" w:rsidRPr="00D95AF1">
        <w:rPr>
          <w:rFonts w:ascii="Times New Roman" w:hAnsi="Times New Roman"/>
          <w:szCs w:val="24"/>
        </w:rPr>
        <w:t xml:space="preserve">n su artículo 121 estableció </w:t>
      </w:r>
      <w:r w:rsidR="00D95AF1" w:rsidRPr="00D95AF1">
        <w:rPr>
          <w:rFonts w:ascii="Times New Roman" w:hAnsi="Times New Roman"/>
          <w:i/>
          <w:szCs w:val="24"/>
        </w:rPr>
        <w:t>“con jurisdicción en todo el territorio de la República, un Tribunal de Garantías Constitucionales”.</w:t>
      </w:r>
      <w:r w:rsidR="00D95AF1">
        <w:rPr>
          <w:rFonts w:ascii="Times New Roman" w:hAnsi="Times New Roman"/>
          <w:i/>
          <w:szCs w:val="24"/>
        </w:rPr>
        <w:t xml:space="preserve"> </w:t>
      </w:r>
    </w:p>
    <w:p w14:paraId="28209A7D" w14:textId="0D419D2E" w:rsidR="00E94982" w:rsidRDefault="00E94982" w:rsidP="00AA2BB1">
      <w:pPr>
        <w:pStyle w:val="texto"/>
        <w:ind w:firstLine="0"/>
        <w:rPr>
          <w:rFonts w:ascii="Times New Roman" w:hAnsi="Times New Roman"/>
          <w:szCs w:val="24"/>
        </w:rPr>
      </w:pPr>
      <w:r w:rsidRPr="00500DB3">
        <w:rPr>
          <w:rFonts w:ascii="Times New Roman" w:hAnsi="Times New Roman"/>
          <w:szCs w:val="24"/>
        </w:rPr>
        <w:t>Hubo muchas discre</w:t>
      </w:r>
      <w:r w:rsidR="00D85EF4">
        <w:rPr>
          <w:rFonts w:ascii="Times New Roman" w:hAnsi="Times New Roman"/>
          <w:szCs w:val="24"/>
        </w:rPr>
        <w:t>pancias acerca de su naturaleza. P</w:t>
      </w:r>
      <w:r w:rsidRPr="00500DB3">
        <w:rPr>
          <w:rFonts w:ascii="Times New Roman" w:hAnsi="Times New Roman"/>
          <w:szCs w:val="24"/>
        </w:rPr>
        <w:t>ara muc</w:t>
      </w:r>
      <w:r w:rsidR="004B043B">
        <w:rPr>
          <w:rFonts w:ascii="Times New Roman" w:hAnsi="Times New Roman"/>
          <w:szCs w:val="24"/>
        </w:rPr>
        <w:t>hos el TGC</w:t>
      </w:r>
      <w:r w:rsidR="00D85EF4">
        <w:rPr>
          <w:rFonts w:ascii="Times New Roman" w:hAnsi="Times New Roman"/>
          <w:szCs w:val="24"/>
        </w:rPr>
        <w:t xml:space="preserve"> era </w:t>
      </w:r>
      <w:r w:rsidRPr="00500DB3">
        <w:rPr>
          <w:rFonts w:ascii="Times New Roman" w:hAnsi="Times New Roman"/>
          <w:szCs w:val="24"/>
        </w:rPr>
        <w:t>un sucedáne</w:t>
      </w:r>
      <w:r w:rsidR="00D95AF1">
        <w:rPr>
          <w:rFonts w:ascii="Times New Roman" w:hAnsi="Times New Roman"/>
          <w:szCs w:val="24"/>
        </w:rPr>
        <w:t>o de la Cámara Alta o Senado. S</w:t>
      </w:r>
      <w:r w:rsidRPr="00500DB3">
        <w:rPr>
          <w:rFonts w:ascii="Times New Roman" w:hAnsi="Times New Roman"/>
          <w:szCs w:val="24"/>
        </w:rPr>
        <w:t xml:space="preserve">u creación, que había sido prevista en el Anteproyecto de Constitución que elaboró la Comisión Jurídica Asesora, fue después abandonada en el Proyecto elaborado por la Comisión Constitucional del Congreso, al no ser congruente la existencia de una segunda Cámara con las ideas jurídico-políticas que dominaban </w:t>
      </w:r>
      <w:r w:rsidR="00692F0C" w:rsidRPr="00500DB3">
        <w:rPr>
          <w:rFonts w:ascii="Times New Roman" w:hAnsi="Times New Roman"/>
          <w:szCs w:val="24"/>
        </w:rPr>
        <w:t>el</w:t>
      </w:r>
      <w:r w:rsidRPr="00500DB3">
        <w:rPr>
          <w:rFonts w:ascii="Times New Roman" w:hAnsi="Times New Roman"/>
          <w:szCs w:val="24"/>
        </w:rPr>
        <w:t xml:space="preserve"> seno de la </w:t>
      </w:r>
      <w:r w:rsidR="00692F0C" w:rsidRPr="00500DB3">
        <w:rPr>
          <w:rFonts w:ascii="Times New Roman" w:hAnsi="Times New Roman"/>
          <w:szCs w:val="24"/>
        </w:rPr>
        <w:t xml:space="preserve">unión </w:t>
      </w:r>
      <w:r w:rsidR="00F1749E" w:rsidRPr="00500DB3">
        <w:rPr>
          <w:rFonts w:ascii="Times New Roman" w:hAnsi="Times New Roman"/>
          <w:szCs w:val="24"/>
        </w:rPr>
        <w:t>de republicanos</w:t>
      </w:r>
      <w:r w:rsidR="00692F0C" w:rsidRPr="00500DB3">
        <w:rPr>
          <w:rFonts w:ascii="Times New Roman" w:hAnsi="Times New Roman"/>
          <w:szCs w:val="24"/>
        </w:rPr>
        <w:t xml:space="preserve"> y </w:t>
      </w:r>
      <w:r w:rsidRPr="00500DB3">
        <w:rPr>
          <w:rFonts w:ascii="Times New Roman" w:hAnsi="Times New Roman"/>
          <w:szCs w:val="24"/>
        </w:rPr>
        <w:t>socialista</w:t>
      </w:r>
      <w:r w:rsidR="00692F0C" w:rsidRPr="00500DB3">
        <w:rPr>
          <w:rFonts w:ascii="Times New Roman" w:hAnsi="Times New Roman"/>
          <w:szCs w:val="24"/>
        </w:rPr>
        <w:t>s</w:t>
      </w:r>
      <w:r w:rsidRPr="00500DB3">
        <w:rPr>
          <w:rFonts w:ascii="Times New Roman" w:hAnsi="Times New Roman"/>
          <w:szCs w:val="24"/>
        </w:rPr>
        <w:t xml:space="preserve">. </w:t>
      </w:r>
      <w:r w:rsidR="00D95AF1">
        <w:rPr>
          <w:rFonts w:ascii="Times New Roman" w:hAnsi="Times New Roman"/>
          <w:szCs w:val="24"/>
        </w:rPr>
        <w:t xml:space="preserve">Su composición, además, era </w:t>
      </w:r>
      <w:r w:rsidR="00D95AF1" w:rsidRPr="00D95AF1">
        <w:rPr>
          <w:rFonts w:ascii="Times New Roman" w:hAnsi="Times New Roman"/>
          <w:szCs w:val="24"/>
        </w:rPr>
        <w:t>numerosa y compleja, estable</w:t>
      </w:r>
      <w:r w:rsidR="00D95AF1">
        <w:rPr>
          <w:rFonts w:ascii="Times New Roman" w:hAnsi="Times New Roman"/>
          <w:szCs w:val="24"/>
        </w:rPr>
        <w:t>cida en la propia Constitución en el artículo 122.</w:t>
      </w:r>
    </w:p>
    <w:p w14:paraId="33C10FB7" w14:textId="049E8454" w:rsidR="00D95AF1" w:rsidRPr="00500DB3" w:rsidRDefault="002E05E9" w:rsidP="00AA2BB1">
      <w:pPr>
        <w:pStyle w:val="texto"/>
        <w:ind w:firstLine="0"/>
        <w:rPr>
          <w:rFonts w:ascii="Times New Roman" w:hAnsi="Times New Roman"/>
          <w:szCs w:val="24"/>
        </w:rPr>
      </w:pPr>
      <w:r w:rsidRPr="002E05E9">
        <w:rPr>
          <w:rFonts w:ascii="Times New Roman" w:hAnsi="Times New Roman"/>
          <w:szCs w:val="24"/>
        </w:rPr>
        <w:t>Un año y medio después se produjo la promulgación de la Ley Orgánica del Tribunal, de 14 de junio de 1933. En ella se optaba por un modelo de justicia constitucional inspirado esencialmente en el austríaco, frente al modelo difuso norteamericano</w:t>
      </w:r>
      <w:r>
        <w:rPr>
          <w:rStyle w:val="Refdenotaalpie"/>
          <w:rFonts w:ascii="Times New Roman" w:hAnsi="Times New Roman"/>
          <w:szCs w:val="24"/>
        </w:rPr>
        <w:footnoteReference w:id="9"/>
      </w:r>
      <w:r w:rsidRPr="002E05E9">
        <w:rPr>
          <w:rFonts w:ascii="Times New Roman" w:hAnsi="Times New Roman"/>
          <w:szCs w:val="24"/>
        </w:rPr>
        <w:t>.</w:t>
      </w:r>
    </w:p>
    <w:p w14:paraId="2F964AD1" w14:textId="06F009E4" w:rsidR="00D95AF1" w:rsidRPr="00500DB3" w:rsidRDefault="00D95AF1" w:rsidP="00AA2BB1">
      <w:pPr>
        <w:pStyle w:val="texto"/>
        <w:ind w:firstLine="0"/>
        <w:rPr>
          <w:rFonts w:ascii="Times New Roman" w:hAnsi="Times New Roman"/>
          <w:szCs w:val="24"/>
        </w:rPr>
      </w:pPr>
      <w:r w:rsidRPr="00500DB3">
        <w:rPr>
          <w:rFonts w:ascii="Times New Roman" w:hAnsi="Times New Roman"/>
          <w:szCs w:val="24"/>
        </w:rPr>
        <w:t>Atendiendo al profesor RUBIO LLORENTE</w:t>
      </w:r>
      <w:r w:rsidRPr="00500DB3">
        <w:rPr>
          <w:rStyle w:val="Refdenotaalpie"/>
          <w:rFonts w:ascii="Times New Roman" w:hAnsi="Times New Roman"/>
          <w:szCs w:val="24"/>
        </w:rPr>
        <w:footnoteReference w:id="10"/>
      </w:r>
      <w:r w:rsidRPr="00500DB3">
        <w:rPr>
          <w:rFonts w:ascii="Times New Roman" w:hAnsi="Times New Roman"/>
          <w:szCs w:val="24"/>
        </w:rPr>
        <w:t>, la escasa fortuna con la que la Constitución de 1931 y la Ley Orgánica del Tribunal de Garantías Constitucionales</w:t>
      </w:r>
      <w:r w:rsidRPr="00500DB3">
        <w:rPr>
          <w:rStyle w:val="Refdenotaalpie"/>
          <w:rFonts w:ascii="Times New Roman" w:hAnsi="Times New Roman"/>
          <w:szCs w:val="24"/>
        </w:rPr>
        <w:footnoteReference w:id="11"/>
      </w:r>
      <w:r w:rsidRPr="00500DB3">
        <w:rPr>
          <w:rFonts w:ascii="Times New Roman" w:hAnsi="Times New Roman"/>
          <w:szCs w:val="24"/>
        </w:rPr>
        <w:t xml:space="preserve">, de 14 de junio de 1933, regularon esta institución, se debió muy probablemente a la </w:t>
      </w:r>
      <w:r w:rsidRPr="00500DB3">
        <w:rPr>
          <w:rFonts w:ascii="Times New Roman" w:hAnsi="Times New Roman"/>
          <w:szCs w:val="24"/>
        </w:rPr>
        <w:lastRenderedPageBreak/>
        <w:t>confusión que en los constituyentes de la II República existía acerca de cuál era la auténtica naturaleza de una institución de este género, innovadora en aquella época.</w:t>
      </w:r>
    </w:p>
    <w:p w14:paraId="1B2FBF82" w14:textId="39C7DC80" w:rsidR="009D7DED" w:rsidRPr="00500DB3" w:rsidRDefault="002E05E9" w:rsidP="00AA2BB1">
      <w:pPr>
        <w:pStyle w:val="texto"/>
        <w:ind w:firstLine="0"/>
        <w:rPr>
          <w:rFonts w:ascii="Times New Roman" w:hAnsi="Times New Roman"/>
          <w:szCs w:val="24"/>
        </w:rPr>
      </w:pPr>
      <w:r w:rsidRPr="002E05E9">
        <w:rPr>
          <w:rFonts w:ascii="Times New Roman" w:hAnsi="Times New Roman"/>
          <w:szCs w:val="24"/>
        </w:rPr>
        <w:t xml:space="preserve">Por otra parte, su politizada composición </w:t>
      </w:r>
      <w:r w:rsidR="009D7DED" w:rsidRPr="002E05E9">
        <w:rPr>
          <w:rFonts w:ascii="Times New Roman" w:hAnsi="Times New Roman"/>
          <w:szCs w:val="24"/>
        </w:rPr>
        <w:t>dio lugar a diversos problemas en sus escasos años de vigencia</w:t>
      </w:r>
      <w:r w:rsidR="00760F5F" w:rsidRPr="002E05E9">
        <w:rPr>
          <w:rStyle w:val="Refdenotaalpie"/>
          <w:rFonts w:ascii="Times New Roman" w:hAnsi="Times New Roman"/>
          <w:szCs w:val="24"/>
        </w:rPr>
        <w:footnoteReference w:id="12"/>
      </w:r>
      <w:r w:rsidR="009D7DED" w:rsidRPr="002E05E9">
        <w:rPr>
          <w:rFonts w:ascii="Times New Roman" w:hAnsi="Times New Roman"/>
          <w:szCs w:val="24"/>
        </w:rPr>
        <w:t>.</w:t>
      </w:r>
      <w:r w:rsidR="009D7DED" w:rsidRPr="00500DB3">
        <w:rPr>
          <w:rFonts w:ascii="Times New Roman" w:hAnsi="Times New Roman"/>
          <w:szCs w:val="24"/>
        </w:rPr>
        <w:t xml:space="preserve"> </w:t>
      </w:r>
      <w:r>
        <w:rPr>
          <w:rFonts w:ascii="Times New Roman" w:hAnsi="Times New Roman"/>
          <w:szCs w:val="24"/>
        </w:rPr>
        <w:t>Además, e</w:t>
      </w:r>
      <w:r w:rsidR="009D7DED" w:rsidRPr="00500DB3">
        <w:rPr>
          <w:rFonts w:ascii="Times New Roman" w:hAnsi="Times New Roman"/>
          <w:szCs w:val="24"/>
        </w:rPr>
        <w:t>n lo que respecta a las compet</w:t>
      </w:r>
      <w:r w:rsidR="00760F5F" w:rsidRPr="00500DB3">
        <w:rPr>
          <w:rFonts w:ascii="Times New Roman" w:hAnsi="Times New Roman"/>
          <w:szCs w:val="24"/>
        </w:rPr>
        <w:t>encias que le fueron atribuidas, s</w:t>
      </w:r>
      <w:r>
        <w:rPr>
          <w:rFonts w:ascii="Times New Roman" w:hAnsi="Times New Roman"/>
          <w:szCs w:val="24"/>
        </w:rPr>
        <w:t xml:space="preserve">e incluyeron </w:t>
      </w:r>
      <w:r w:rsidR="009D7DED" w:rsidRPr="00500DB3">
        <w:rPr>
          <w:rFonts w:ascii="Times New Roman" w:hAnsi="Times New Roman"/>
          <w:szCs w:val="24"/>
        </w:rPr>
        <w:t>materias que nunca debieron entrar</w:t>
      </w:r>
      <w:r w:rsidR="00760F5F" w:rsidRPr="00500DB3">
        <w:rPr>
          <w:rFonts w:ascii="Times New Roman" w:hAnsi="Times New Roman"/>
          <w:szCs w:val="24"/>
        </w:rPr>
        <w:t xml:space="preserve"> </w:t>
      </w:r>
      <w:r w:rsidR="009D7DED" w:rsidRPr="00500DB3">
        <w:rPr>
          <w:rFonts w:ascii="Times New Roman" w:hAnsi="Times New Roman"/>
          <w:szCs w:val="24"/>
        </w:rPr>
        <w:t xml:space="preserve">en él </w:t>
      </w:r>
      <w:r w:rsidR="00760F5F" w:rsidRPr="00500DB3">
        <w:rPr>
          <w:rFonts w:ascii="Times New Roman" w:hAnsi="Times New Roman"/>
          <w:szCs w:val="24"/>
        </w:rPr>
        <w:t xml:space="preserve">(como el enjuiciamiento criminal de los titulares de altos organismos del Estado por delitos cometidos en el ejercicio del cargo) </w:t>
      </w:r>
      <w:r w:rsidR="009D7DED" w:rsidRPr="00500DB3">
        <w:rPr>
          <w:rFonts w:ascii="Times New Roman" w:hAnsi="Times New Roman"/>
          <w:szCs w:val="24"/>
        </w:rPr>
        <w:t xml:space="preserve">y </w:t>
      </w:r>
      <w:r w:rsidR="00F1749E" w:rsidRPr="00500DB3">
        <w:rPr>
          <w:rFonts w:ascii="Times New Roman" w:hAnsi="Times New Roman"/>
          <w:szCs w:val="24"/>
        </w:rPr>
        <w:t>que,</w:t>
      </w:r>
      <w:r w:rsidR="009D7DED" w:rsidRPr="00500DB3">
        <w:rPr>
          <w:rFonts w:ascii="Times New Roman" w:hAnsi="Times New Roman"/>
          <w:szCs w:val="24"/>
        </w:rPr>
        <w:t xml:space="preserve"> además, </w:t>
      </w:r>
      <w:r w:rsidR="00760F5F" w:rsidRPr="00500DB3">
        <w:rPr>
          <w:rFonts w:ascii="Times New Roman" w:hAnsi="Times New Roman"/>
          <w:szCs w:val="24"/>
        </w:rPr>
        <w:t>fueron llevadas a la práctica</w:t>
      </w:r>
      <w:r w:rsidR="009D7DED" w:rsidRPr="00500DB3">
        <w:rPr>
          <w:rFonts w:ascii="Times New Roman" w:hAnsi="Times New Roman"/>
          <w:szCs w:val="24"/>
        </w:rPr>
        <w:t>.</w:t>
      </w:r>
    </w:p>
    <w:p w14:paraId="11D298F9" w14:textId="4BB87C72" w:rsidR="009D7DED" w:rsidRPr="00500DB3" w:rsidRDefault="002E05E9" w:rsidP="00AA2BB1">
      <w:pPr>
        <w:pStyle w:val="texto"/>
        <w:ind w:firstLine="0"/>
        <w:rPr>
          <w:rFonts w:ascii="Times New Roman" w:hAnsi="Times New Roman"/>
          <w:szCs w:val="24"/>
        </w:rPr>
      </w:pPr>
      <w:r>
        <w:rPr>
          <w:rFonts w:ascii="Times New Roman" w:hAnsi="Times New Roman"/>
          <w:szCs w:val="24"/>
        </w:rPr>
        <w:t>P</w:t>
      </w:r>
      <w:r w:rsidR="00760F5F" w:rsidRPr="00500DB3">
        <w:rPr>
          <w:rFonts w:ascii="Times New Roman" w:hAnsi="Times New Roman"/>
          <w:szCs w:val="24"/>
        </w:rPr>
        <w:t xml:space="preserve">ara mayor problema, </w:t>
      </w:r>
      <w:r w:rsidR="009D7DED" w:rsidRPr="00500DB3">
        <w:rPr>
          <w:rFonts w:ascii="Times New Roman" w:hAnsi="Times New Roman"/>
          <w:szCs w:val="24"/>
        </w:rPr>
        <w:t xml:space="preserve">no se incluyeron entre las competencias del Tribunal </w:t>
      </w:r>
      <w:r w:rsidR="00B25ECC">
        <w:rPr>
          <w:rFonts w:ascii="Times New Roman" w:hAnsi="Times New Roman"/>
          <w:szCs w:val="24"/>
        </w:rPr>
        <w:t>algunas que</w:t>
      </w:r>
      <w:r w:rsidR="00760F5F" w:rsidRPr="00500DB3">
        <w:rPr>
          <w:rFonts w:ascii="Times New Roman" w:hAnsi="Times New Roman"/>
          <w:szCs w:val="24"/>
        </w:rPr>
        <w:t xml:space="preserve"> </w:t>
      </w:r>
      <w:r w:rsidR="00B25ECC">
        <w:rPr>
          <w:rFonts w:ascii="Times New Roman" w:hAnsi="Times New Roman"/>
          <w:szCs w:val="24"/>
        </w:rPr>
        <w:t xml:space="preserve">pueden ser consideradas </w:t>
      </w:r>
      <w:r w:rsidR="009D7DED" w:rsidRPr="00500DB3">
        <w:rPr>
          <w:rFonts w:ascii="Times New Roman" w:hAnsi="Times New Roman"/>
          <w:szCs w:val="24"/>
        </w:rPr>
        <w:t>indispensables</w:t>
      </w:r>
      <w:r w:rsidR="00760F5F" w:rsidRPr="00500DB3">
        <w:rPr>
          <w:rFonts w:ascii="Times New Roman" w:hAnsi="Times New Roman"/>
          <w:szCs w:val="24"/>
        </w:rPr>
        <w:t xml:space="preserve"> </w:t>
      </w:r>
      <w:r w:rsidR="009D7DED" w:rsidRPr="00500DB3">
        <w:rPr>
          <w:rFonts w:ascii="Times New Roman" w:hAnsi="Times New Roman"/>
          <w:szCs w:val="24"/>
        </w:rPr>
        <w:t>para que un</w:t>
      </w:r>
      <w:r w:rsidR="00FD5DD1">
        <w:rPr>
          <w:rFonts w:ascii="Times New Roman" w:hAnsi="Times New Roman"/>
          <w:szCs w:val="24"/>
        </w:rPr>
        <w:t xml:space="preserve"> órgano de esta naturaleza llevase</w:t>
      </w:r>
      <w:r w:rsidR="009D7DED" w:rsidRPr="00500DB3">
        <w:rPr>
          <w:rFonts w:ascii="Times New Roman" w:hAnsi="Times New Roman"/>
          <w:szCs w:val="24"/>
        </w:rPr>
        <w:t xml:space="preserve"> a cabo su función. </w:t>
      </w:r>
      <w:r w:rsidR="00760F5F" w:rsidRPr="00500DB3">
        <w:rPr>
          <w:rFonts w:ascii="Times New Roman" w:hAnsi="Times New Roman"/>
          <w:szCs w:val="24"/>
        </w:rPr>
        <w:t>Por ejemplo, n</w:t>
      </w:r>
      <w:r w:rsidR="009D7DED" w:rsidRPr="00500DB3">
        <w:rPr>
          <w:rFonts w:ascii="Times New Roman" w:hAnsi="Times New Roman"/>
          <w:szCs w:val="24"/>
        </w:rPr>
        <w:t>o se creó ninguna</w:t>
      </w:r>
      <w:r w:rsidR="00760F5F" w:rsidRPr="00500DB3">
        <w:rPr>
          <w:rFonts w:ascii="Times New Roman" w:hAnsi="Times New Roman"/>
          <w:szCs w:val="24"/>
        </w:rPr>
        <w:t xml:space="preserve"> </w:t>
      </w:r>
      <w:r w:rsidR="009D7DED" w:rsidRPr="00500DB3">
        <w:rPr>
          <w:rFonts w:ascii="Times New Roman" w:hAnsi="Times New Roman"/>
          <w:szCs w:val="24"/>
        </w:rPr>
        <w:t>forma de recurso directo de inconstitucionalidad, que la Constitución</w:t>
      </w:r>
      <w:r w:rsidR="00760F5F" w:rsidRPr="00500DB3">
        <w:rPr>
          <w:rFonts w:ascii="Times New Roman" w:hAnsi="Times New Roman"/>
          <w:szCs w:val="24"/>
        </w:rPr>
        <w:t xml:space="preserve"> </w:t>
      </w:r>
      <w:r w:rsidR="009D7DED" w:rsidRPr="00500DB3">
        <w:rPr>
          <w:rFonts w:ascii="Times New Roman" w:hAnsi="Times New Roman"/>
          <w:szCs w:val="24"/>
        </w:rPr>
        <w:t xml:space="preserve">hacía posible, y se dio una regulación </w:t>
      </w:r>
      <w:r w:rsidR="00760F5F" w:rsidRPr="00500DB3">
        <w:rPr>
          <w:rFonts w:ascii="Times New Roman" w:hAnsi="Times New Roman"/>
          <w:szCs w:val="24"/>
        </w:rPr>
        <w:t>muy</w:t>
      </w:r>
      <w:r w:rsidR="009D7DED" w:rsidRPr="00500DB3">
        <w:rPr>
          <w:rFonts w:ascii="Times New Roman" w:hAnsi="Times New Roman"/>
          <w:szCs w:val="24"/>
        </w:rPr>
        <w:t xml:space="preserve"> insuficiente e inadecuada al</w:t>
      </w:r>
      <w:r w:rsidR="00760F5F" w:rsidRPr="00500DB3">
        <w:rPr>
          <w:rFonts w:ascii="Times New Roman" w:hAnsi="Times New Roman"/>
          <w:szCs w:val="24"/>
        </w:rPr>
        <w:t xml:space="preserve"> </w:t>
      </w:r>
      <w:r w:rsidR="009D7DED" w:rsidRPr="00500DB3">
        <w:rPr>
          <w:rFonts w:ascii="Times New Roman" w:hAnsi="Times New Roman"/>
          <w:szCs w:val="24"/>
        </w:rPr>
        <w:t>recurso indirecto que, por lo demás, sólo se introdujo a partir de un voto particular</w:t>
      </w:r>
      <w:r w:rsidR="00760F5F" w:rsidRPr="00500DB3">
        <w:rPr>
          <w:rFonts w:ascii="Times New Roman" w:hAnsi="Times New Roman"/>
          <w:szCs w:val="24"/>
        </w:rPr>
        <w:t xml:space="preserve"> </w:t>
      </w:r>
      <w:r w:rsidR="009D7DED" w:rsidRPr="00500DB3">
        <w:rPr>
          <w:rFonts w:ascii="Times New Roman" w:hAnsi="Times New Roman"/>
          <w:szCs w:val="24"/>
        </w:rPr>
        <w:t>de Gil Robles y Leizaola, pues el proyecto elaborado por la Comisión</w:t>
      </w:r>
      <w:r w:rsidR="00760F5F" w:rsidRPr="00500DB3">
        <w:rPr>
          <w:rFonts w:ascii="Times New Roman" w:hAnsi="Times New Roman"/>
          <w:szCs w:val="24"/>
        </w:rPr>
        <w:t xml:space="preserve"> constitucional no lo incluía.</w:t>
      </w:r>
      <w:r w:rsidR="009950E1">
        <w:rPr>
          <w:rFonts w:ascii="Times New Roman" w:hAnsi="Times New Roman"/>
          <w:szCs w:val="24"/>
        </w:rPr>
        <w:t xml:space="preserve"> </w:t>
      </w:r>
    </w:p>
    <w:p w14:paraId="786517C8" w14:textId="2106B380" w:rsidR="005E16FB" w:rsidRPr="00500DB3" w:rsidRDefault="005E16FB" w:rsidP="00AA2BB1">
      <w:pPr>
        <w:pStyle w:val="texto"/>
        <w:ind w:firstLine="0"/>
        <w:rPr>
          <w:rFonts w:ascii="Times New Roman" w:hAnsi="Times New Roman"/>
          <w:szCs w:val="24"/>
        </w:rPr>
      </w:pPr>
      <w:r w:rsidRPr="00500DB3">
        <w:rPr>
          <w:rFonts w:ascii="Times New Roman" w:hAnsi="Times New Roman"/>
          <w:szCs w:val="24"/>
        </w:rPr>
        <w:t>En este punto, RUBIO LLORENTE y gran parte de la doctrina se pregunta el porqué de la crea</w:t>
      </w:r>
      <w:r w:rsidR="00FD5DD1">
        <w:rPr>
          <w:rFonts w:ascii="Times New Roman" w:hAnsi="Times New Roman"/>
          <w:szCs w:val="24"/>
        </w:rPr>
        <w:t xml:space="preserve">ción del TGC. </w:t>
      </w:r>
      <w:r w:rsidRPr="00500DB3">
        <w:rPr>
          <w:rFonts w:ascii="Times New Roman" w:hAnsi="Times New Roman"/>
          <w:szCs w:val="24"/>
        </w:rPr>
        <w:t>Entre las diversas respuestas dadas a esta cuestión podemos encontrar, por una parte, el ejemplo que siguieron nuestros legisladores a la hora de configurar este Tribunal de otros países, como es el caso de la Constitución austríaca de 1920. Otro de los argumentos dados fue el de que la creación de este Tribunal perseguía el objetivo de servir como árbitro en los conflictos que su</w:t>
      </w:r>
      <w:r w:rsidR="00967EA4" w:rsidRPr="00500DB3">
        <w:rPr>
          <w:rFonts w:ascii="Times New Roman" w:hAnsi="Times New Roman"/>
          <w:szCs w:val="24"/>
        </w:rPr>
        <w:t>rgieran entre Estado y regiones,</w:t>
      </w:r>
      <w:r w:rsidRPr="00500DB3">
        <w:rPr>
          <w:rFonts w:ascii="Times New Roman" w:hAnsi="Times New Roman"/>
          <w:szCs w:val="24"/>
        </w:rPr>
        <w:t xml:space="preserve"> </w:t>
      </w:r>
      <w:r w:rsidR="00967EA4" w:rsidRPr="00500DB3">
        <w:rPr>
          <w:rFonts w:ascii="Times New Roman" w:hAnsi="Times New Roman"/>
          <w:szCs w:val="24"/>
        </w:rPr>
        <w:t>o</w:t>
      </w:r>
      <w:r w:rsidRPr="00500DB3">
        <w:rPr>
          <w:rFonts w:ascii="Times New Roman" w:hAnsi="Times New Roman"/>
          <w:szCs w:val="24"/>
        </w:rPr>
        <w:t>bjetivo que no tuvo éxito debido a la mencionada politización de la institución, pese a que esta función ocupó la mayor parte del tiempo de la misma.</w:t>
      </w:r>
    </w:p>
    <w:p w14:paraId="594E4971" w14:textId="77777777" w:rsidR="003455CB" w:rsidRPr="00500DB3" w:rsidRDefault="001933E9" w:rsidP="00AA2BB1">
      <w:pPr>
        <w:pStyle w:val="texto"/>
        <w:ind w:firstLine="0"/>
        <w:rPr>
          <w:rFonts w:ascii="Times New Roman" w:hAnsi="Times New Roman"/>
          <w:szCs w:val="24"/>
        </w:rPr>
      </w:pPr>
      <w:r w:rsidRPr="00500DB3">
        <w:rPr>
          <w:rFonts w:ascii="Times New Roman" w:hAnsi="Times New Roman"/>
          <w:szCs w:val="24"/>
        </w:rPr>
        <w:t>C</w:t>
      </w:r>
      <w:r w:rsidR="00BB0EC4" w:rsidRPr="00500DB3">
        <w:rPr>
          <w:rFonts w:ascii="Times New Roman" w:hAnsi="Times New Roman"/>
          <w:szCs w:val="24"/>
        </w:rPr>
        <w:t>abe destacar que otros autores, como GÓMEZ ORBANEJA</w:t>
      </w:r>
      <w:r w:rsidR="00BB0EC4" w:rsidRPr="00500DB3">
        <w:rPr>
          <w:rStyle w:val="Refdenotaalpie"/>
          <w:rFonts w:ascii="Times New Roman" w:hAnsi="Times New Roman"/>
          <w:szCs w:val="24"/>
        </w:rPr>
        <w:footnoteReference w:id="13"/>
      </w:r>
      <w:r w:rsidR="00BB0EC4" w:rsidRPr="00500DB3">
        <w:rPr>
          <w:rFonts w:ascii="Times New Roman" w:hAnsi="Times New Roman"/>
          <w:szCs w:val="24"/>
        </w:rPr>
        <w:t xml:space="preserve">, mantienen una visión más positiva del funcionamiento de esta institución. Este autor afirma que, pese a la composición del Tribunal y al origen y compromisos partidistas de los más de sus </w:t>
      </w:r>
      <w:r w:rsidR="00BB0EC4" w:rsidRPr="00500DB3">
        <w:rPr>
          <w:rFonts w:ascii="Times New Roman" w:hAnsi="Times New Roman"/>
          <w:szCs w:val="24"/>
        </w:rPr>
        <w:lastRenderedPageBreak/>
        <w:t>miembros, al cabo de cierto tiempo prevaleció la ponderación y un gran sentido de la responsabilidad común, aunque visto desde fuera no pareciera así.</w:t>
      </w:r>
    </w:p>
    <w:p w14:paraId="2B646292" w14:textId="77223627" w:rsidR="001933E9" w:rsidRPr="00500DB3" w:rsidRDefault="001933E9" w:rsidP="00AA2BB1">
      <w:pPr>
        <w:pStyle w:val="texto"/>
        <w:ind w:firstLine="0"/>
        <w:rPr>
          <w:rFonts w:ascii="Times New Roman" w:hAnsi="Times New Roman"/>
          <w:szCs w:val="24"/>
        </w:rPr>
      </w:pPr>
      <w:r w:rsidRPr="00500DB3">
        <w:rPr>
          <w:rFonts w:ascii="Times New Roman" w:hAnsi="Times New Roman"/>
          <w:szCs w:val="24"/>
        </w:rPr>
        <w:t xml:space="preserve">Por último, destacar que la vida de este Tribunal fue bastante efímera. Tras la sublevación militar de julio de 1936, el Estado español quedó dividido en dos zonas, la denominada «zona nacional» y la «zona republicana». En la primera de ellas, este </w:t>
      </w:r>
      <w:proofErr w:type="gramStart"/>
      <w:r w:rsidRPr="00500DB3">
        <w:rPr>
          <w:rFonts w:ascii="Times New Roman" w:hAnsi="Times New Roman"/>
          <w:szCs w:val="24"/>
        </w:rPr>
        <w:t>Tribunal</w:t>
      </w:r>
      <w:proofErr w:type="gramEnd"/>
      <w:r w:rsidRPr="00500DB3">
        <w:rPr>
          <w:rFonts w:ascii="Times New Roman" w:hAnsi="Times New Roman"/>
          <w:szCs w:val="24"/>
        </w:rPr>
        <w:t xml:space="preserve"> así como los derechos reconocidos en la Constitución de 1931 desaparecieron rápidamente</w:t>
      </w:r>
      <w:r w:rsidR="00FD5DD1">
        <w:rPr>
          <w:rStyle w:val="Refdenotaalpie"/>
          <w:rFonts w:ascii="Times New Roman" w:hAnsi="Times New Roman"/>
          <w:szCs w:val="24"/>
        </w:rPr>
        <w:footnoteReference w:id="14"/>
      </w:r>
      <w:r w:rsidRPr="00500DB3">
        <w:rPr>
          <w:rFonts w:ascii="Times New Roman" w:hAnsi="Times New Roman"/>
          <w:szCs w:val="24"/>
        </w:rPr>
        <w:t xml:space="preserve">. </w:t>
      </w:r>
    </w:p>
    <w:p w14:paraId="452651CE" w14:textId="5AA7DEC6" w:rsidR="001933E9" w:rsidRDefault="001933E9" w:rsidP="00AA2BB1">
      <w:pPr>
        <w:pStyle w:val="texto"/>
        <w:ind w:firstLine="0"/>
        <w:rPr>
          <w:rFonts w:ascii="Times New Roman" w:hAnsi="Times New Roman"/>
          <w:szCs w:val="24"/>
        </w:rPr>
      </w:pPr>
      <w:r w:rsidRPr="00500DB3">
        <w:rPr>
          <w:rFonts w:ascii="Times New Roman" w:hAnsi="Times New Roman"/>
          <w:szCs w:val="24"/>
        </w:rPr>
        <w:t>En la segunda de ellas, la llamada «zona republicana», el Tribunal tuvo algunos años más de duración, pues mantuvo su funcionamiento hasta el final de la Guerra Civil</w:t>
      </w:r>
      <w:r w:rsidR="00FD5DD1">
        <w:rPr>
          <w:rFonts w:ascii="Times New Roman" w:hAnsi="Times New Roman"/>
          <w:szCs w:val="24"/>
        </w:rPr>
        <w:t xml:space="preserve"> </w:t>
      </w:r>
      <w:r w:rsidRPr="00500DB3">
        <w:rPr>
          <w:rFonts w:ascii="Times New Roman" w:hAnsi="Times New Roman"/>
          <w:szCs w:val="24"/>
        </w:rPr>
        <w:t xml:space="preserve">en 1939. Aunque mantuviera su funcionamiento, es de destacar que sí que le fueron aplicadas algunas medidas extraordinarias que no entraremos a analizar. Con el fin de la Guerra </w:t>
      </w:r>
      <w:r w:rsidR="00FD110D" w:rsidRPr="00500DB3">
        <w:rPr>
          <w:rFonts w:ascii="Times New Roman" w:hAnsi="Times New Roman"/>
          <w:szCs w:val="24"/>
        </w:rPr>
        <w:t>Civil y la D</w:t>
      </w:r>
      <w:r w:rsidRPr="00500DB3">
        <w:rPr>
          <w:rFonts w:ascii="Times New Roman" w:hAnsi="Times New Roman"/>
          <w:szCs w:val="24"/>
        </w:rPr>
        <w:t>ictadura de Francisco</w:t>
      </w:r>
      <w:r w:rsidR="00FD5DD1">
        <w:rPr>
          <w:rFonts w:ascii="Times New Roman" w:hAnsi="Times New Roman"/>
          <w:szCs w:val="24"/>
        </w:rPr>
        <w:t xml:space="preserve"> Franco el TGC</w:t>
      </w:r>
      <w:r w:rsidRPr="00500DB3">
        <w:rPr>
          <w:rFonts w:ascii="Times New Roman" w:hAnsi="Times New Roman"/>
          <w:szCs w:val="24"/>
        </w:rPr>
        <w:t xml:space="preserve"> fue definitivamente suprimido.</w:t>
      </w:r>
      <w:r w:rsidR="00FD110D" w:rsidRPr="00500DB3">
        <w:rPr>
          <w:rFonts w:ascii="Times New Roman" w:hAnsi="Times New Roman"/>
          <w:szCs w:val="24"/>
        </w:rPr>
        <w:t xml:space="preserve"> </w:t>
      </w:r>
    </w:p>
    <w:p w14:paraId="3392C335" w14:textId="0D829E09" w:rsidR="00FD5DD1" w:rsidRDefault="00AA2BB1" w:rsidP="00AA2BB1">
      <w:pPr>
        <w:pStyle w:val="texto"/>
        <w:ind w:firstLine="0"/>
        <w:rPr>
          <w:rFonts w:ascii="Times New Roman" w:hAnsi="Times New Roman"/>
          <w:szCs w:val="24"/>
        </w:rPr>
      </w:pPr>
      <w:r>
        <w:rPr>
          <w:rFonts w:ascii="Times New Roman" w:hAnsi="Times New Roman"/>
          <w:szCs w:val="24"/>
        </w:rPr>
        <w:t>En nuestra</w:t>
      </w:r>
      <w:r w:rsidR="00FD5DD1">
        <w:rPr>
          <w:rFonts w:ascii="Times New Roman" w:hAnsi="Times New Roman"/>
          <w:szCs w:val="24"/>
        </w:rPr>
        <w:t xml:space="preserve"> opinión, pese a todas las difi</w:t>
      </w:r>
      <w:r>
        <w:rPr>
          <w:rFonts w:ascii="Times New Roman" w:hAnsi="Times New Roman"/>
          <w:szCs w:val="24"/>
        </w:rPr>
        <w:t>cultades que el TGC sufrió, creemos</w:t>
      </w:r>
      <w:r w:rsidR="00FD5DD1">
        <w:rPr>
          <w:rFonts w:ascii="Times New Roman" w:hAnsi="Times New Roman"/>
          <w:szCs w:val="24"/>
        </w:rPr>
        <w:t xml:space="preserve"> que realizó una importante labor dentro de nuestra historia constitucional. Si bien es cierto que, como hemos dicho, su existencia fue breve, creo que su importancia radica en el importante precedente que asentó. Nunca en la historia de España se había dado la creación de un tribunal cuya labor fuese </w:t>
      </w:r>
      <w:r w:rsidR="00E91CE6">
        <w:rPr>
          <w:rFonts w:ascii="Times New Roman" w:hAnsi="Times New Roman"/>
          <w:szCs w:val="24"/>
        </w:rPr>
        <w:t xml:space="preserve">principalmente la salvaguarda de los derechos </w:t>
      </w:r>
      <w:r w:rsidR="00F1749E">
        <w:rPr>
          <w:rFonts w:ascii="Times New Roman" w:hAnsi="Times New Roman"/>
          <w:szCs w:val="24"/>
        </w:rPr>
        <w:t>fundamentales,</w:t>
      </w:r>
      <w:r w:rsidR="00E91CE6">
        <w:rPr>
          <w:rFonts w:ascii="Times New Roman" w:hAnsi="Times New Roman"/>
          <w:szCs w:val="24"/>
        </w:rPr>
        <w:t xml:space="preserve"> así como la protección e interpretación de la Constitución. </w:t>
      </w:r>
      <w:r w:rsidR="00F1749E">
        <w:rPr>
          <w:rFonts w:ascii="Times New Roman" w:hAnsi="Times New Roman"/>
          <w:szCs w:val="24"/>
        </w:rPr>
        <w:t>Finalmente,</w:t>
      </w:r>
      <w:r w:rsidR="00E91CE6">
        <w:rPr>
          <w:rFonts w:ascii="Times New Roman" w:hAnsi="Times New Roman"/>
          <w:szCs w:val="24"/>
        </w:rPr>
        <w:t xml:space="preserve"> y dado el interés que suscita para el tema que trato en el presente trabajo, creo que el principal interés de esta institución proviene de la introducción por vez primera en nuestro sistema de un recurso específico para la protección de los derechos fundamentales, esto es, el recurso de amparo.</w:t>
      </w:r>
    </w:p>
    <w:p w14:paraId="178BB569" w14:textId="77777777" w:rsidR="00FD5DD1" w:rsidRDefault="00FD5DD1" w:rsidP="00500DB3">
      <w:pPr>
        <w:pStyle w:val="texto"/>
        <w:rPr>
          <w:rFonts w:ascii="Times New Roman" w:hAnsi="Times New Roman"/>
          <w:szCs w:val="24"/>
        </w:rPr>
      </w:pPr>
    </w:p>
    <w:p w14:paraId="0C82518E" w14:textId="14A44E09" w:rsidR="009E665B" w:rsidRDefault="009E665B" w:rsidP="00500DB3">
      <w:pPr>
        <w:pStyle w:val="texto"/>
        <w:rPr>
          <w:rFonts w:ascii="Times New Roman" w:hAnsi="Times New Roman"/>
          <w:szCs w:val="24"/>
        </w:rPr>
      </w:pPr>
    </w:p>
    <w:p w14:paraId="7E525E79" w14:textId="77777777" w:rsidR="00AA2BB1" w:rsidRPr="00500DB3" w:rsidRDefault="00AA2BB1" w:rsidP="00500DB3">
      <w:pPr>
        <w:pStyle w:val="texto"/>
        <w:rPr>
          <w:rFonts w:ascii="Times New Roman" w:hAnsi="Times New Roman"/>
          <w:szCs w:val="24"/>
        </w:rPr>
      </w:pPr>
    </w:p>
    <w:p w14:paraId="7D2F5903" w14:textId="5ABAE2BA" w:rsidR="00967EA4" w:rsidRPr="00E91CE6" w:rsidRDefault="00AA2BB1" w:rsidP="00AA2BB1">
      <w:pPr>
        <w:pStyle w:val="Ttulo2"/>
      </w:pPr>
      <w:bookmarkStart w:id="22" w:name="_Toc398675436"/>
      <w:bookmarkStart w:id="23" w:name="_Toc398679925"/>
      <w:bookmarkStart w:id="24" w:name="_Toc398824196"/>
      <w:bookmarkStart w:id="25" w:name="_Toc400017043"/>
      <w:bookmarkStart w:id="26" w:name="_Toc400644271"/>
      <w:bookmarkStart w:id="27" w:name="_Toc401009627"/>
      <w:bookmarkStart w:id="28" w:name="_Toc462935755"/>
      <w:bookmarkStart w:id="29" w:name="_Toc468382139"/>
      <w:bookmarkStart w:id="30" w:name="_Toc530596829"/>
      <w:bookmarkStart w:id="31" w:name="_Toc49423593"/>
      <w:bookmarkStart w:id="32" w:name="_Toc49708555"/>
      <w:bookmarkStart w:id="33" w:name="_Toc49790241"/>
      <w:bookmarkStart w:id="34" w:name="_Toc49866471"/>
      <w:bookmarkStart w:id="35" w:name="_Toc50373131"/>
      <w:r>
        <w:lastRenderedPageBreak/>
        <w:t>E</w:t>
      </w:r>
      <w:r w:rsidR="00B74FD0" w:rsidRPr="00E91CE6">
        <w:t>l recurso de amparo en el derecho español</w:t>
      </w:r>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15A3A357" w14:textId="495987C8" w:rsidR="005E16FB" w:rsidRPr="00500DB3" w:rsidRDefault="00AA2BB1" w:rsidP="00AA2BB1">
      <w:pPr>
        <w:pStyle w:val="texto"/>
        <w:ind w:firstLine="0"/>
        <w:rPr>
          <w:rFonts w:ascii="Times New Roman" w:hAnsi="Times New Roman"/>
          <w:szCs w:val="24"/>
        </w:rPr>
      </w:pPr>
      <w:r>
        <w:rPr>
          <w:rFonts w:ascii="Times New Roman" w:hAnsi="Times New Roman"/>
          <w:szCs w:val="24"/>
        </w:rPr>
        <w:t>N</w:t>
      </w:r>
      <w:r w:rsidR="0035457A" w:rsidRPr="00500DB3">
        <w:rPr>
          <w:rFonts w:ascii="Times New Roman" w:hAnsi="Times New Roman"/>
          <w:szCs w:val="24"/>
        </w:rPr>
        <w:t xml:space="preserve">o existen unos antecedentes directos del recurso de amparo antes </w:t>
      </w:r>
      <w:r w:rsidR="009065AE">
        <w:rPr>
          <w:rFonts w:ascii="Times New Roman" w:hAnsi="Times New Roman"/>
          <w:szCs w:val="24"/>
        </w:rPr>
        <w:t xml:space="preserve">de su introducción en la </w:t>
      </w:r>
      <w:r w:rsidR="0035457A" w:rsidRPr="00500DB3">
        <w:rPr>
          <w:rFonts w:ascii="Times New Roman" w:hAnsi="Times New Roman"/>
          <w:szCs w:val="24"/>
        </w:rPr>
        <w:t>Constit</w:t>
      </w:r>
      <w:r w:rsidR="009065AE">
        <w:rPr>
          <w:rFonts w:ascii="Times New Roman" w:hAnsi="Times New Roman"/>
          <w:szCs w:val="24"/>
        </w:rPr>
        <w:t>ución de la II República. L</w:t>
      </w:r>
      <w:r w:rsidR="0035457A" w:rsidRPr="00500DB3">
        <w:rPr>
          <w:rFonts w:ascii="Times New Roman" w:hAnsi="Times New Roman"/>
          <w:szCs w:val="24"/>
        </w:rPr>
        <w:t xml:space="preserve">a creación de este recurso fue algo novedoso. Podríamos preguntarnos por qué antes no había sido introducido en ninguna de las anteriores Constituciones como medio de tutela de los derechos y libertades de los ciudadanos. Una de las razones que podrían darse es que las Constituciones del siglo XIX no previeran un mecanismo de tutela de estos derechos en la creencia de que la mera consagración formal de estos derechos en los textos era suficiente para que </w:t>
      </w:r>
      <w:r w:rsidR="003F08EE" w:rsidRPr="00500DB3">
        <w:rPr>
          <w:rFonts w:ascii="Times New Roman" w:hAnsi="Times New Roman"/>
          <w:szCs w:val="24"/>
        </w:rPr>
        <w:t>éstos fuesen respetados.</w:t>
      </w:r>
    </w:p>
    <w:p w14:paraId="41BDEE03" w14:textId="087918D6" w:rsidR="003F08EE" w:rsidRPr="00500DB3" w:rsidRDefault="003F08EE" w:rsidP="00AA2BB1">
      <w:pPr>
        <w:pStyle w:val="texto"/>
        <w:ind w:firstLine="0"/>
        <w:rPr>
          <w:rFonts w:ascii="Times New Roman" w:hAnsi="Times New Roman"/>
          <w:szCs w:val="24"/>
        </w:rPr>
      </w:pPr>
      <w:r w:rsidRPr="00500DB3">
        <w:rPr>
          <w:rFonts w:ascii="Times New Roman" w:hAnsi="Times New Roman"/>
          <w:szCs w:val="24"/>
        </w:rPr>
        <w:t>Siguiendo este razonamiento, con el paso de los años pudo verse qu</w:t>
      </w:r>
      <w:r w:rsidR="009065AE">
        <w:rPr>
          <w:rFonts w:ascii="Times New Roman" w:hAnsi="Times New Roman"/>
          <w:szCs w:val="24"/>
        </w:rPr>
        <w:t>e este mecanismo</w:t>
      </w:r>
      <w:r w:rsidRPr="00500DB3">
        <w:rPr>
          <w:rFonts w:ascii="Times New Roman" w:hAnsi="Times New Roman"/>
          <w:szCs w:val="24"/>
        </w:rPr>
        <w:t xml:space="preserve"> no era suficiente para llevar a la práctica la efectiva protección de estos derechos. Por consiguiente, surgió la necesidad de establecer un sistema completo de gar</w:t>
      </w:r>
      <w:r w:rsidR="009065AE">
        <w:rPr>
          <w:rFonts w:ascii="Times New Roman" w:hAnsi="Times New Roman"/>
          <w:szCs w:val="24"/>
        </w:rPr>
        <w:t xml:space="preserve">antías </w:t>
      </w:r>
      <w:r w:rsidRPr="00500DB3">
        <w:rPr>
          <w:rFonts w:ascii="Times New Roman" w:hAnsi="Times New Roman"/>
          <w:szCs w:val="24"/>
        </w:rPr>
        <w:t>que protegiesen estos derechos en la práctica.</w:t>
      </w:r>
    </w:p>
    <w:p w14:paraId="2E60C5C7" w14:textId="77777777" w:rsidR="00945E28" w:rsidRPr="00500DB3" w:rsidRDefault="00945E28" w:rsidP="00AA2BB1">
      <w:pPr>
        <w:pStyle w:val="texto"/>
        <w:ind w:firstLine="0"/>
        <w:rPr>
          <w:rFonts w:ascii="Times New Roman" w:hAnsi="Times New Roman"/>
          <w:szCs w:val="24"/>
        </w:rPr>
      </w:pPr>
      <w:r w:rsidRPr="00500DB3">
        <w:rPr>
          <w:rFonts w:ascii="Times New Roman" w:hAnsi="Times New Roman"/>
          <w:szCs w:val="24"/>
        </w:rPr>
        <w:t>Si buscamos otros motivos al porqué los constituyentes republicanos decidieron introducir el recurso de amparo en nuestro derecho positivo más allá de la mera necesidad de instaurar un mecanismo de protección de los derechos reconocidos en la Constitución, podemos citar los siguientes</w:t>
      </w:r>
      <w:r w:rsidRPr="00500DB3">
        <w:rPr>
          <w:rStyle w:val="Refdenotaalpie"/>
          <w:rFonts w:ascii="Times New Roman" w:hAnsi="Times New Roman"/>
          <w:szCs w:val="24"/>
        </w:rPr>
        <w:footnoteReference w:id="15"/>
      </w:r>
      <w:r w:rsidRPr="00500DB3">
        <w:rPr>
          <w:rFonts w:ascii="Times New Roman" w:hAnsi="Times New Roman"/>
          <w:szCs w:val="24"/>
        </w:rPr>
        <w:t>:</w:t>
      </w:r>
    </w:p>
    <w:p w14:paraId="51903138" w14:textId="77777777" w:rsidR="00E446A3" w:rsidRPr="00500DB3" w:rsidRDefault="00EA0E66" w:rsidP="00AA2BB1">
      <w:pPr>
        <w:pStyle w:val="texto"/>
        <w:ind w:firstLine="0"/>
        <w:rPr>
          <w:rFonts w:ascii="Times New Roman" w:hAnsi="Times New Roman"/>
          <w:szCs w:val="24"/>
        </w:rPr>
      </w:pPr>
      <w:r w:rsidRPr="00500DB3">
        <w:rPr>
          <w:rFonts w:ascii="Times New Roman" w:hAnsi="Times New Roman"/>
          <w:szCs w:val="24"/>
        </w:rPr>
        <w:t xml:space="preserve">En primer lugar, debemos citar las influencias que nuestros constituyentes siguieron de otros países en los que ya existía un mecanismo de defensa de los derechos reconocidos en textos legales, entre estas influencias podemos mencionar el juicio de amparo mexicano que, como instrumento para la protección de los derechos fundamentales, tenía ya en aquel entonces un gran prestigio entre los juristas españoles que se dedicaban al estudio de estos temas. </w:t>
      </w:r>
    </w:p>
    <w:p w14:paraId="23BD0797" w14:textId="77777777" w:rsidR="00E446A3" w:rsidRPr="00500DB3" w:rsidRDefault="00EA0E66" w:rsidP="00AA2BB1">
      <w:pPr>
        <w:pStyle w:val="texto"/>
        <w:ind w:firstLine="0"/>
        <w:rPr>
          <w:rFonts w:ascii="Times New Roman" w:hAnsi="Times New Roman"/>
          <w:szCs w:val="24"/>
        </w:rPr>
      </w:pPr>
      <w:r w:rsidRPr="00500DB3">
        <w:rPr>
          <w:rFonts w:ascii="Times New Roman" w:hAnsi="Times New Roman"/>
          <w:szCs w:val="24"/>
        </w:rPr>
        <w:t xml:space="preserve">Por otra parte, también debemos citar la ya mencionada influencia del sistema austriaco de justicia constitucional, </w:t>
      </w:r>
      <w:r w:rsidR="00E446A3" w:rsidRPr="00500DB3">
        <w:rPr>
          <w:rFonts w:ascii="Times New Roman" w:hAnsi="Times New Roman"/>
          <w:szCs w:val="24"/>
        </w:rPr>
        <w:t xml:space="preserve">con la Constitución de 1920, la cual introdujo una figura muy </w:t>
      </w:r>
      <w:r w:rsidR="00E446A3" w:rsidRPr="00500DB3">
        <w:rPr>
          <w:rFonts w:ascii="Times New Roman" w:hAnsi="Times New Roman"/>
          <w:szCs w:val="24"/>
        </w:rPr>
        <w:lastRenderedPageBreak/>
        <w:t xml:space="preserve">similar a nuestro recurso de amparo, la denominada </w:t>
      </w:r>
      <w:proofErr w:type="spellStart"/>
      <w:r w:rsidR="00E446A3" w:rsidRPr="00500DB3">
        <w:rPr>
          <w:rFonts w:ascii="Times New Roman" w:hAnsi="Times New Roman"/>
          <w:i/>
          <w:szCs w:val="24"/>
        </w:rPr>
        <w:t>Beschwerde</w:t>
      </w:r>
      <w:proofErr w:type="spellEnd"/>
      <w:r w:rsidR="00E446A3" w:rsidRPr="00500DB3">
        <w:rPr>
          <w:rFonts w:ascii="Times New Roman" w:hAnsi="Times New Roman"/>
          <w:szCs w:val="24"/>
        </w:rPr>
        <w:t xml:space="preserve">, que podemos traducir como queja constitucional. </w:t>
      </w:r>
    </w:p>
    <w:p w14:paraId="25D8E1F5" w14:textId="77777777" w:rsidR="00E446A3" w:rsidRPr="00500DB3" w:rsidRDefault="00E446A3" w:rsidP="00AA2BB1">
      <w:pPr>
        <w:pStyle w:val="texto"/>
        <w:ind w:firstLine="0"/>
        <w:rPr>
          <w:rFonts w:ascii="Times New Roman" w:hAnsi="Times New Roman"/>
          <w:szCs w:val="24"/>
        </w:rPr>
      </w:pPr>
      <w:r w:rsidRPr="00500DB3">
        <w:rPr>
          <w:rFonts w:ascii="Times New Roman" w:hAnsi="Times New Roman"/>
          <w:szCs w:val="24"/>
        </w:rPr>
        <w:t xml:space="preserve">Añadir también como motivo las reacciones surgidas frente a las violaciones de derechos que se produjeron durante la dictadura de Primo de Rivera en los años 1923 a 1930. </w:t>
      </w:r>
    </w:p>
    <w:p w14:paraId="0C612D07" w14:textId="44EA6496" w:rsidR="00945E28" w:rsidRPr="00500DB3" w:rsidRDefault="00E446A3" w:rsidP="00AA2BB1">
      <w:pPr>
        <w:pStyle w:val="texto"/>
        <w:ind w:firstLine="0"/>
        <w:rPr>
          <w:rFonts w:ascii="Times New Roman" w:hAnsi="Times New Roman"/>
          <w:szCs w:val="24"/>
        </w:rPr>
      </w:pPr>
      <w:r w:rsidRPr="00500DB3">
        <w:rPr>
          <w:rFonts w:ascii="Times New Roman" w:hAnsi="Times New Roman"/>
          <w:szCs w:val="24"/>
        </w:rPr>
        <w:t xml:space="preserve">Por último, otro de los motivos impulsadores de la creación de este recurso fue la insuficiencia, ambigüedad y lentitud de los </w:t>
      </w:r>
      <w:r w:rsidR="00F1749E" w:rsidRPr="00500DB3">
        <w:rPr>
          <w:rFonts w:ascii="Times New Roman" w:hAnsi="Times New Roman"/>
          <w:szCs w:val="24"/>
        </w:rPr>
        <w:t>mecanismos legales</w:t>
      </w:r>
      <w:r w:rsidRPr="00500DB3">
        <w:rPr>
          <w:rFonts w:ascii="Times New Roman" w:hAnsi="Times New Roman"/>
          <w:szCs w:val="24"/>
        </w:rPr>
        <w:t xml:space="preserve"> hasta entonces establecidos para tutelar los derechos fundamentales.</w:t>
      </w:r>
    </w:p>
    <w:p w14:paraId="070921CA" w14:textId="77777777" w:rsidR="00E446A3" w:rsidRPr="00500DB3" w:rsidRDefault="00530551" w:rsidP="00AA2BB1">
      <w:pPr>
        <w:pStyle w:val="texto"/>
        <w:ind w:firstLine="0"/>
        <w:rPr>
          <w:rFonts w:ascii="Times New Roman" w:hAnsi="Times New Roman"/>
          <w:szCs w:val="24"/>
        </w:rPr>
      </w:pPr>
      <w:r w:rsidRPr="00500DB3">
        <w:rPr>
          <w:rFonts w:ascii="Times New Roman" w:hAnsi="Times New Roman"/>
          <w:szCs w:val="24"/>
        </w:rPr>
        <w:t>Respecto a los derechos que la Constitución de 1931 estableció como susceptibles de ser protegidos a través del recurso de amparo</w:t>
      </w:r>
      <w:r w:rsidR="00C22E91" w:rsidRPr="00500DB3">
        <w:rPr>
          <w:rStyle w:val="Refdenotaalpie"/>
          <w:rFonts w:ascii="Times New Roman" w:hAnsi="Times New Roman"/>
          <w:szCs w:val="24"/>
        </w:rPr>
        <w:footnoteReference w:id="16"/>
      </w:r>
      <w:r w:rsidRPr="00500DB3">
        <w:rPr>
          <w:rFonts w:ascii="Times New Roman" w:hAnsi="Times New Roman"/>
          <w:szCs w:val="24"/>
        </w:rPr>
        <w:t xml:space="preserve">, podemos decir que fueron aquellos que pudiesen ser incluidos bajo la rúbrica de «garantías individuales», expresión recogida en el artículo 121.b de la Constitución de 1931. Cabe </w:t>
      </w:r>
      <w:r w:rsidR="00C22E91" w:rsidRPr="00500DB3">
        <w:rPr>
          <w:rFonts w:ascii="Times New Roman" w:hAnsi="Times New Roman"/>
          <w:szCs w:val="24"/>
        </w:rPr>
        <w:t>destacar</w:t>
      </w:r>
      <w:r w:rsidRPr="00500DB3">
        <w:rPr>
          <w:rFonts w:ascii="Times New Roman" w:hAnsi="Times New Roman"/>
          <w:szCs w:val="24"/>
        </w:rPr>
        <w:t xml:space="preserve"> que no se estableció limitación alguna en este marco.</w:t>
      </w:r>
    </w:p>
    <w:p w14:paraId="0461F75C" w14:textId="28BA8EAE" w:rsidR="00530551" w:rsidRPr="00500DB3" w:rsidRDefault="00F562FA" w:rsidP="00AA2BB1">
      <w:pPr>
        <w:pStyle w:val="texto"/>
        <w:ind w:firstLine="0"/>
        <w:rPr>
          <w:rFonts w:ascii="Times New Roman" w:hAnsi="Times New Roman"/>
          <w:szCs w:val="24"/>
        </w:rPr>
      </w:pPr>
      <w:r w:rsidRPr="00500DB3">
        <w:rPr>
          <w:rFonts w:ascii="Times New Roman" w:hAnsi="Times New Roman"/>
          <w:szCs w:val="24"/>
        </w:rPr>
        <w:t xml:space="preserve">En contrapartida, el Proyecto de Ley del Tribunal de Garantías Constitucionales que se presentó por parte del Gobierno sí que restringía el ámbito del recurso de amparo a los derechos consagrados en el título III de la Constitución. Más tarde, en los debates parlamentarios que se produjeron acerca de este Proyecto, hubo diversas peticiones de una correcta delimitación de los derechos que iban a resultar amparables. </w:t>
      </w:r>
    </w:p>
    <w:p w14:paraId="3D5B4802" w14:textId="77777777" w:rsidR="00183B02" w:rsidRPr="00500DB3" w:rsidRDefault="00624B7B" w:rsidP="00AA2BB1">
      <w:pPr>
        <w:pStyle w:val="texto"/>
        <w:ind w:firstLine="0"/>
        <w:rPr>
          <w:rFonts w:ascii="Times New Roman" w:hAnsi="Times New Roman"/>
          <w:szCs w:val="24"/>
        </w:rPr>
      </w:pPr>
      <w:r w:rsidRPr="00500DB3">
        <w:rPr>
          <w:rFonts w:ascii="Times New Roman" w:hAnsi="Times New Roman"/>
          <w:szCs w:val="24"/>
        </w:rPr>
        <w:t xml:space="preserve">El resultado fue una redacción del artículo 44 de la Ley Orgánica del Tribunal de Garantías Constitucional, de 14 de junio de 1933, que indicaba lo siguiente: </w:t>
      </w:r>
    </w:p>
    <w:p w14:paraId="71E6486B" w14:textId="77777777" w:rsidR="00183B02" w:rsidRPr="00500DB3" w:rsidRDefault="00183B02" w:rsidP="00500DB3">
      <w:pPr>
        <w:pStyle w:val="texto"/>
        <w:ind w:left="708"/>
        <w:rPr>
          <w:rFonts w:ascii="Times New Roman" w:hAnsi="Times New Roman"/>
          <w:szCs w:val="24"/>
        </w:rPr>
      </w:pPr>
      <w:r w:rsidRPr="00500DB3">
        <w:rPr>
          <w:rFonts w:ascii="Times New Roman" w:hAnsi="Times New Roman"/>
          <w:i/>
          <w:szCs w:val="24"/>
        </w:rPr>
        <w:t>«L</w:t>
      </w:r>
      <w:r w:rsidR="00624B7B" w:rsidRPr="00500DB3">
        <w:rPr>
          <w:rFonts w:ascii="Times New Roman" w:hAnsi="Times New Roman"/>
          <w:i/>
          <w:szCs w:val="24"/>
        </w:rPr>
        <w:t>os derechos individuales que ha de garantizar el recurso de amparo establecido en el artículo 121, letra b, de la Constitución, serán los consignados en los artículos 27, 28, 29, 30, 31, 32, 33, 34, 38 y 39 de aquélla</w:t>
      </w:r>
      <w:r w:rsidR="00624B7B" w:rsidRPr="00500DB3">
        <w:rPr>
          <w:rFonts w:ascii="Times New Roman" w:hAnsi="Times New Roman"/>
          <w:szCs w:val="24"/>
        </w:rPr>
        <w:t xml:space="preserve">». </w:t>
      </w:r>
    </w:p>
    <w:p w14:paraId="2A752CF4" w14:textId="73302E98" w:rsidR="00954F26" w:rsidRDefault="00624B7B" w:rsidP="00AA2BB1">
      <w:pPr>
        <w:pStyle w:val="texto"/>
        <w:ind w:firstLine="0"/>
        <w:rPr>
          <w:rFonts w:ascii="Times New Roman" w:hAnsi="Times New Roman"/>
          <w:szCs w:val="24"/>
        </w:rPr>
      </w:pPr>
      <w:r w:rsidRPr="00500DB3">
        <w:rPr>
          <w:rFonts w:ascii="Times New Roman" w:hAnsi="Times New Roman"/>
          <w:szCs w:val="24"/>
        </w:rPr>
        <w:t xml:space="preserve">Estos derechos eran los siguientes: libertad de conciencia y culto, principio de legalidad penal y garantías procesales, derecho a la libertad personal y seguridad frente a las detenciones ilegales, derecho a la no extradición por delitos político-sociales, libertad de residencia y circulación e inviolabilidad del domicilio, inviolabilidad de la </w:t>
      </w:r>
      <w:r w:rsidRPr="00500DB3">
        <w:rPr>
          <w:rFonts w:ascii="Times New Roman" w:hAnsi="Times New Roman"/>
          <w:szCs w:val="24"/>
        </w:rPr>
        <w:lastRenderedPageBreak/>
        <w:t>correspondencia, libertad de profesión, industria y comercio, libertad de expresión, derecho de reunión y manifestación, y libertad de asociación y sindicación.</w:t>
      </w:r>
    </w:p>
    <w:p w14:paraId="6C4A5EAF" w14:textId="6669596D" w:rsidR="00954F26" w:rsidRPr="009065AE" w:rsidRDefault="00B74FD0" w:rsidP="00AA2BB1">
      <w:pPr>
        <w:pStyle w:val="Ttulo3"/>
      </w:pPr>
      <w:bookmarkStart w:id="36" w:name="_Toc398675437"/>
      <w:bookmarkStart w:id="37" w:name="_Toc398679926"/>
      <w:bookmarkStart w:id="38" w:name="_Toc398824197"/>
      <w:bookmarkStart w:id="39" w:name="_Toc400017044"/>
      <w:bookmarkStart w:id="40" w:name="_Toc400644272"/>
      <w:bookmarkStart w:id="41" w:name="_Toc401009628"/>
      <w:bookmarkStart w:id="42" w:name="_Toc462935756"/>
      <w:bookmarkStart w:id="43" w:name="_Toc468382140"/>
      <w:bookmarkStart w:id="44" w:name="_Toc530596830"/>
      <w:bookmarkStart w:id="45" w:name="_Toc49423594"/>
      <w:bookmarkStart w:id="46" w:name="_Toc49708556"/>
      <w:bookmarkStart w:id="47" w:name="_Toc49790242"/>
      <w:bookmarkStart w:id="48" w:name="_Toc49866472"/>
      <w:bookmarkStart w:id="49" w:name="_Toc50373132"/>
      <w:r w:rsidRPr="009065AE">
        <w:t xml:space="preserve">La </w:t>
      </w:r>
      <w:r w:rsidR="00365708">
        <w:t xml:space="preserve">protección de los derechos fundamentales en la </w:t>
      </w:r>
      <w:r w:rsidRPr="009065AE">
        <w:t>Ley Orgánica del Tribunal de Garantías Constitucionales</w:t>
      </w:r>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7C1F5BCD" w14:textId="6F0DEC7C" w:rsidR="009F749D" w:rsidRPr="00500DB3" w:rsidRDefault="00607A67" w:rsidP="00AA2BB1">
      <w:pPr>
        <w:pStyle w:val="texto"/>
        <w:ind w:firstLine="0"/>
        <w:rPr>
          <w:rFonts w:ascii="Times New Roman" w:hAnsi="Times New Roman"/>
          <w:szCs w:val="24"/>
        </w:rPr>
      </w:pPr>
      <w:r>
        <w:rPr>
          <w:rFonts w:ascii="Times New Roman" w:hAnsi="Times New Roman"/>
          <w:szCs w:val="24"/>
        </w:rPr>
        <w:t>P</w:t>
      </w:r>
      <w:r w:rsidR="008B7ACA" w:rsidRPr="00500DB3">
        <w:rPr>
          <w:rFonts w:ascii="Times New Roman" w:hAnsi="Times New Roman"/>
          <w:szCs w:val="24"/>
        </w:rPr>
        <w:t>ara determinar el ámbito tutelable a través del recurso de amparo, debemos tener en cuenta que Ley de Orden Público</w:t>
      </w:r>
      <w:r w:rsidR="003341E7" w:rsidRPr="00500DB3">
        <w:rPr>
          <w:rStyle w:val="Refdenotaalpie"/>
          <w:rFonts w:ascii="Times New Roman" w:hAnsi="Times New Roman"/>
          <w:szCs w:val="24"/>
        </w:rPr>
        <w:footnoteReference w:id="17"/>
      </w:r>
      <w:r w:rsidR="00FC4D51">
        <w:rPr>
          <w:rFonts w:ascii="Times New Roman" w:hAnsi="Times New Roman"/>
          <w:szCs w:val="24"/>
        </w:rPr>
        <w:t xml:space="preserve">, </w:t>
      </w:r>
      <w:r w:rsidR="008B7ACA" w:rsidRPr="00500DB3">
        <w:rPr>
          <w:rFonts w:ascii="Times New Roman" w:hAnsi="Times New Roman"/>
          <w:szCs w:val="24"/>
        </w:rPr>
        <w:t xml:space="preserve">de 28 de julio de 1933, tuvo un doble significado pues, </w:t>
      </w:r>
      <w:r w:rsidR="00CB5351" w:rsidRPr="00500DB3">
        <w:rPr>
          <w:rFonts w:ascii="Times New Roman" w:hAnsi="Times New Roman"/>
          <w:szCs w:val="24"/>
        </w:rPr>
        <w:t xml:space="preserve">aunque por un lado </w:t>
      </w:r>
      <w:r w:rsidR="008B7ACA" w:rsidRPr="00500DB3">
        <w:rPr>
          <w:rFonts w:ascii="Times New Roman" w:hAnsi="Times New Roman"/>
          <w:szCs w:val="24"/>
        </w:rPr>
        <w:t>supuso una red</w:t>
      </w:r>
      <w:r w:rsidR="00CB5351" w:rsidRPr="00500DB3">
        <w:rPr>
          <w:rFonts w:ascii="Times New Roman" w:hAnsi="Times New Roman"/>
          <w:szCs w:val="24"/>
        </w:rPr>
        <w:t xml:space="preserve">ucción de dicho ámbito, por otro, permitió una gran </w:t>
      </w:r>
      <w:r w:rsidR="008B7ACA" w:rsidRPr="00500DB3">
        <w:rPr>
          <w:rFonts w:ascii="Times New Roman" w:hAnsi="Times New Roman"/>
          <w:szCs w:val="24"/>
        </w:rPr>
        <w:t>ampliac</w:t>
      </w:r>
      <w:r w:rsidR="00CB5351" w:rsidRPr="00500DB3">
        <w:rPr>
          <w:rFonts w:ascii="Times New Roman" w:hAnsi="Times New Roman"/>
          <w:szCs w:val="24"/>
        </w:rPr>
        <w:t>ión del mismo</w:t>
      </w:r>
      <w:r w:rsidR="00FC4D51">
        <w:rPr>
          <w:rStyle w:val="Refdenotaalpie"/>
          <w:rFonts w:ascii="Times New Roman" w:hAnsi="Times New Roman"/>
          <w:szCs w:val="24"/>
        </w:rPr>
        <w:footnoteReference w:id="18"/>
      </w:r>
      <w:r w:rsidR="00CB5351" w:rsidRPr="00500DB3">
        <w:rPr>
          <w:rFonts w:ascii="Times New Roman" w:hAnsi="Times New Roman"/>
          <w:szCs w:val="24"/>
        </w:rPr>
        <w:t xml:space="preserve">. </w:t>
      </w:r>
    </w:p>
    <w:p w14:paraId="5A11CDF8" w14:textId="66C88D80" w:rsidR="00CB5351" w:rsidRPr="00500DB3" w:rsidRDefault="00CB5351" w:rsidP="00AA2BB1">
      <w:pPr>
        <w:pStyle w:val="texto"/>
        <w:ind w:firstLine="0"/>
        <w:rPr>
          <w:rFonts w:ascii="Times New Roman" w:hAnsi="Times New Roman"/>
          <w:szCs w:val="24"/>
        </w:rPr>
      </w:pPr>
      <w:r w:rsidRPr="00500DB3">
        <w:rPr>
          <w:rFonts w:ascii="Times New Roman" w:hAnsi="Times New Roman"/>
          <w:szCs w:val="24"/>
        </w:rPr>
        <w:t xml:space="preserve">Respecto a la reducción de ámbito tutelado, la Ley </w:t>
      </w:r>
      <w:r w:rsidR="00365708">
        <w:rPr>
          <w:rFonts w:ascii="Times New Roman" w:hAnsi="Times New Roman"/>
          <w:szCs w:val="24"/>
        </w:rPr>
        <w:t xml:space="preserve">Orgánica </w:t>
      </w:r>
      <w:r w:rsidRPr="00500DB3">
        <w:rPr>
          <w:rFonts w:ascii="Times New Roman" w:hAnsi="Times New Roman"/>
          <w:szCs w:val="24"/>
        </w:rPr>
        <w:t xml:space="preserve">del Tribunal de Garantías Constitucionales </w:t>
      </w:r>
      <w:r w:rsidR="00365708">
        <w:rPr>
          <w:rFonts w:ascii="Times New Roman" w:hAnsi="Times New Roman"/>
          <w:szCs w:val="24"/>
        </w:rPr>
        <w:t xml:space="preserve">(en adelante LOTGC) </w:t>
      </w:r>
      <w:r w:rsidRPr="00500DB3">
        <w:rPr>
          <w:rFonts w:ascii="Times New Roman" w:hAnsi="Times New Roman"/>
          <w:szCs w:val="24"/>
        </w:rPr>
        <w:t xml:space="preserve">concedió </w:t>
      </w:r>
      <w:r w:rsidR="00C253CC">
        <w:rPr>
          <w:rFonts w:ascii="Times New Roman" w:hAnsi="Times New Roman"/>
          <w:szCs w:val="24"/>
        </w:rPr>
        <w:t xml:space="preserve">esta facultad a la Ley de Orden </w:t>
      </w:r>
      <w:r w:rsidR="00F1749E">
        <w:rPr>
          <w:rFonts w:ascii="Times New Roman" w:hAnsi="Times New Roman"/>
          <w:szCs w:val="24"/>
        </w:rPr>
        <w:t>P</w:t>
      </w:r>
      <w:r w:rsidR="00F1749E" w:rsidRPr="00500DB3">
        <w:rPr>
          <w:rFonts w:ascii="Times New Roman" w:hAnsi="Times New Roman"/>
          <w:szCs w:val="24"/>
        </w:rPr>
        <w:t>úblico mediante</w:t>
      </w:r>
      <w:r w:rsidR="00835C4F" w:rsidRPr="00500DB3">
        <w:rPr>
          <w:rFonts w:ascii="Times New Roman" w:hAnsi="Times New Roman"/>
          <w:szCs w:val="24"/>
        </w:rPr>
        <w:t xml:space="preserve"> su artículo 53</w:t>
      </w:r>
      <w:r w:rsidR="00202CBD">
        <w:rPr>
          <w:rFonts w:ascii="Times New Roman" w:hAnsi="Times New Roman"/>
          <w:szCs w:val="24"/>
        </w:rPr>
        <w:t xml:space="preserve">. </w:t>
      </w:r>
      <w:r w:rsidR="00835C4F" w:rsidRPr="00500DB3">
        <w:rPr>
          <w:rFonts w:ascii="Times New Roman" w:hAnsi="Times New Roman"/>
          <w:szCs w:val="24"/>
        </w:rPr>
        <w:t>En base a este artículo</w:t>
      </w:r>
      <w:r w:rsidR="00202CBD" w:rsidRPr="00500DB3">
        <w:rPr>
          <w:rStyle w:val="Refdenotaalpie"/>
          <w:rFonts w:ascii="Times New Roman" w:hAnsi="Times New Roman"/>
          <w:szCs w:val="24"/>
        </w:rPr>
        <w:footnoteReference w:id="19"/>
      </w:r>
      <w:r w:rsidR="00835C4F" w:rsidRPr="00500DB3">
        <w:rPr>
          <w:rFonts w:ascii="Times New Roman" w:hAnsi="Times New Roman"/>
          <w:szCs w:val="24"/>
        </w:rPr>
        <w:t xml:space="preserve"> la Ley de Orden Público contemplaba tres supuestos de excepcionalidad, los cuales eran el estado de alarma, el de prevención y el de guerra</w:t>
      </w:r>
      <w:r w:rsidR="00202CBD">
        <w:rPr>
          <w:rStyle w:val="Refdenotaalpie"/>
          <w:rFonts w:ascii="Times New Roman" w:hAnsi="Times New Roman"/>
          <w:szCs w:val="24"/>
        </w:rPr>
        <w:footnoteReference w:id="20"/>
      </w:r>
      <w:r w:rsidR="00835C4F" w:rsidRPr="00500DB3">
        <w:rPr>
          <w:rFonts w:ascii="Times New Roman" w:hAnsi="Times New Roman"/>
          <w:szCs w:val="24"/>
        </w:rPr>
        <w:t>.</w:t>
      </w:r>
      <w:r w:rsidR="00202CBD">
        <w:rPr>
          <w:rFonts w:ascii="Times New Roman" w:hAnsi="Times New Roman"/>
          <w:szCs w:val="24"/>
        </w:rPr>
        <w:t xml:space="preserve"> Por consiguiente, esta</w:t>
      </w:r>
      <w:r w:rsidR="00202CBD" w:rsidRPr="00202CBD">
        <w:rPr>
          <w:rFonts w:ascii="Times New Roman" w:hAnsi="Times New Roman"/>
          <w:szCs w:val="24"/>
        </w:rPr>
        <w:t xml:space="preserve"> Ley facultaba al gobierno para establecer tres estados de excepción por Decreto, sin necesidad de que las Cortes suspendieran previamente las garantías constitucionale</w:t>
      </w:r>
      <w:r w:rsidR="00202CBD">
        <w:rPr>
          <w:rFonts w:ascii="Times New Roman" w:hAnsi="Times New Roman"/>
          <w:szCs w:val="24"/>
        </w:rPr>
        <w:t xml:space="preserve">s. </w:t>
      </w:r>
    </w:p>
    <w:p w14:paraId="78177EBA" w14:textId="77777777" w:rsidR="00F97EAE" w:rsidRPr="00500DB3" w:rsidRDefault="00F97EAE" w:rsidP="00AA2BB1">
      <w:pPr>
        <w:pStyle w:val="texto"/>
        <w:ind w:firstLine="0"/>
        <w:rPr>
          <w:rFonts w:ascii="Times New Roman" w:hAnsi="Times New Roman"/>
          <w:szCs w:val="24"/>
        </w:rPr>
      </w:pPr>
      <w:r w:rsidRPr="00500DB3">
        <w:rPr>
          <w:rFonts w:ascii="Times New Roman" w:hAnsi="Times New Roman"/>
          <w:szCs w:val="24"/>
        </w:rPr>
        <w:t>Teniendo en cuenta todas las conmociones políticas que ocurrieron antes de la Guerra Civil, fueron muchos los momentos durante el efímero periodo republicano en los que se vieron suspendidos los referidos derechos. En consecuencia, la Ley de Orden Público dio lugar en la práctica a una reducción importante del ámbito objetivo tutelable por medio del recurso de amparo.</w:t>
      </w:r>
      <w:r w:rsidR="00CA6BBF" w:rsidRPr="00500DB3">
        <w:rPr>
          <w:rFonts w:ascii="Times New Roman" w:hAnsi="Times New Roman"/>
          <w:szCs w:val="24"/>
        </w:rPr>
        <w:t xml:space="preserve"> </w:t>
      </w:r>
    </w:p>
    <w:p w14:paraId="3865AB65" w14:textId="6F5D2216" w:rsidR="00D73CC1" w:rsidRPr="00500DB3" w:rsidRDefault="00D73CC1" w:rsidP="00AA2BB1">
      <w:pPr>
        <w:pStyle w:val="texto"/>
        <w:ind w:firstLine="0"/>
        <w:rPr>
          <w:rFonts w:ascii="Times New Roman" w:hAnsi="Times New Roman"/>
          <w:szCs w:val="24"/>
        </w:rPr>
      </w:pPr>
      <w:r w:rsidRPr="00500DB3">
        <w:rPr>
          <w:rFonts w:ascii="Times New Roman" w:hAnsi="Times New Roman"/>
          <w:szCs w:val="24"/>
        </w:rPr>
        <w:lastRenderedPageBreak/>
        <w:t xml:space="preserve">En cuanto a la ampliación del ámbito tutelado, </w:t>
      </w:r>
      <w:r w:rsidR="00AE797F" w:rsidRPr="00500DB3">
        <w:rPr>
          <w:rFonts w:ascii="Times New Roman" w:hAnsi="Times New Roman"/>
          <w:szCs w:val="24"/>
        </w:rPr>
        <w:t>esta Ley establecía la posibilidad de que la autoridad gubernativa pudiera sancionar con multas de diversa cuantía los actos contra el orden público referidos en la misma Ley. Ésta configuraba unos recursos de amparo contra dichas sanciones pecuniarias</w:t>
      </w:r>
      <w:r w:rsidR="00A4676E" w:rsidRPr="00500DB3">
        <w:rPr>
          <w:rFonts w:ascii="Times New Roman" w:hAnsi="Times New Roman"/>
          <w:szCs w:val="24"/>
        </w:rPr>
        <w:t>.</w:t>
      </w:r>
      <w:r w:rsidR="00AE797F" w:rsidRPr="00500DB3">
        <w:rPr>
          <w:rFonts w:ascii="Times New Roman" w:hAnsi="Times New Roman"/>
          <w:szCs w:val="24"/>
        </w:rPr>
        <w:t xml:space="preserve"> Estos recursos de amparo eran válidos tanto en los estados de prevención y alarma como en circunstancias de normalidad, no estando suspendidas las garantías constitucionales. Es necesario precisar </w:t>
      </w:r>
      <w:r w:rsidR="00F1749E" w:rsidRPr="00500DB3">
        <w:rPr>
          <w:rFonts w:ascii="Times New Roman" w:hAnsi="Times New Roman"/>
          <w:szCs w:val="24"/>
        </w:rPr>
        <w:t>que el</w:t>
      </w:r>
      <w:r w:rsidR="00AE797F" w:rsidRPr="00500DB3">
        <w:rPr>
          <w:rFonts w:ascii="Times New Roman" w:hAnsi="Times New Roman"/>
          <w:szCs w:val="24"/>
        </w:rPr>
        <w:t xml:space="preserve"> Tribunal entendía que el recurso de amparo regulado por la Ley de 14 de junio de 1933 y el que recogía la Ley de Orden Público eran diferentes, pues éste último no exigía para su admisión la invocación de un derecho fundamental.</w:t>
      </w:r>
    </w:p>
    <w:p w14:paraId="2F6D050E" w14:textId="77777777" w:rsidR="00434B10" w:rsidRPr="00500DB3" w:rsidRDefault="00434B10" w:rsidP="00AA2BB1">
      <w:pPr>
        <w:pStyle w:val="texto"/>
        <w:ind w:firstLine="0"/>
        <w:rPr>
          <w:rFonts w:ascii="Times New Roman" w:hAnsi="Times New Roman"/>
          <w:szCs w:val="24"/>
        </w:rPr>
      </w:pPr>
      <w:r w:rsidRPr="00500DB3">
        <w:rPr>
          <w:rFonts w:ascii="Times New Roman" w:hAnsi="Times New Roman"/>
          <w:szCs w:val="24"/>
        </w:rPr>
        <w:t xml:space="preserve">Si nos centramos ahora en los actos que podían ser impugnados ante el Tribunal de Garantías Constitucionales, </w:t>
      </w:r>
      <w:r w:rsidR="00735C31" w:rsidRPr="00500DB3">
        <w:rPr>
          <w:rFonts w:ascii="Times New Roman" w:hAnsi="Times New Roman"/>
          <w:szCs w:val="24"/>
        </w:rPr>
        <w:t>existía un criterio amplio atendiendo a lo que establecía el artículo 45</w:t>
      </w:r>
      <w:r w:rsidR="00735C31" w:rsidRPr="00500DB3">
        <w:rPr>
          <w:rStyle w:val="Refdenotaalpie"/>
          <w:rFonts w:ascii="Times New Roman" w:hAnsi="Times New Roman"/>
          <w:szCs w:val="24"/>
        </w:rPr>
        <w:footnoteReference w:id="21"/>
      </w:r>
      <w:r w:rsidR="00735C31" w:rsidRPr="00500DB3">
        <w:rPr>
          <w:rFonts w:ascii="Times New Roman" w:hAnsi="Times New Roman"/>
          <w:szCs w:val="24"/>
        </w:rPr>
        <w:t xml:space="preserve"> de la Ley del Tribunal de Garantías Constitucionales. De este artículo puede desprenderse que los órganos capaces de lesionar derechos eran los que integraban los Poderes Judicial, Ejecutivo y Legislativo. Sin embargo, no se entendía que cupiese el recurso de amparo contra actos o lesiones de derechos llevadas a cabo por particulares.</w:t>
      </w:r>
    </w:p>
    <w:p w14:paraId="0467A8E1" w14:textId="10030E37" w:rsidR="00040C4C" w:rsidRPr="00500DB3" w:rsidRDefault="00040C4C" w:rsidP="00AA2BB1">
      <w:pPr>
        <w:pStyle w:val="texto"/>
        <w:ind w:firstLine="0"/>
        <w:rPr>
          <w:rFonts w:ascii="Times New Roman" w:hAnsi="Times New Roman"/>
          <w:szCs w:val="24"/>
        </w:rPr>
      </w:pPr>
      <w:r w:rsidRPr="00500DB3">
        <w:rPr>
          <w:rFonts w:ascii="Times New Roman" w:hAnsi="Times New Roman"/>
          <w:szCs w:val="24"/>
        </w:rPr>
        <w:t>En lo que concierne a la legitimación</w:t>
      </w:r>
      <w:r w:rsidR="00186078" w:rsidRPr="00500DB3">
        <w:rPr>
          <w:rStyle w:val="Refdenotaalpie"/>
          <w:rFonts w:ascii="Times New Roman" w:hAnsi="Times New Roman"/>
          <w:szCs w:val="24"/>
        </w:rPr>
        <w:footnoteReference w:id="22"/>
      </w:r>
      <w:r w:rsidRPr="00500DB3">
        <w:rPr>
          <w:rFonts w:ascii="Times New Roman" w:hAnsi="Times New Roman"/>
          <w:szCs w:val="24"/>
        </w:rPr>
        <w:t xml:space="preserve"> para la interposición del recurso, existían unos términos muy amplios tanto en la Constitución como en la </w:t>
      </w:r>
      <w:r w:rsidR="00365708">
        <w:rPr>
          <w:rFonts w:ascii="Times New Roman" w:hAnsi="Times New Roman"/>
          <w:szCs w:val="24"/>
        </w:rPr>
        <w:t>LOTGC</w:t>
      </w:r>
      <w:r w:rsidR="00186078" w:rsidRPr="00500DB3">
        <w:rPr>
          <w:rFonts w:ascii="Times New Roman" w:hAnsi="Times New Roman"/>
          <w:szCs w:val="24"/>
        </w:rPr>
        <w:t>. En efecto, atendiendo a los artículos 123, 5°</w:t>
      </w:r>
      <w:r w:rsidR="00365708">
        <w:rPr>
          <w:rFonts w:ascii="Times New Roman" w:hAnsi="Times New Roman"/>
          <w:szCs w:val="24"/>
        </w:rPr>
        <w:t xml:space="preserve"> </w:t>
      </w:r>
      <w:r w:rsidR="00186078" w:rsidRPr="00500DB3">
        <w:rPr>
          <w:rFonts w:ascii="Times New Roman" w:hAnsi="Times New Roman"/>
          <w:szCs w:val="24"/>
        </w:rPr>
        <w:t xml:space="preserve">de la Constitución y 47 </w:t>
      </w:r>
      <w:r w:rsidR="00365708">
        <w:rPr>
          <w:rFonts w:ascii="Times New Roman" w:hAnsi="Times New Roman"/>
          <w:szCs w:val="24"/>
        </w:rPr>
        <w:t>LOTGC</w:t>
      </w:r>
      <w:r w:rsidR="00186078" w:rsidRPr="00500DB3">
        <w:rPr>
          <w:rFonts w:ascii="Times New Roman" w:hAnsi="Times New Roman"/>
          <w:szCs w:val="24"/>
        </w:rPr>
        <w:t xml:space="preserve">, podía </w:t>
      </w:r>
      <w:r w:rsidRPr="00500DB3">
        <w:rPr>
          <w:rFonts w:ascii="Times New Roman" w:hAnsi="Times New Roman"/>
          <w:szCs w:val="24"/>
        </w:rPr>
        <w:t xml:space="preserve">recurrir </w:t>
      </w:r>
      <w:r w:rsidRPr="00500DB3">
        <w:rPr>
          <w:rFonts w:ascii="Times New Roman" w:hAnsi="Times New Roman"/>
          <w:i/>
          <w:szCs w:val="24"/>
        </w:rPr>
        <w:t xml:space="preserve">«toda persona individual o </w:t>
      </w:r>
      <w:r w:rsidR="00F1749E" w:rsidRPr="00500DB3">
        <w:rPr>
          <w:rFonts w:ascii="Times New Roman" w:hAnsi="Times New Roman"/>
          <w:i/>
          <w:szCs w:val="24"/>
        </w:rPr>
        <w:t>colectiva,</w:t>
      </w:r>
      <w:r w:rsidRPr="00500DB3">
        <w:rPr>
          <w:rFonts w:ascii="Times New Roman" w:hAnsi="Times New Roman"/>
          <w:i/>
          <w:szCs w:val="24"/>
        </w:rPr>
        <w:t xml:space="preserve"> aunque no hubiera sido directamente</w:t>
      </w:r>
      <w:r w:rsidR="00186078" w:rsidRPr="00500DB3">
        <w:rPr>
          <w:rFonts w:ascii="Times New Roman" w:hAnsi="Times New Roman"/>
          <w:i/>
          <w:szCs w:val="24"/>
        </w:rPr>
        <w:t xml:space="preserve"> </w:t>
      </w:r>
      <w:r w:rsidRPr="00500DB3">
        <w:rPr>
          <w:rFonts w:ascii="Times New Roman" w:hAnsi="Times New Roman"/>
          <w:i/>
          <w:szCs w:val="24"/>
        </w:rPr>
        <w:t>agraviada</w:t>
      </w:r>
      <w:r w:rsidR="00186078" w:rsidRPr="00500DB3">
        <w:rPr>
          <w:rFonts w:ascii="Times New Roman" w:hAnsi="Times New Roman"/>
          <w:i/>
          <w:szCs w:val="24"/>
        </w:rPr>
        <w:t>»</w:t>
      </w:r>
      <w:r w:rsidR="00365708">
        <w:rPr>
          <w:rFonts w:ascii="Times New Roman" w:hAnsi="Times New Roman"/>
          <w:szCs w:val="24"/>
        </w:rPr>
        <w:t>. El artículo 47</w:t>
      </w:r>
      <w:r w:rsidR="00186078" w:rsidRPr="00500DB3">
        <w:rPr>
          <w:rFonts w:ascii="Times New Roman" w:hAnsi="Times New Roman"/>
          <w:szCs w:val="24"/>
        </w:rPr>
        <w:t xml:space="preserve"> establecía una </w:t>
      </w:r>
      <w:r w:rsidRPr="00500DB3">
        <w:rPr>
          <w:rFonts w:ascii="Times New Roman" w:hAnsi="Times New Roman"/>
          <w:szCs w:val="24"/>
        </w:rPr>
        <w:t xml:space="preserve">caución </w:t>
      </w:r>
      <w:r w:rsidR="00186078" w:rsidRPr="00500DB3">
        <w:rPr>
          <w:rFonts w:ascii="Times New Roman" w:hAnsi="Times New Roman"/>
          <w:szCs w:val="24"/>
        </w:rPr>
        <w:t>para los casos en</w:t>
      </w:r>
      <w:r w:rsidRPr="00500DB3">
        <w:rPr>
          <w:rFonts w:ascii="Times New Roman" w:hAnsi="Times New Roman"/>
          <w:szCs w:val="24"/>
        </w:rPr>
        <w:t xml:space="preserve"> el recurrente no fuera el agraviado</w:t>
      </w:r>
      <w:r w:rsidR="00186078" w:rsidRPr="00500DB3">
        <w:rPr>
          <w:rFonts w:ascii="Times New Roman" w:hAnsi="Times New Roman"/>
          <w:szCs w:val="24"/>
        </w:rPr>
        <w:t xml:space="preserve">, </w:t>
      </w:r>
      <w:r w:rsidRPr="00500DB3">
        <w:rPr>
          <w:rFonts w:ascii="Times New Roman" w:hAnsi="Times New Roman"/>
          <w:szCs w:val="24"/>
        </w:rPr>
        <w:t>salvo en el supuesto de las detenciones ilegales, en</w:t>
      </w:r>
      <w:r w:rsidR="00186078" w:rsidRPr="00500DB3">
        <w:rPr>
          <w:rFonts w:ascii="Times New Roman" w:hAnsi="Times New Roman"/>
          <w:szCs w:val="24"/>
        </w:rPr>
        <w:t xml:space="preserve"> </w:t>
      </w:r>
      <w:r w:rsidRPr="00500DB3">
        <w:rPr>
          <w:rFonts w:ascii="Times New Roman" w:hAnsi="Times New Roman"/>
          <w:szCs w:val="24"/>
        </w:rPr>
        <w:t xml:space="preserve">que </w:t>
      </w:r>
      <w:r w:rsidRPr="00500DB3">
        <w:rPr>
          <w:rFonts w:ascii="Times New Roman" w:hAnsi="Times New Roman"/>
          <w:i/>
          <w:szCs w:val="24"/>
        </w:rPr>
        <w:t>«la acción... será pública, sin necesidad de prestar fianza ni caución</w:t>
      </w:r>
      <w:r w:rsidR="00186078" w:rsidRPr="00500DB3">
        <w:rPr>
          <w:rFonts w:ascii="Times New Roman" w:hAnsi="Times New Roman"/>
          <w:i/>
          <w:szCs w:val="24"/>
        </w:rPr>
        <w:t xml:space="preserve"> </w:t>
      </w:r>
      <w:r w:rsidRPr="00500DB3">
        <w:rPr>
          <w:rFonts w:ascii="Times New Roman" w:hAnsi="Times New Roman"/>
          <w:i/>
          <w:szCs w:val="24"/>
        </w:rPr>
        <w:t>de ningún género»</w:t>
      </w:r>
      <w:r w:rsidR="00186078" w:rsidRPr="00500DB3">
        <w:rPr>
          <w:rFonts w:ascii="Times New Roman" w:hAnsi="Times New Roman"/>
          <w:szCs w:val="24"/>
        </w:rPr>
        <w:t>, según el art. 29 de la Constitución</w:t>
      </w:r>
      <w:r w:rsidRPr="00500DB3">
        <w:rPr>
          <w:rFonts w:ascii="Times New Roman" w:hAnsi="Times New Roman"/>
          <w:szCs w:val="24"/>
        </w:rPr>
        <w:t>.</w:t>
      </w:r>
    </w:p>
    <w:p w14:paraId="17C67B75" w14:textId="68CF793F" w:rsidR="00732BAF" w:rsidRPr="00500DB3" w:rsidRDefault="009923A6" w:rsidP="00AA2BB1">
      <w:pPr>
        <w:pStyle w:val="texto"/>
        <w:ind w:firstLine="0"/>
        <w:rPr>
          <w:rFonts w:ascii="Times New Roman" w:hAnsi="Times New Roman"/>
          <w:szCs w:val="24"/>
        </w:rPr>
      </w:pPr>
      <w:r>
        <w:rPr>
          <w:rFonts w:ascii="Times New Roman" w:hAnsi="Times New Roman"/>
          <w:szCs w:val="24"/>
        </w:rPr>
        <w:t>L</w:t>
      </w:r>
      <w:r w:rsidR="00040C4C" w:rsidRPr="00500DB3">
        <w:rPr>
          <w:rFonts w:ascii="Times New Roman" w:hAnsi="Times New Roman"/>
          <w:szCs w:val="24"/>
        </w:rPr>
        <w:t>os requisitos de interposición</w:t>
      </w:r>
      <w:r w:rsidR="00732BAF" w:rsidRPr="00500DB3">
        <w:rPr>
          <w:rFonts w:ascii="Times New Roman" w:hAnsi="Times New Roman"/>
          <w:szCs w:val="24"/>
        </w:rPr>
        <w:t xml:space="preserve"> del recurso de amp</w:t>
      </w:r>
      <w:r>
        <w:rPr>
          <w:rFonts w:ascii="Times New Roman" w:hAnsi="Times New Roman"/>
          <w:szCs w:val="24"/>
        </w:rPr>
        <w:t>aro ante el TGC</w:t>
      </w:r>
      <w:r w:rsidR="00732BAF" w:rsidRPr="00500DB3">
        <w:rPr>
          <w:rStyle w:val="Refdenotaalpie"/>
          <w:rFonts w:ascii="Times New Roman" w:hAnsi="Times New Roman"/>
          <w:szCs w:val="24"/>
        </w:rPr>
        <w:footnoteReference w:id="23"/>
      </w:r>
      <w:r>
        <w:rPr>
          <w:rFonts w:ascii="Times New Roman" w:hAnsi="Times New Roman"/>
          <w:szCs w:val="24"/>
        </w:rPr>
        <w:t xml:space="preserve"> </w:t>
      </w:r>
      <w:r w:rsidR="00732BAF" w:rsidRPr="00500DB3">
        <w:rPr>
          <w:rFonts w:ascii="Times New Roman" w:hAnsi="Times New Roman"/>
          <w:szCs w:val="24"/>
        </w:rPr>
        <w:t>aparecían reflejados en el artículo 45</w:t>
      </w:r>
      <w:r>
        <w:rPr>
          <w:rFonts w:ascii="Times New Roman" w:hAnsi="Times New Roman"/>
          <w:szCs w:val="24"/>
        </w:rPr>
        <w:t xml:space="preserve"> LOTGC. P</w:t>
      </w:r>
      <w:r w:rsidR="00732BAF" w:rsidRPr="00500DB3">
        <w:rPr>
          <w:rFonts w:ascii="Times New Roman" w:hAnsi="Times New Roman"/>
          <w:szCs w:val="24"/>
        </w:rPr>
        <w:t>odemos sintetizarlos en los siguientes:</w:t>
      </w:r>
    </w:p>
    <w:p w14:paraId="347B086D" w14:textId="35782FE0" w:rsidR="00732BAF" w:rsidRPr="00500DB3" w:rsidRDefault="00732BAF" w:rsidP="00AA2BB1">
      <w:pPr>
        <w:pStyle w:val="texto"/>
        <w:ind w:firstLine="0"/>
        <w:rPr>
          <w:rFonts w:ascii="Times New Roman" w:hAnsi="Times New Roman"/>
          <w:szCs w:val="24"/>
        </w:rPr>
      </w:pPr>
      <w:r w:rsidRPr="00500DB3">
        <w:rPr>
          <w:rFonts w:ascii="Times New Roman" w:hAnsi="Times New Roman"/>
          <w:szCs w:val="24"/>
        </w:rPr>
        <w:lastRenderedPageBreak/>
        <w:t>En primer lugar, debía existir un acto concreto de la autoridad gubernativa, judicial o de c</w:t>
      </w:r>
      <w:r w:rsidR="009923A6">
        <w:rPr>
          <w:rFonts w:ascii="Times New Roman" w:hAnsi="Times New Roman"/>
          <w:szCs w:val="24"/>
        </w:rPr>
        <w:t>ualquier otro orden que infringiera</w:t>
      </w:r>
      <w:r w:rsidRPr="00500DB3">
        <w:rPr>
          <w:rFonts w:ascii="Times New Roman" w:hAnsi="Times New Roman"/>
          <w:szCs w:val="24"/>
        </w:rPr>
        <w:t xml:space="preserve"> alguna de las garantías que venían recogidas en </w:t>
      </w:r>
      <w:r w:rsidR="009923A6">
        <w:rPr>
          <w:rFonts w:ascii="Times New Roman" w:hAnsi="Times New Roman"/>
          <w:szCs w:val="24"/>
        </w:rPr>
        <w:t>el artículo 44 LOTGC.</w:t>
      </w:r>
    </w:p>
    <w:p w14:paraId="6EFF1E07" w14:textId="5ED17286" w:rsidR="00831C80" w:rsidRPr="00500DB3" w:rsidRDefault="00732BAF" w:rsidP="00AA2BB1">
      <w:pPr>
        <w:pStyle w:val="texto"/>
        <w:ind w:firstLine="0"/>
        <w:rPr>
          <w:rFonts w:ascii="Times New Roman" w:hAnsi="Times New Roman"/>
          <w:szCs w:val="24"/>
        </w:rPr>
      </w:pPr>
      <w:r w:rsidRPr="00500DB3">
        <w:rPr>
          <w:rFonts w:ascii="Times New Roman" w:hAnsi="Times New Roman"/>
          <w:szCs w:val="24"/>
        </w:rPr>
        <w:t>En segundo lugar, la reclamación no debía haber sido resuelta por el tribunal de urgencia. Cabe destacar que, como dichos tribunales no llegaron a constituirse</w:t>
      </w:r>
      <w:r w:rsidRPr="00500DB3">
        <w:rPr>
          <w:rStyle w:val="Refdenotaalpie"/>
          <w:rFonts w:ascii="Times New Roman" w:hAnsi="Times New Roman"/>
          <w:szCs w:val="24"/>
        </w:rPr>
        <w:footnoteReference w:id="24"/>
      </w:r>
      <w:r w:rsidRPr="00500DB3">
        <w:rPr>
          <w:rFonts w:ascii="Times New Roman" w:hAnsi="Times New Roman"/>
          <w:szCs w:val="24"/>
        </w:rPr>
        <w:t xml:space="preserve">, se aplicaba en su lugar la disposición transitoria segunda de la L. O. T. G, que exigía para la interposición del recurso de amparo ante el Tribunal de Garantías </w:t>
      </w:r>
      <w:r w:rsidRPr="00500DB3">
        <w:rPr>
          <w:rFonts w:ascii="Times New Roman" w:hAnsi="Times New Roman"/>
          <w:i/>
          <w:szCs w:val="24"/>
        </w:rPr>
        <w:t>«el requisito previo de que haya resultado ineficaz la reclamación ante la autoridad competente</w:t>
      </w:r>
      <w:r w:rsidRPr="00500DB3">
        <w:rPr>
          <w:rFonts w:ascii="Times New Roman" w:hAnsi="Times New Roman"/>
          <w:szCs w:val="24"/>
        </w:rPr>
        <w:t>»</w:t>
      </w:r>
      <w:r w:rsidR="00831C80" w:rsidRPr="00500DB3">
        <w:rPr>
          <w:rFonts w:ascii="Times New Roman" w:hAnsi="Times New Roman"/>
          <w:szCs w:val="24"/>
        </w:rPr>
        <w:t xml:space="preserve">, es decir, debía resultar ineficaz el haber reclamado al superior jerárquico de la autoridad </w:t>
      </w:r>
      <w:r w:rsidR="009923A6">
        <w:rPr>
          <w:rFonts w:ascii="Times New Roman" w:hAnsi="Times New Roman"/>
          <w:szCs w:val="24"/>
        </w:rPr>
        <w:t xml:space="preserve">que </w:t>
      </w:r>
      <w:r w:rsidR="00831C80" w:rsidRPr="00500DB3">
        <w:rPr>
          <w:rFonts w:ascii="Times New Roman" w:hAnsi="Times New Roman"/>
          <w:szCs w:val="24"/>
        </w:rPr>
        <w:t>hubiera sido causante del daño.</w:t>
      </w:r>
    </w:p>
    <w:p w14:paraId="4C2FE9FA" w14:textId="6778AA56" w:rsidR="00831C80" w:rsidRPr="00500DB3" w:rsidRDefault="00831C80" w:rsidP="00AA2BB1">
      <w:pPr>
        <w:pStyle w:val="texto"/>
        <w:ind w:firstLine="0"/>
        <w:rPr>
          <w:rFonts w:ascii="Times New Roman" w:hAnsi="Times New Roman"/>
          <w:szCs w:val="24"/>
        </w:rPr>
      </w:pPr>
      <w:r w:rsidRPr="00500DB3">
        <w:rPr>
          <w:rFonts w:ascii="Times New Roman" w:hAnsi="Times New Roman"/>
          <w:szCs w:val="24"/>
        </w:rPr>
        <w:t>Por último, para los casos de suspensión temporal de las garantías constitucionales, el recurso de am</w:t>
      </w:r>
      <w:r w:rsidR="001E51A7">
        <w:rPr>
          <w:rFonts w:ascii="Times New Roman" w:hAnsi="Times New Roman"/>
          <w:szCs w:val="24"/>
        </w:rPr>
        <w:t>paro sólo podría interponerse</w:t>
      </w:r>
      <w:r w:rsidRPr="00500DB3">
        <w:rPr>
          <w:rFonts w:ascii="Times New Roman" w:hAnsi="Times New Roman"/>
          <w:szCs w:val="24"/>
        </w:rPr>
        <w:t xml:space="preserve"> para a</w:t>
      </w:r>
      <w:r w:rsidR="001E51A7">
        <w:rPr>
          <w:rFonts w:ascii="Times New Roman" w:hAnsi="Times New Roman"/>
          <w:szCs w:val="24"/>
        </w:rPr>
        <w:t xml:space="preserve">quellos derechos cuya protección esté prevista </w:t>
      </w:r>
      <w:r w:rsidRPr="00500DB3">
        <w:rPr>
          <w:rFonts w:ascii="Times New Roman" w:hAnsi="Times New Roman"/>
          <w:szCs w:val="24"/>
        </w:rPr>
        <w:t>en periodo de suspensión.</w:t>
      </w:r>
    </w:p>
    <w:p w14:paraId="65300A56" w14:textId="77777777" w:rsidR="006F2319" w:rsidRPr="00500DB3" w:rsidRDefault="006F2319" w:rsidP="00AA2BB1">
      <w:pPr>
        <w:pStyle w:val="texto"/>
        <w:ind w:firstLine="0"/>
        <w:rPr>
          <w:rFonts w:ascii="Times New Roman" w:hAnsi="Times New Roman"/>
          <w:szCs w:val="24"/>
        </w:rPr>
      </w:pPr>
      <w:r w:rsidRPr="00500DB3">
        <w:rPr>
          <w:rFonts w:ascii="Times New Roman" w:hAnsi="Times New Roman"/>
          <w:szCs w:val="24"/>
        </w:rPr>
        <w:t>De forma muy breve, veremos el procedimiento para la interposición, tramitación y resolución de los recursos de amparo, que venía regulado en la Ley y en el Reglamento del Tribunal de Garantías Constitucionales.</w:t>
      </w:r>
    </w:p>
    <w:p w14:paraId="7F09825E" w14:textId="709EC9CF" w:rsidR="003A15EE" w:rsidRPr="00500DB3" w:rsidRDefault="001E51A7" w:rsidP="00AA2BB1">
      <w:pPr>
        <w:pStyle w:val="texto"/>
        <w:ind w:firstLine="0"/>
        <w:rPr>
          <w:rFonts w:ascii="Times New Roman" w:hAnsi="Times New Roman"/>
          <w:szCs w:val="24"/>
        </w:rPr>
      </w:pPr>
      <w:r>
        <w:rPr>
          <w:rFonts w:ascii="Times New Roman" w:hAnsi="Times New Roman"/>
          <w:szCs w:val="24"/>
        </w:rPr>
        <w:lastRenderedPageBreak/>
        <w:t>E</w:t>
      </w:r>
      <w:r w:rsidR="00831C80" w:rsidRPr="00500DB3">
        <w:rPr>
          <w:rFonts w:ascii="Times New Roman" w:hAnsi="Times New Roman"/>
          <w:szCs w:val="24"/>
        </w:rPr>
        <w:t>l procedimiento de amparo</w:t>
      </w:r>
      <w:r>
        <w:rPr>
          <w:rFonts w:ascii="Times New Roman" w:hAnsi="Times New Roman"/>
          <w:szCs w:val="24"/>
        </w:rPr>
        <w:t xml:space="preserve"> se</w:t>
      </w:r>
      <w:r w:rsidR="00831C80" w:rsidRPr="00500DB3">
        <w:rPr>
          <w:rFonts w:ascii="Times New Roman" w:hAnsi="Times New Roman"/>
          <w:szCs w:val="24"/>
        </w:rPr>
        <w:t xml:space="preserve"> caracterizaba por ser gratuito, salvo los mencionados casos de caución, su celeridad y la sumariedad, así como la no exigencia de asistencia de letrado en el mismo.</w:t>
      </w:r>
      <w:r w:rsidR="00C22A9C" w:rsidRPr="00500DB3">
        <w:rPr>
          <w:rFonts w:ascii="Times New Roman" w:hAnsi="Times New Roman"/>
          <w:szCs w:val="24"/>
        </w:rPr>
        <w:t xml:space="preserve"> </w:t>
      </w:r>
    </w:p>
    <w:p w14:paraId="2ADB5D64" w14:textId="179C3062" w:rsidR="00BB0EC4" w:rsidRPr="00500DB3" w:rsidRDefault="00C22A9C" w:rsidP="00AA2BB1">
      <w:pPr>
        <w:pStyle w:val="texto"/>
        <w:ind w:firstLine="0"/>
        <w:rPr>
          <w:rFonts w:ascii="Times New Roman" w:hAnsi="Times New Roman"/>
          <w:szCs w:val="24"/>
        </w:rPr>
      </w:pPr>
      <w:r w:rsidRPr="00500DB3">
        <w:rPr>
          <w:rFonts w:ascii="Times New Roman" w:hAnsi="Times New Roman"/>
          <w:szCs w:val="24"/>
        </w:rPr>
        <w:t>E</w:t>
      </w:r>
      <w:r w:rsidR="001E51A7">
        <w:rPr>
          <w:rFonts w:ascii="Times New Roman" w:hAnsi="Times New Roman"/>
          <w:szCs w:val="24"/>
        </w:rPr>
        <w:t>l órgano q</w:t>
      </w:r>
      <w:r w:rsidRPr="00500DB3">
        <w:rPr>
          <w:rFonts w:ascii="Times New Roman" w:hAnsi="Times New Roman"/>
          <w:szCs w:val="24"/>
        </w:rPr>
        <w:t xml:space="preserve">ue conocía de este recurso era el Tribunal de Garantías Constitucionales, el cual podía actuar en Pleno o en Secciones </w:t>
      </w:r>
      <w:r w:rsidR="001E51A7">
        <w:rPr>
          <w:rFonts w:ascii="Times New Roman" w:hAnsi="Times New Roman"/>
          <w:szCs w:val="24"/>
        </w:rPr>
        <w:t>según establecía el artículo 20 LOTGC.</w:t>
      </w:r>
    </w:p>
    <w:p w14:paraId="3C9A87F1" w14:textId="23A65259" w:rsidR="006F2319" w:rsidRPr="00500DB3" w:rsidRDefault="0074789A" w:rsidP="00AA2BB1">
      <w:pPr>
        <w:pStyle w:val="texto"/>
        <w:ind w:firstLine="0"/>
        <w:rPr>
          <w:rFonts w:ascii="Times New Roman" w:hAnsi="Times New Roman"/>
          <w:szCs w:val="24"/>
        </w:rPr>
      </w:pPr>
      <w:r w:rsidRPr="00500DB3">
        <w:rPr>
          <w:rFonts w:ascii="Times New Roman" w:hAnsi="Times New Roman"/>
          <w:szCs w:val="24"/>
        </w:rPr>
        <w:t>Centrándonos en primer lugar en la interposición del recurso de amparo, ésta aparecía regulada</w:t>
      </w:r>
      <w:r w:rsidR="001E51A7">
        <w:rPr>
          <w:rFonts w:ascii="Times New Roman" w:hAnsi="Times New Roman"/>
          <w:szCs w:val="24"/>
        </w:rPr>
        <w:t xml:space="preserve"> en el artículo 48 LOTGC</w:t>
      </w:r>
      <w:r w:rsidRPr="00500DB3">
        <w:rPr>
          <w:rFonts w:ascii="Times New Roman" w:hAnsi="Times New Roman"/>
          <w:szCs w:val="24"/>
        </w:rPr>
        <w:t>. El procedimiento se iniciaba media</w:t>
      </w:r>
      <w:r w:rsidR="001E51A7">
        <w:rPr>
          <w:rFonts w:ascii="Times New Roman" w:hAnsi="Times New Roman"/>
          <w:szCs w:val="24"/>
        </w:rPr>
        <w:t>nte un escrito dirigido al Tribunal</w:t>
      </w:r>
      <w:r w:rsidRPr="00500DB3">
        <w:rPr>
          <w:rFonts w:ascii="Times New Roman" w:hAnsi="Times New Roman"/>
          <w:szCs w:val="24"/>
        </w:rPr>
        <w:t xml:space="preserve">, concretamente a una Sección, la cual actuaría como «Sala de Amparo». En este escrito se explicarían los hechos y circunstancias acaecidas y se fundamentaría legalmente. Era necesario indicar un domicilio para </w:t>
      </w:r>
      <w:r w:rsidR="00F1749E" w:rsidRPr="00500DB3">
        <w:rPr>
          <w:rFonts w:ascii="Times New Roman" w:hAnsi="Times New Roman"/>
          <w:szCs w:val="24"/>
        </w:rPr>
        <w:t>notificaciones,</w:t>
      </w:r>
      <w:r w:rsidRPr="00500DB3">
        <w:rPr>
          <w:rFonts w:ascii="Times New Roman" w:hAnsi="Times New Roman"/>
          <w:szCs w:val="24"/>
        </w:rPr>
        <w:t xml:space="preserve"> así como aportar todos aquellos documentos que se consideren pertinentes y que acreditasen lo alegado. También eran necesarias las copias de los mismos, así como del escrito del recurso. Por último, debía presentarse copia de la resolución en la que se consideraba cometido el agravio (art. 98 del Reglamento).</w:t>
      </w:r>
    </w:p>
    <w:p w14:paraId="0F5DEE63" w14:textId="77777777" w:rsidR="0074789A" w:rsidRPr="00500DB3" w:rsidRDefault="0074789A" w:rsidP="00AA2BB1">
      <w:pPr>
        <w:pStyle w:val="texto"/>
        <w:ind w:firstLine="0"/>
        <w:rPr>
          <w:rFonts w:ascii="Times New Roman" w:hAnsi="Times New Roman"/>
          <w:szCs w:val="24"/>
        </w:rPr>
      </w:pPr>
      <w:r w:rsidRPr="00500DB3">
        <w:rPr>
          <w:rFonts w:ascii="Times New Roman" w:hAnsi="Times New Roman"/>
          <w:szCs w:val="24"/>
        </w:rPr>
        <w:t>Respecto a la tramitación del recurso</w:t>
      </w:r>
      <w:r w:rsidR="00EB7DEB" w:rsidRPr="00500DB3">
        <w:rPr>
          <w:rStyle w:val="Refdenotaalpie"/>
          <w:rFonts w:ascii="Times New Roman" w:hAnsi="Times New Roman"/>
          <w:szCs w:val="24"/>
        </w:rPr>
        <w:footnoteReference w:id="25"/>
      </w:r>
      <w:r w:rsidRPr="00500DB3">
        <w:rPr>
          <w:rFonts w:ascii="Times New Roman" w:hAnsi="Times New Roman"/>
          <w:szCs w:val="24"/>
        </w:rPr>
        <w:t>, ésta aparece regulada en el artículo 49 de la L.T.G.C. y en los artículos 99 y 100 del Reglamento. Se nombraba para cada recurso un vocal ponente. A continuación, se notificaba a la autoridad inculpada del recurso interpuesto y se le mandaba copia del escrito. Se concedía un plazo de diez días para informar y enviar al Tribunal las actuaciones practicadas.</w:t>
      </w:r>
      <w:r w:rsidR="00EB7DEB" w:rsidRPr="00500DB3">
        <w:rPr>
          <w:rFonts w:ascii="Times New Roman" w:hAnsi="Times New Roman"/>
          <w:szCs w:val="24"/>
        </w:rPr>
        <w:t xml:space="preserve"> De esta contestación, se daba vista con plazo de cinco días a la parte demandante. Seguidamente, se llevaba a cabo una fase de pruebas, las cuales debían practicarse en un plazo de diez días. La Sala de Amparo podía «acordar o denegar la celebración de vista».</w:t>
      </w:r>
    </w:p>
    <w:p w14:paraId="218F0A88" w14:textId="77777777" w:rsidR="00D25391" w:rsidRPr="00500DB3" w:rsidRDefault="00D25391" w:rsidP="00AA2BB1">
      <w:pPr>
        <w:pStyle w:val="texto"/>
        <w:ind w:firstLine="0"/>
        <w:rPr>
          <w:rFonts w:ascii="Times New Roman" w:hAnsi="Times New Roman"/>
          <w:i/>
          <w:szCs w:val="24"/>
        </w:rPr>
      </w:pPr>
      <w:r w:rsidRPr="00500DB3">
        <w:rPr>
          <w:rFonts w:ascii="Times New Roman" w:hAnsi="Times New Roman"/>
          <w:szCs w:val="24"/>
        </w:rPr>
        <w:t xml:space="preserve">Por último, la resolución del recurso de amparo se llevaba a cabo una vez concluidos los trámites anteriores. La Sala de Amparo dictaba Sentencia estimando o desestimando el recurso interpuesto. El fallo era notificado al recurrente y a la autoridad inculpada el mismo día que se dictaba la Sentencia, o al siguiente. Finalmente, pese a que el artículo 49.1.d de la Ley del Tribunal ordenaba que sólo fuesen publicadas aquellas resoluciones </w:t>
      </w:r>
      <w:r w:rsidRPr="00500DB3">
        <w:rPr>
          <w:rFonts w:ascii="Times New Roman" w:hAnsi="Times New Roman"/>
          <w:szCs w:val="24"/>
        </w:rPr>
        <w:lastRenderedPageBreak/>
        <w:t xml:space="preserve">de amparo consideradas de gran relevancia e interés, en la práctica, la mayoría de dichas sentencias fueron efectivamente publicadas en </w:t>
      </w:r>
      <w:r w:rsidRPr="00500DB3">
        <w:rPr>
          <w:rFonts w:ascii="Times New Roman" w:hAnsi="Times New Roman"/>
          <w:i/>
          <w:szCs w:val="24"/>
        </w:rPr>
        <w:t>la Gaceta de Madrid.</w:t>
      </w:r>
    </w:p>
    <w:p w14:paraId="0793D096" w14:textId="1236EBB7" w:rsidR="00A514A5" w:rsidRPr="00500DB3" w:rsidRDefault="00A514A5" w:rsidP="00AA2BB1">
      <w:pPr>
        <w:pStyle w:val="texto"/>
        <w:ind w:firstLine="0"/>
        <w:rPr>
          <w:rFonts w:ascii="Times New Roman" w:hAnsi="Times New Roman"/>
          <w:szCs w:val="24"/>
        </w:rPr>
      </w:pPr>
      <w:r w:rsidRPr="00500DB3">
        <w:rPr>
          <w:rFonts w:ascii="Times New Roman" w:hAnsi="Times New Roman"/>
          <w:szCs w:val="24"/>
        </w:rPr>
        <w:t xml:space="preserve">Para concluir este apartado, es necesario </w:t>
      </w:r>
      <w:r w:rsidR="00FE37CE">
        <w:rPr>
          <w:rFonts w:ascii="Times New Roman" w:hAnsi="Times New Roman"/>
          <w:szCs w:val="24"/>
        </w:rPr>
        <w:t>hacer una breve reflexión</w:t>
      </w:r>
      <w:r w:rsidRPr="00500DB3">
        <w:rPr>
          <w:rFonts w:ascii="Times New Roman" w:hAnsi="Times New Roman"/>
          <w:szCs w:val="24"/>
        </w:rPr>
        <w:t xml:space="preserve"> acerca de lo que supuso para nuestro Derecho la creación de este </w:t>
      </w:r>
      <w:r w:rsidR="00F1749E" w:rsidRPr="00500DB3">
        <w:rPr>
          <w:rFonts w:ascii="Times New Roman" w:hAnsi="Times New Roman"/>
          <w:szCs w:val="24"/>
        </w:rPr>
        <w:t>Tribunal,</w:t>
      </w:r>
      <w:r w:rsidRPr="00500DB3">
        <w:rPr>
          <w:rFonts w:ascii="Times New Roman" w:hAnsi="Times New Roman"/>
          <w:szCs w:val="24"/>
        </w:rPr>
        <w:t xml:space="preserve"> así como del recurso de amparo. Debemos tener </w:t>
      </w:r>
      <w:r w:rsidR="00B06DA6" w:rsidRPr="00500DB3">
        <w:rPr>
          <w:rFonts w:ascii="Times New Roman" w:hAnsi="Times New Roman"/>
          <w:szCs w:val="24"/>
        </w:rPr>
        <w:t>muy presente el difícil periodo en el que éste se creó, pues es un periodo marcado por la inestabilidad política y social que se vi</w:t>
      </w:r>
      <w:r w:rsidR="00FE37CE">
        <w:rPr>
          <w:rFonts w:ascii="Times New Roman" w:hAnsi="Times New Roman"/>
          <w:szCs w:val="24"/>
        </w:rPr>
        <w:t xml:space="preserve">vió. Todo esto hizo muy complejo </w:t>
      </w:r>
      <w:r w:rsidR="00B06DA6" w:rsidRPr="00500DB3">
        <w:rPr>
          <w:rFonts w:ascii="Times New Roman" w:hAnsi="Times New Roman"/>
          <w:szCs w:val="24"/>
        </w:rPr>
        <w:t>el funcionamiento del Trib</w:t>
      </w:r>
      <w:r w:rsidR="00FE37CE">
        <w:rPr>
          <w:rFonts w:ascii="Times New Roman" w:hAnsi="Times New Roman"/>
          <w:szCs w:val="24"/>
        </w:rPr>
        <w:t>unal</w:t>
      </w:r>
      <w:r w:rsidR="00B06DA6" w:rsidRPr="00500DB3">
        <w:rPr>
          <w:rFonts w:ascii="Times New Roman" w:hAnsi="Times New Roman"/>
          <w:szCs w:val="24"/>
        </w:rPr>
        <w:t xml:space="preserve"> ya que</w:t>
      </w:r>
      <w:r w:rsidR="00FE37CE">
        <w:rPr>
          <w:rFonts w:ascii="Times New Roman" w:hAnsi="Times New Roman"/>
          <w:szCs w:val="24"/>
        </w:rPr>
        <w:t>,</w:t>
      </w:r>
      <w:r w:rsidR="00B06DA6" w:rsidRPr="00500DB3">
        <w:rPr>
          <w:rFonts w:ascii="Times New Roman" w:hAnsi="Times New Roman"/>
          <w:szCs w:val="24"/>
        </w:rPr>
        <w:t xml:space="preserve"> pese a que dictó numer</w:t>
      </w:r>
      <w:r w:rsidR="00FE37CE">
        <w:rPr>
          <w:rFonts w:ascii="Times New Roman" w:hAnsi="Times New Roman"/>
          <w:szCs w:val="24"/>
        </w:rPr>
        <w:t>osas sentencias, fue prácticamente imposible</w:t>
      </w:r>
      <w:r w:rsidR="00B06DA6" w:rsidRPr="00500DB3">
        <w:rPr>
          <w:rFonts w:ascii="Times New Roman" w:hAnsi="Times New Roman"/>
          <w:szCs w:val="24"/>
        </w:rPr>
        <w:t xml:space="preserve"> (en gran medida por la corta vida que experimentó) crear una doctrina y jurisprudencia consolidadas.</w:t>
      </w:r>
    </w:p>
    <w:p w14:paraId="3B87878B" w14:textId="7AE957F1" w:rsidR="00FE37CE" w:rsidRPr="00500DB3" w:rsidRDefault="00544BB6" w:rsidP="00AA2BB1">
      <w:pPr>
        <w:pStyle w:val="texto"/>
        <w:ind w:firstLine="0"/>
        <w:rPr>
          <w:rFonts w:ascii="Times New Roman" w:hAnsi="Times New Roman"/>
          <w:szCs w:val="24"/>
        </w:rPr>
      </w:pPr>
      <w:r w:rsidRPr="00500DB3">
        <w:rPr>
          <w:rFonts w:ascii="Times New Roman" w:hAnsi="Times New Roman"/>
          <w:szCs w:val="24"/>
        </w:rPr>
        <w:t>Pese a todas las dificultades que se experimentaron en esta época, no podemos olvidar que la introducción de un recurso de amparo para la tutela de los derechos y li</w:t>
      </w:r>
      <w:r w:rsidR="00FE37CE">
        <w:rPr>
          <w:rFonts w:ascii="Times New Roman" w:hAnsi="Times New Roman"/>
          <w:szCs w:val="24"/>
        </w:rPr>
        <w:t>bertades de los ciudadanos ante</w:t>
      </w:r>
      <w:r w:rsidRPr="00500DB3">
        <w:rPr>
          <w:rFonts w:ascii="Times New Roman" w:hAnsi="Times New Roman"/>
          <w:szCs w:val="24"/>
        </w:rPr>
        <w:t xml:space="preserve"> un órgano especializado como lo fue el Tribunal de Garantías fue un hecho novedoso en nuestro sistema jurídico que, además, como veremos, sirvió de ejemplo e inspiración para la creación, años después de</w:t>
      </w:r>
      <w:r w:rsidR="00DD632B" w:rsidRPr="00500DB3">
        <w:rPr>
          <w:rFonts w:ascii="Times New Roman" w:hAnsi="Times New Roman"/>
          <w:szCs w:val="24"/>
        </w:rPr>
        <w:t xml:space="preserve"> nuestro TC</w:t>
      </w:r>
      <w:r w:rsidRPr="00500DB3">
        <w:rPr>
          <w:rFonts w:ascii="Times New Roman" w:hAnsi="Times New Roman"/>
          <w:szCs w:val="24"/>
        </w:rPr>
        <w:t>.</w:t>
      </w:r>
    </w:p>
    <w:p w14:paraId="73C9DED0" w14:textId="184B6BCD" w:rsidR="006F2319" w:rsidRPr="00500DB3" w:rsidRDefault="00B74FD0" w:rsidP="00AA2BB1">
      <w:pPr>
        <w:pStyle w:val="Ttulo3"/>
      </w:pPr>
      <w:bookmarkStart w:id="50" w:name="_Toc398679927"/>
      <w:bookmarkStart w:id="51" w:name="_Toc398824198"/>
      <w:bookmarkStart w:id="52" w:name="_Toc400017045"/>
      <w:bookmarkStart w:id="53" w:name="_Toc400644273"/>
      <w:bookmarkStart w:id="54" w:name="_Toc401009629"/>
      <w:bookmarkStart w:id="55" w:name="_Toc462935757"/>
      <w:bookmarkStart w:id="56" w:name="_Toc468382141"/>
      <w:bookmarkStart w:id="57" w:name="_Toc530596831"/>
      <w:bookmarkStart w:id="58" w:name="_Toc49423595"/>
      <w:bookmarkStart w:id="59" w:name="_Toc49708557"/>
      <w:bookmarkStart w:id="60" w:name="_Toc49790243"/>
      <w:bookmarkStart w:id="61" w:name="_Toc49866473"/>
      <w:bookmarkStart w:id="62" w:name="_Toc50373133"/>
      <w:r w:rsidRPr="00500DB3">
        <w:t>L</w:t>
      </w:r>
      <w:r w:rsidR="00FE37CE">
        <w:t>a protección de l</w:t>
      </w:r>
      <w:r w:rsidRPr="00500DB3">
        <w:t>os derechos fundamentales durante la Guerra Civil y la Dictadura Franquista</w:t>
      </w:r>
      <w:bookmarkEnd w:id="50"/>
      <w:bookmarkEnd w:id="51"/>
      <w:bookmarkEnd w:id="52"/>
      <w:bookmarkEnd w:id="53"/>
      <w:bookmarkEnd w:id="54"/>
      <w:bookmarkEnd w:id="55"/>
      <w:bookmarkEnd w:id="56"/>
      <w:bookmarkEnd w:id="57"/>
      <w:bookmarkEnd w:id="58"/>
      <w:bookmarkEnd w:id="59"/>
      <w:bookmarkEnd w:id="60"/>
      <w:bookmarkEnd w:id="61"/>
      <w:bookmarkEnd w:id="62"/>
    </w:p>
    <w:p w14:paraId="2275D391" w14:textId="77777777" w:rsidR="00951D1C" w:rsidRPr="00500DB3" w:rsidRDefault="00951D1C" w:rsidP="00AA2BB1">
      <w:pPr>
        <w:pStyle w:val="texto"/>
        <w:ind w:firstLine="0"/>
        <w:rPr>
          <w:rFonts w:ascii="Times New Roman" w:hAnsi="Times New Roman"/>
          <w:szCs w:val="24"/>
        </w:rPr>
      </w:pPr>
      <w:r w:rsidRPr="00500DB3">
        <w:rPr>
          <w:rFonts w:ascii="Times New Roman" w:hAnsi="Times New Roman"/>
          <w:szCs w:val="24"/>
        </w:rPr>
        <w:t>El 17 de julio de 1936 tuvo lugar la sublevación de las fuerzas militares de Marruecos y al día siguiente la sublevación se extendió por toda España, iniciándose la Guerra Civil. Durante este periodo (1936-1939), los derechos y las libertades fueron conculcados tanto en la zona republicana como en la dominada por las fuerzas militares.</w:t>
      </w:r>
    </w:p>
    <w:p w14:paraId="1D421AD9" w14:textId="77777777" w:rsidR="00454134" w:rsidRPr="00500DB3" w:rsidRDefault="00454134" w:rsidP="00AA2BB1">
      <w:pPr>
        <w:pStyle w:val="texto"/>
        <w:ind w:firstLine="0"/>
        <w:rPr>
          <w:rFonts w:ascii="Times New Roman" w:hAnsi="Times New Roman"/>
          <w:szCs w:val="24"/>
        </w:rPr>
      </w:pPr>
      <w:r w:rsidRPr="00500DB3">
        <w:rPr>
          <w:rFonts w:ascii="Times New Roman" w:hAnsi="Times New Roman"/>
          <w:szCs w:val="24"/>
        </w:rPr>
        <w:t>La victoria final del bando contrario a la República conllevó una fuerte represión sobre el bando vencido. Tuvieron lugar diversos juicios sumarísimos y ejecuciones que ensombrecieron los primeros años de la postguerra. También se produjeron privaciones de cargos y condenas de todos aquellos que habían simpatizado con la República.</w:t>
      </w:r>
    </w:p>
    <w:p w14:paraId="0C0CC104" w14:textId="207368D9" w:rsidR="00454134" w:rsidRPr="00500DB3" w:rsidRDefault="00454134" w:rsidP="00AA2BB1">
      <w:pPr>
        <w:pStyle w:val="texto"/>
        <w:ind w:firstLine="0"/>
        <w:rPr>
          <w:rFonts w:ascii="Times New Roman" w:hAnsi="Times New Roman"/>
          <w:szCs w:val="24"/>
        </w:rPr>
      </w:pPr>
      <w:r w:rsidRPr="00500DB3">
        <w:rPr>
          <w:rFonts w:ascii="Times New Roman" w:hAnsi="Times New Roman"/>
          <w:szCs w:val="24"/>
        </w:rPr>
        <w:t xml:space="preserve">La Dictadura Franquista tuvo como fundamento principios ajenos a los sistemas liberales democráticos. Derechos y libertades fundamentales que anteriormente habían sido reconocidos y garantizados fueron suprimidos. Se dejaron atrás muchos de los avances </w:t>
      </w:r>
      <w:r w:rsidRPr="00500DB3">
        <w:rPr>
          <w:rFonts w:ascii="Times New Roman" w:hAnsi="Times New Roman"/>
          <w:szCs w:val="24"/>
        </w:rPr>
        <w:lastRenderedPageBreak/>
        <w:t>constitucionales en materia de derechos de las personas que habían sido incorporados en la Constitución de 1931</w:t>
      </w:r>
      <w:r w:rsidR="00F66803" w:rsidRPr="00500DB3">
        <w:rPr>
          <w:rFonts w:ascii="Times New Roman" w:hAnsi="Times New Roman"/>
          <w:szCs w:val="24"/>
        </w:rPr>
        <w:t>, la cual fue derogada al inicio de la Guerra</w:t>
      </w:r>
      <w:r w:rsidR="00FE37CE">
        <w:rPr>
          <w:rStyle w:val="Refdenotaalpie"/>
          <w:rFonts w:ascii="Times New Roman" w:hAnsi="Times New Roman"/>
          <w:szCs w:val="24"/>
        </w:rPr>
        <w:footnoteReference w:id="26"/>
      </w:r>
      <w:r w:rsidR="00F66803" w:rsidRPr="00500DB3">
        <w:rPr>
          <w:rFonts w:ascii="Times New Roman" w:hAnsi="Times New Roman"/>
          <w:szCs w:val="24"/>
        </w:rPr>
        <w:t>.</w:t>
      </w:r>
    </w:p>
    <w:p w14:paraId="6055632F" w14:textId="36961CDB" w:rsidR="00454134" w:rsidRPr="00500DB3" w:rsidRDefault="00F66803" w:rsidP="00AA2BB1">
      <w:pPr>
        <w:pStyle w:val="texto"/>
        <w:ind w:firstLine="0"/>
        <w:rPr>
          <w:rFonts w:ascii="Times New Roman" w:hAnsi="Times New Roman"/>
          <w:szCs w:val="24"/>
        </w:rPr>
      </w:pPr>
      <w:r w:rsidRPr="00500DB3">
        <w:rPr>
          <w:rFonts w:ascii="Times New Roman" w:hAnsi="Times New Roman"/>
          <w:szCs w:val="24"/>
        </w:rPr>
        <w:t>Fueron aprobadas poco a poco un conjunto de ochos leyes denominadas “Las Leyes Fundamentales del Reino” a partir de 1938, las cuales regulaban el marco legal de la Dictadura. Una de ellas, la conocida como el Fuer</w:t>
      </w:r>
      <w:r w:rsidR="008111E4">
        <w:rPr>
          <w:rFonts w:ascii="Times New Roman" w:hAnsi="Times New Roman"/>
          <w:szCs w:val="24"/>
        </w:rPr>
        <w:t xml:space="preserve">o de los Españoles (1945), en la que se establece </w:t>
      </w:r>
      <w:r w:rsidRPr="00500DB3">
        <w:rPr>
          <w:rFonts w:ascii="Times New Roman" w:hAnsi="Times New Roman"/>
          <w:szCs w:val="24"/>
        </w:rPr>
        <w:t>los derechos y deberes de los ciudadanos. Esta Ley reconocía (teóricamente) derechos como la libertad de expresión, el secreto de la correspondencia, la libre elección del lugar de residencia, la inviolabilidad del domicilio, el derecho de reunión y asociación, y a no ser retenido arbitrariamente por la policía. Sin embargo, el reconocimiento de estos derechos se hallaba condicionado por el artículo 35, el cual establecía que éstos podían ser suspendidos total o parcialmente el tiempo que se estimase oportuno. Teniendo en cuenta esta posibilidad, los de</w:t>
      </w:r>
      <w:r w:rsidR="008111E4">
        <w:rPr>
          <w:rFonts w:ascii="Times New Roman" w:hAnsi="Times New Roman"/>
          <w:szCs w:val="24"/>
        </w:rPr>
        <w:t>rechos mencionados</w:t>
      </w:r>
      <w:r w:rsidRPr="00500DB3">
        <w:rPr>
          <w:rFonts w:ascii="Times New Roman" w:hAnsi="Times New Roman"/>
          <w:szCs w:val="24"/>
        </w:rPr>
        <w:t xml:space="preserve"> habían perdido toda su garantía</w:t>
      </w:r>
      <w:r w:rsidR="008111E4">
        <w:rPr>
          <w:rStyle w:val="Refdenotaalpie"/>
          <w:rFonts w:ascii="Times New Roman" w:hAnsi="Times New Roman"/>
          <w:szCs w:val="24"/>
        </w:rPr>
        <w:footnoteReference w:id="27"/>
      </w:r>
      <w:r w:rsidRPr="00500DB3">
        <w:rPr>
          <w:rFonts w:ascii="Times New Roman" w:hAnsi="Times New Roman"/>
          <w:szCs w:val="24"/>
        </w:rPr>
        <w:t xml:space="preserve">. </w:t>
      </w:r>
    </w:p>
    <w:p w14:paraId="46CAECC6" w14:textId="77777777" w:rsidR="00BB0EC4" w:rsidRPr="00500DB3" w:rsidRDefault="00F66803" w:rsidP="00AA2BB1">
      <w:pPr>
        <w:pStyle w:val="texto"/>
        <w:ind w:firstLine="0"/>
        <w:rPr>
          <w:rFonts w:ascii="Times New Roman" w:hAnsi="Times New Roman"/>
          <w:szCs w:val="24"/>
        </w:rPr>
      </w:pPr>
      <w:r w:rsidRPr="00500DB3">
        <w:rPr>
          <w:rFonts w:ascii="Times New Roman" w:hAnsi="Times New Roman"/>
          <w:szCs w:val="24"/>
        </w:rPr>
        <w:t>Respecto a los derechos de las mujeres</w:t>
      </w:r>
      <w:r w:rsidR="009419D0" w:rsidRPr="00500DB3">
        <w:rPr>
          <w:rStyle w:val="Refdenotaalpie"/>
          <w:rFonts w:ascii="Times New Roman" w:hAnsi="Times New Roman"/>
          <w:szCs w:val="24"/>
        </w:rPr>
        <w:footnoteReference w:id="28"/>
      </w:r>
      <w:r w:rsidRPr="00500DB3">
        <w:rPr>
          <w:rFonts w:ascii="Times New Roman" w:hAnsi="Times New Roman"/>
          <w:szCs w:val="24"/>
        </w:rPr>
        <w:t xml:space="preserve">, </w:t>
      </w:r>
      <w:r w:rsidR="009419D0" w:rsidRPr="00500DB3">
        <w:rPr>
          <w:rFonts w:ascii="Times New Roman" w:hAnsi="Times New Roman"/>
          <w:szCs w:val="24"/>
        </w:rPr>
        <w:t>éstos sufrieron un enorme retroceso en relación a su situación durante la República. Se perdieron diversos derechos que anteriormente les habían sido reconocidos en la Constitución de 1931, consecuencia de ellos fue que se vieran obligadas a pedir consentimiento a su marido para administrar sus bienes, trabajar, abrir cuentas bancarias, etc. Además, el divorcio, que había sido aprobado en 1932 por la República, fue abolido.</w:t>
      </w:r>
    </w:p>
    <w:p w14:paraId="71EA3494" w14:textId="77777777" w:rsidR="0073396E" w:rsidRPr="00500DB3" w:rsidRDefault="0073396E" w:rsidP="00AA2BB1">
      <w:pPr>
        <w:pStyle w:val="texto"/>
        <w:ind w:firstLine="0"/>
        <w:rPr>
          <w:rFonts w:ascii="Times New Roman" w:hAnsi="Times New Roman"/>
          <w:szCs w:val="24"/>
        </w:rPr>
      </w:pPr>
      <w:r w:rsidRPr="00500DB3">
        <w:rPr>
          <w:rFonts w:ascii="Times New Roman" w:hAnsi="Times New Roman"/>
          <w:szCs w:val="24"/>
        </w:rPr>
        <w:t>En palabras de ORTÍZ HERAS, «</w:t>
      </w:r>
      <w:r w:rsidRPr="00500DB3">
        <w:rPr>
          <w:rFonts w:ascii="Times New Roman" w:hAnsi="Times New Roman"/>
          <w:i/>
          <w:szCs w:val="24"/>
        </w:rPr>
        <w:t>la dictadura franquista quiso imponer un modelo de sociedad orgánica con una política de género regulada por una legislación civil que negaba a las mujeres cualquier tipo de autonomía individual y las convertía en eje de la moralidad social. Las mujeres quedaron así relegadas a un papel de subordinación que las recluía en el ámbito doméstico».</w:t>
      </w:r>
    </w:p>
    <w:p w14:paraId="40F00B00" w14:textId="77777777" w:rsidR="0056677B" w:rsidRPr="00500DB3" w:rsidRDefault="0056677B" w:rsidP="00AA2BB1">
      <w:pPr>
        <w:pStyle w:val="texto"/>
        <w:ind w:firstLine="0"/>
        <w:rPr>
          <w:rFonts w:ascii="Times New Roman" w:hAnsi="Times New Roman"/>
          <w:szCs w:val="24"/>
        </w:rPr>
      </w:pPr>
      <w:r w:rsidRPr="00500DB3">
        <w:rPr>
          <w:rFonts w:ascii="Times New Roman" w:hAnsi="Times New Roman"/>
          <w:szCs w:val="24"/>
        </w:rPr>
        <w:t xml:space="preserve">Años después, con la intención de mejorar la imagen internacional de nuestro país y romper el aislamiento en el que España se vio sumida tras la Guerra, se produjo nuestro </w:t>
      </w:r>
      <w:r w:rsidRPr="00500DB3">
        <w:rPr>
          <w:rFonts w:ascii="Times New Roman" w:hAnsi="Times New Roman"/>
          <w:szCs w:val="24"/>
        </w:rPr>
        <w:lastRenderedPageBreak/>
        <w:t>ingreso en las Naciones Unidas (1955). Pese a esto, el respeto por los derechos humanos en la España de los años cincuenta aún debía mejorar, sobre todo, si comparamos el tratamiento que en estos años tenían en otros países de la Organización.</w:t>
      </w:r>
    </w:p>
    <w:p w14:paraId="53E2D4F1" w14:textId="77777777" w:rsidR="0056677B" w:rsidRPr="00500DB3" w:rsidRDefault="0056677B" w:rsidP="00AA2BB1">
      <w:pPr>
        <w:pStyle w:val="texto"/>
        <w:ind w:firstLine="0"/>
        <w:rPr>
          <w:rFonts w:ascii="Times New Roman" w:hAnsi="Times New Roman"/>
          <w:szCs w:val="24"/>
        </w:rPr>
      </w:pPr>
      <w:r w:rsidRPr="00500DB3">
        <w:rPr>
          <w:rFonts w:ascii="Times New Roman" w:hAnsi="Times New Roman"/>
          <w:szCs w:val="24"/>
        </w:rPr>
        <w:t>Poco a poco, España se fue adhiriendo a los diversos textos promulgados por las Naciones Unidas sobre derechos humanos.</w:t>
      </w:r>
    </w:p>
    <w:p w14:paraId="40100881" w14:textId="498F9518" w:rsidR="00BB0EC4" w:rsidRPr="00500DB3" w:rsidRDefault="0056677B" w:rsidP="00AA2BB1">
      <w:pPr>
        <w:pStyle w:val="texto"/>
        <w:ind w:firstLine="0"/>
        <w:rPr>
          <w:rFonts w:ascii="Times New Roman" w:hAnsi="Times New Roman"/>
          <w:szCs w:val="24"/>
        </w:rPr>
      </w:pPr>
      <w:r w:rsidRPr="00500DB3">
        <w:rPr>
          <w:rFonts w:ascii="Times New Roman" w:hAnsi="Times New Roman"/>
          <w:szCs w:val="24"/>
        </w:rPr>
        <w:t>Respecto a la Comunidad Económica Europea, el modelo político de nuestro país no cumplía los requisitos democráticos que se exigían por los Estados que fundaron el proyecto. En 1962 España solicitó por primera vez el ingreso en la Comunidad, siendo éste desestimado. Años después, en 1977, España solicitó de nuevo su ingreso. Tras una serie de negociaciones, finalmente fuimos admitidos</w:t>
      </w:r>
      <w:r w:rsidR="003E0468" w:rsidRPr="00500DB3">
        <w:rPr>
          <w:rFonts w:ascii="Times New Roman" w:hAnsi="Times New Roman"/>
          <w:szCs w:val="24"/>
        </w:rPr>
        <w:t xml:space="preserve">, firmando nuestra adhesión en 1985. </w:t>
      </w:r>
      <w:r w:rsidR="00A4676E" w:rsidRPr="00500DB3">
        <w:rPr>
          <w:rFonts w:ascii="Times New Roman" w:hAnsi="Times New Roman"/>
          <w:szCs w:val="24"/>
        </w:rPr>
        <w:t xml:space="preserve">Años </w:t>
      </w:r>
      <w:r w:rsidR="00F1749E" w:rsidRPr="00500DB3">
        <w:rPr>
          <w:rFonts w:ascii="Times New Roman" w:hAnsi="Times New Roman"/>
          <w:szCs w:val="24"/>
        </w:rPr>
        <w:t>antes,</w:t>
      </w:r>
      <w:r w:rsidR="00F1749E" w:rsidRPr="00500DB3">
        <w:rPr>
          <w:rFonts w:ascii="Times New Roman" w:hAnsi="Times New Roman"/>
          <w:color w:val="C00000"/>
          <w:szCs w:val="24"/>
        </w:rPr>
        <w:t xml:space="preserve"> en</w:t>
      </w:r>
      <w:r w:rsidRPr="00500DB3">
        <w:rPr>
          <w:rFonts w:ascii="Times New Roman" w:hAnsi="Times New Roman"/>
          <w:szCs w:val="24"/>
        </w:rPr>
        <w:t xml:space="preserve"> 1979, España </w:t>
      </w:r>
      <w:r w:rsidR="00A4676E" w:rsidRPr="00500DB3">
        <w:rPr>
          <w:rFonts w:ascii="Times New Roman" w:hAnsi="Times New Roman"/>
          <w:szCs w:val="24"/>
        </w:rPr>
        <w:t>había ratificado</w:t>
      </w:r>
      <w:r w:rsidR="00A4676E" w:rsidRPr="00500DB3">
        <w:rPr>
          <w:rFonts w:ascii="Times New Roman" w:hAnsi="Times New Roman"/>
          <w:color w:val="C00000"/>
          <w:szCs w:val="24"/>
        </w:rPr>
        <w:t xml:space="preserve"> </w:t>
      </w:r>
      <w:r w:rsidRPr="00500DB3">
        <w:rPr>
          <w:rFonts w:ascii="Times New Roman" w:hAnsi="Times New Roman"/>
          <w:szCs w:val="24"/>
        </w:rPr>
        <w:t>el Convenio Europeo de Derechos Humanos de 1950</w:t>
      </w:r>
      <w:r w:rsidR="003E0468" w:rsidRPr="00500DB3">
        <w:rPr>
          <w:rFonts w:ascii="Times New Roman" w:hAnsi="Times New Roman"/>
          <w:szCs w:val="24"/>
        </w:rPr>
        <w:t>.</w:t>
      </w:r>
    </w:p>
    <w:p w14:paraId="4223065E" w14:textId="77777777" w:rsidR="00A02A98" w:rsidRPr="00500DB3" w:rsidRDefault="000911B4" w:rsidP="00AA2BB1">
      <w:pPr>
        <w:pStyle w:val="texto"/>
        <w:ind w:firstLine="0"/>
        <w:rPr>
          <w:rFonts w:ascii="Times New Roman" w:hAnsi="Times New Roman"/>
          <w:szCs w:val="24"/>
        </w:rPr>
      </w:pPr>
      <w:r w:rsidRPr="00500DB3">
        <w:rPr>
          <w:rFonts w:ascii="Times New Roman" w:hAnsi="Times New Roman"/>
          <w:szCs w:val="24"/>
        </w:rPr>
        <w:t xml:space="preserve">Con el tiempo, la oposición al régimen dictatorial franquista fue en aumento. La oposición se organizó y consolido progresivamente, especialmente a partir de los años sesenta. Existió una gran aspiración a la libertad y una reivindicación cada vez mayor de los derechos fundamentales. </w:t>
      </w:r>
    </w:p>
    <w:p w14:paraId="54B82541" w14:textId="6B63F274" w:rsidR="00A02A98" w:rsidRPr="00500DB3" w:rsidRDefault="00A02A98" w:rsidP="00AA2BB1">
      <w:pPr>
        <w:pStyle w:val="texto"/>
        <w:ind w:firstLine="0"/>
        <w:rPr>
          <w:rFonts w:ascii="Times New Roman" w:hAnsi="Times New Roman"/>
          <w:szCs w:val="24"/>
        </w:rPr>
      </w:pPr>
      <w:r w:rsidRPr="00500DB3">
        <w:rPr>
          <w:rFonts w:ascii="Times New Roman" w:hAnsi="Times New Roman"/>
          <w:szCs w:val="24"/>
        </w:rPr>
        <w:t>Tras la muerte de Franco en 1975, durante la Transición, debido al peligro de involución, la mayoría de los partidos políticos se opusieron a un revisionismo histórico sobre las violaciones de derechos humanos cometidas por la dictadura. Tras la Transición, sin embargo, algunos sectores de la sociedad española empezaron a reclamar responsabilidades</w:t>
      </w:r>
      <w:r w:rsidR="00E35BAE">
        <w:rPr>
          <w:rStyle w:val="Refdenotaalpie"/>
          <w:rFonts w:ascii="Times New Roman" w:hAnsi="Times New Roman"/>
          <w:szCs w:val="24"/>
        </w:rPr>
        <w:footnoteReference w:id="29"/>
      </w:r>
      <w:r w:rsidRPr="00500DB3">
        <w:rPr>
          <w:rFonts w:ascii="Times New Roman" w:hAnsi="Times New Roman"/>
          <w:szCs w:val="24"/>
        </w:rPr>
        <w:t>.</w:t>
      </w:r>
    </w:p>
    <w:p w14:paraId="0895D51D" w14:textId="71319740" w:rsidR="003622CD" w:rsidRDefault="000911B4" w:rsidP="00AA2BB1">
      <w:pPr>
        <w:pStyle w:val="texto"/>
        <w:ind w:firstLine="0"/>
        <w:rPr>
          <w:rFonts w:ascii="Times New Roman" w:hAnsi="Times New Roman"/>
          <w:szCs w:val="24"/>
        </w:rPr>
      </w:pPr>
      <w:r w:rsidRPr="00500DB3">
        <w:rPr>
          <w:rFonts w:ascii="Times New Roman" w:hAnsi="Times New Roman"/>
          <w:szCs w:val="24"/>
        </w:rPr>
        <w:t xml:space="preserve">Todo esto dio lugar a que, tras la Transición, se recuperaran los derechos </w:t>
      </w:r>
      <w:r w:rsidR="00F1749E" w:rsidRPr="00500DB3">
        <w:rPr>
          <w:rFonts w:ascii="Times New Roman" w:hAnsi="Times New Roman"/>
          <w:szCs w:val="24"/>
        </w:rPr>
        <w:t>y libertades</w:t>
      </w:r>
      <w:r w:rsidR="007E0F33" w:rsidRPr="00500DB3">
        <w:rPr>
          <w:rFonts w:ascii="Times New Roman" w:hAnsi="Times New Roman"/>
          <w:szCs w:val="24"/>
        </w:rPr>
        <w:t xml:space="preserve"> fundamentales propia</w:t>
      </w:r>
      <w:r w:rsidRPr="00500DB3">
        <w:rPr>
          <w:rFonts w:ascii="Times New Roman" w:hAnsi="Times New Roman"/>
          <w:szCs w:val="24"/>
        </w:rPr>
        <w:t>s de las sociedades democráticas con la Constitución de 1978.</w:t>
      </w:r>
    </w:p>
    <w:p w14:paraId="2BF48551" w14:textId="58100676" w:rsidR="00E35BAE" w:rsidRDefault="00E35BAE" w:rsidP="00500DB3">
      <w:pPr>
        <w:pStyle w:val="texto"/>
        <w:rPr>
          <w:rFonts w:ascii="Times New Roman" w:hAnsi="Times New Roman"/>
          <w:szCs w:val="24"/>
        </w:rPr>
      </w:pPr>
    </w:p>
    <w:p w14:paraId="79D4C743" w14:textId="5E2AEE2A" w:rsidR="00AA2BB1" w:rsidRDefault="00AA2BB1" w:rsidP="00500DB3">
      <w:pPr>
        <w:pStyle w:val="texto"/>
        <w:rPr>
          <w:rFonts w:ascii="Times New Roman" w:hAnsi="Times New Roman"/>
          <w:szCs w:val="24"/>
        </w:rPr>
      </w:pPr>
    </w:p>
    <w:p w14:paraId="61F900E9" w14:textId="3D0A6624" w:rsidR="007E0F33" w:rsidRDefault="00AA2BB1" w:rsidP="00AA2BB1">
      <w:pPr>
        <w:pStyle w:val="Ttulo3"/>
      </w:pPr>
      <w:bookmarkStart w:id="63" w:name="_Toc49708558"/>
      <w:bookmarkStart w:id="64" w:name="_Toc49790244"/>
      <w:bookmarkStart w:id="65" w:name="_Toc49866474"/>
      <w:bookmarkStart w:id="66" w:name="_Toc50373134"/>
      <w:r>
        <w:lastRenderedPageBreak/>
        <w:t>La protección de los derechos fundamentales en la Constitución de 1978</w:t>
      </w:r>
      <w:bookmarkEnd w:id="63"/>
      <w:bookmarkEnd w:id="64"/>
      <w:bookmarkEnd w:id="65"/>
      <w:bookmarkEnd w:id="66"/>
    </w:p>
    <w:p w14:paraId="57C7300A" w14:textId="05D9690A" w:rsidR="007E0F33" w:rsidRPr="00500DB3" w:rsidRDefault="00F938F8" w:rsidP="00AA2BB1">
      <w:pPr>
        <w:pStyle w:val="texto"/>
        <w:ind w:firstLine="0"/>
        <w:rPr>
          <w:rFonts w:ascii="Times New Roman" w:hAnsi="Times New Roman"/>
          <w:szCs w:val="24"/>
        </w:rPr>
      </w:pPr>
      <w:r w:rsidRPr="00500DB3">
        <w:rPr>
          <w:rFonts w:ascii="Times New Roman" w:hAnsi="Times New Roman"/>
          <w:szCs w:val="24"/>
        </w:rPr>
        <w:t xml:space="preserve">La Constitución de 1978 supuso una recuperación de derechos y libertades fundamentales para la sociedad española. </w:t>
      </w:r>
      <w:r w:rsidR="00FE31C1">
        <w:rPr>
          <w:rFonts w:ascii="Times New Roman" w:hAnsi="Times New Roman"/>
          <w:szCs w:val="24"/>
        </w:rPr>
        <w:t>Este texto</w:t>
      </w:r>
      <w:r w:rsidR="00935052" w:rsidRPr="00500DB3">
        <w:rPr>
          <w:rFonts w:ascii="Times New Roman" w:hAnsi="Times New Roman"/>
          <w:szCs w:val="24"/>
        </w:rPr>
        <w:t xml:space="preserve"> recogió </w:t>
      </w:r>
      <w:r w:rsidR="002C5FCC" w:rsidRPr="00500DB3">
        <w:rPr>
          <w:rFonts w:ascii="Times New Roman" w:hAnsi="Times New Roman"/>
          <w:szCs w:val="24"/>
        </w:rPr>
        <w:t xml:space="preserve">un amplio catálogo de derechos y libertades. Dentro de los derechos recogidos, podemos apreciar que no todos ellos gozan del mismo nivel de protección. </w:t>
      </w:r>
    </w:p>
    <w:p w14:paraId="0F8ADE28" w14:textId="77777777" w:rsidR="002C5FCC" w:rsidRPr="00500DB3" w:rsidRDefault="002C5FCC" w:rsidP="00AA2BB1">
      <w:pPr>
        <w:pStyle w:val="texto"/>
        <w:ind w:firstLine="0"/>
        <w:rPr>
          <w:rFonts w:ascii="Times New Roman" w:hAnsi="Times New Roman"/>
          <w:szCs w:val="24"/>
        </w:rPr>
      </w:pPr>
      <w:r w:rsidRPr="00500DB3">
        <w:rPr>
          <w:rFonts w:ascii="Times New Roman" w:hAnsi="Times New Roman"/>
          <w:szCs w:val="24"/>
        </w:rPr>
        <w:t>Nuestra Constitución aborda esta materia en su Título I, denominado «De los derechos y deberes fundamentales». Sin embargo,</w:t>
      </w:r>
      <w:r w:rsidR="009736E5" w:rsidRPr="00500DB3">
        <w:rPr>
          <w:rFonts w:ascii="Times New Roman" w:hAnsi="Times New Roman"/>
          <w:szCs w:val="24"/>
        </w:rPr>
        <w:t xml:space="preserve"> en palabras de NARANJO DE LA CRUZ</w:t>
      </w:r>
      <w:r w:rsidR="009736E5" w:rsidRPr="00500DB3">
        <w:rPr>
          <w:rStyle w:val="Refdenotaalpie"/>
          <w:rFonts w:ascii="Times New Roman" w:hAnsi="Times New Roman"/>
          <w:szCs w:val="24"/>
        </w:rPr>
        <w:footnoteReference w:id="30"/>
      </w:r>
      <w:r w:rsidR="009736E5" w:rsidRPr="00500DB3">
        <w:rPr>
          <w:rFonts w:ascii="Times New Roman" w:hAnsi="Times New Roman"/>
          <w:szCs w:val="24"/>
        </w:rPr>
        <w:t>,</w:t>
      </w:r>
      <w:r w:rsidRPr="00500DB3">
        <w:rPr>
          <w:rFonts w:ascii="Times New Roman" w:hAnsi="Times New Roman"/>
          <w:szCs w:val="24"/>
        </w:rPr>
        <w:t xml:space="preserve"> la doctrina </w:t>
      </w:r>
      <w:r w:rsidR="009736E5" w:rsidRPr="00500DB3">
        <w:rPr>
          <w:rFonts w:ascii="Times New Roman" w:hAnsi="Times New Roman"/>
          <w:szCs w:val="24"/>
        </w:rPr>
        <w:t>no establece un acuerdo a la hora de determinar cuáles de los derechos que la Constitución recoge pueden ser considerados como «fundamentales». Esto es debido al empleo poco preciso que realiza el propio texto constitucional de este término ya que, como hemos dicho, el Título Primero aparece denominado bajo la rúbrica «De los derechos y deberes fundamentales», lo que daría a entender que todos los derechos incluidos en el mismo tienen la calificación de derecho fundamental. Sin embargo, más adelante pod</w:t>
      </w:r>
      <w:r w:rsidR="003A3E5E" w:rsidRPr="00500DB3">
        <w:rPr>
          <w:rFonts w:ascii="Times New Roman" w:hAnsi="Times New Roman"/>
          <w:szCs w:val="24"/>
        </w:rPr>
        <w:t>r</w:t>
      </w:r>
      <w:r w:rsidR="009736E5" w:rsidRPr="00500DB3">
        <w:rPr>
          <w:rFonts w:ascii="Times New Roman" w:hAnsi="Times New Roman"/>
          <w:szCs w:val="24"/>
        </w:rPr>
        <w:t>emos apreciar que la Sección 1ª del Capítulo II del mismo Título aparece denominada como «De los derechos fundamentales y de las libertades públicas», lo que parece restringir el ámbito de los derechos fundamentales exclusivamente a los derechos recogidos en los artículos 15 a 29 del texto constitucional.</w:t>
      </w:r>
    </w:p>
    <w:p w14:paraId="5D7954EF" w14:textId="77777777" w:rsidR="007E0F33" w:rsidRPr="00500DB3" w:rsidRDefault="00FB7D54" w:rsidP="00AA2BB1">
      <w:pPr>
        <w:pStyle w:val="texto"/>
        <w:ind w:firstLine="0"/>
        <w:rPr>
          <w:rFonts w:ascii="Times New Roman" w:hAnsi="Times New Roman"/>
          <w:szCs w:val="24"/>
        </w:rPr>
      </w:pPr>
      <w:r w:rsidRPr="00500DB3">
        <w:rPr>
          <w:rFonts w:ascii="Times New Roman" w:hAnsi="Times New Roman"/>
          <w:szCs w:val="24"/>
        </w:rPr>
        <w:t>L</w:t>
      </w:r>
      <w:r w:rsidR="009736E5" w:rsidRPr="00500DB3">
        <w:rPr>
          <w:rFonts w:ascii="Times New Roman" w:hAnsi="Times New Roman"/>
          <w:szCs w:val="24"/>
        </w:rPr>
        <w:t xml:space="preserve">o que sí parece claro es que no existen derechos fundamentales fuera de la Constitución. Estaríamos hablando, por tanto, de un catálogo cerrado de derechos y libertades, cuya ampliación requeriría de una reforma constitucional. Ello no implica, sin embargo, </w:t>
      </w:r>
      <w:r w:rsidR="0059128D" w:rsidRPr="00500DB3">
        <w:rPr>
          <w:rFonts w:ascii="Times New Roman" w:hAnsi="Times New Roman"/>
          <w:szCs w:val="24"/>
        </w:rPr>
        <w:t>que como consecuencia del paso del tiempo y de las condiciones y necesidades sociales de cada momento no puedan ser incorporadas nuevas manifestaciones de estos derechos distintas de las que en un primer momento se dedujeron del texto constitucional.</w:t>
      </w:r>
      <w:r w:rsidRPr="00500DB3">
        <w:rPr>
          <w:rFonts w:ascii="Times New Roman" w:hAnsi="Times New Roman"/>
          <w:szCs w:val="24"/>
        </w:rPr>
        <w:t xml:space="preserve"> </w:t>
      </w:r>
    </w:p>
    <w:p w14:paraId="12BC3BB4" w14:textId="6D789282" w:rsidR="00616A3A" w:rsidRPr="00500DB3" w:rsidRDefault="00FB7D54" w:rsidP="00AA2BB1">
      <w:pPr>
        <w:pStyle w:val="texto"/>
        <w:ind w:firstLine="0"/>
        <w:rPr>
          <w:rFonts w:ascii="Times New Roman" w:hAnsi="Times New Roman"/>
          <w:b/>
          <w:szCs w:val="24"/>
        </w:rPr>
      </w:pPr>
      <w:r w:rsidRPr="00500DB3">
        <w:rPr>
          <w:rFonts w:ascii="Times New Roman" w:hAnsi="Times New Roman"/>
          <w:szCs w:val="24"/>
        </w:rPr>
        <w:t xml:space="preserve">En efecto, </w:t>
      </w:r>
      <w:r w:rsidR="003C631E" w:rsidRPr="00500DB3">
        <w:rPr>
          <w:rFonts w:ascii="Times New Roman" w:hAnsi="Times New Roman"/>
          <w:szCs w:val="24"/>
        </w:rPr>
        <w:t>otros autores</w:t>
      </w:r>
      <w:r w:rsidR="007C785D" w:rsidRPr="00500DB3">
        <w:rPr>
          <w:rStyle w:val="Refdenotaalpie"/>
          <w:rFonts w:ascii="Times New Roman" w:hAnsi="Times New Roman"/>
          <w:szCs w:val="24"/>
        </w:rPr>
        <w:footnoteReference w:id="31"/>
      </w:r>
      <w:r w:rsidR="003C631E" w:rsidRPr="00500DB3">
        <w:rPr>
          <w:rFonts w:ascii="Times New Roman" w:hAnsi="Times New Roman"/>
          <w:szCs w:val="24"/>
        </w:rPr>
        <w:t xml:space="preserve"> estiman que nuestra Constitución recoge una lista cerrada de derechos, pero opinan que pueden entrar otros por las circunstancias de la época. Estos otros derechos que se añadirían, constituirían lo que estos autores denominan «cuarta generación de derechos», entre los que se incluirían derechos de tipo tecnológico y </w:t>
      </w:r>
      <w:r w:rsidR="003C631E" w:rsidRPr="00500DB3">
        <w:rPr>
          <w:rFonts w:ascii="Times New Roman" w:hAnsi="Times New Roman"/>
          <w:szCs w:val="24"/>
        </w:rPr>
        <w:lastRenderedPageBreak/>
        <w:t>cient</w:t>
      </w:r>
      <w:r w:rsidR="00616A3A" w:rsidRPr="00500DB3">
        <w:rPr>
          <w:rFonts w:ascii="Times New Roman" w:hAnsi="Times New Roman"/>
          <w:szCs w:val="24"/>
        </w:rPr>
        <w:t>ífico</w:t>
      </w:r>
      <w:r w:rsidR="003C631E" w:rsidRPr="00500DB3">
        <w:rPr>
          <w:rFonts w:ascii="Times New Roman" w:hAnsi="Times New Roman"/>
          <w:szCs w:val="24"/>
        </w:rPr>
        <w:t xml:space="preserve"> atendiendo a las necesidades de los tiempos </w:t>
      </w:r>
      <w:r w:rsidR="00F1749E" w:rsidRPr="00500DB3">
        <w:rPr>
          <w:rFonts w:ascii="Times New Roman" w:hAnsi="Times New Roman"/>
          <w:szCs w:val="24"/>
        </w:rPr>
        <w:t>actuales,</w:t>
      </w:r>
      <w:r w:rsidR="003C631E" w:rsidRPr="00500DB3">
        <w:rPr>
          <w:rFonts w:ascii="Times New Roman" w:hAnsi="Times New Roman"/>
          <w:szCs w:val="24"/>
        </w:rPr>
        <w:t xml:space="preserve"> así como a las exigencias de la sociedad y a la realidad histórica. Es por ello que, pese a que se reconoce que la actual carta de derechos es rica, pues protege tres generaciones de derechos, es cierto que gran parte de la doctrina defiende la idea de que </w:t>
      </w:r>
      <w:r w:rsidR="007C785D" w:rsidRPr="00500DB3">
        <w:rPr>
          <w:rFonts w:ascii="Times New Roman" w:hAnsi="Times New Roman"/>
          <w:szCs w:val="24"/>
        </w:rPr>
        <w:t xml:space="preserve">los derechos incluidos en </w:t>
      </w:r>
      <w:r w:rsidR="00616A3A" w:rsidRPr="00500DB3">
        <w:rPr>
          <w:rFonts w:ascii="Times New Roman" w:hAnsi="Times New Roman"/>
          <w:szCs w:val="24"/>
        </w:rPr>
        <w:t>esta carta con</w:t>
      </w:r>
      <w:r w:rsidR="00FE31C1">
        <w:rPr>
          <w:rFonts w:ascii="Times New Roman" w:hAnsi="Times New Roman"/>
          <w:szCs w:val="24"/>
        </w:rPr>
        <w:t>stituyen</w:t>
      </w:r>
      <w:r w:rsidR="007C785D" w:rsidRPr="00500DB3">
        <w:rPr>
          <w:rFonts w:ascii="Times New Roman" w:hAnsi="Times New Roman"/>
          <w:szCs w:val="24"/>
        </w:rPr>
        <w:t xml:space="preserve"> </w:t>
      </w:r>
      <w:r w:rsidR="00616A3A" w:rsidRPr="00500DB3">
        <w:rPr>
          <w:rFonts w:ascii="Times New Roman" w:hAnsi="Times New Roman"/>
          <w:szCs w:val="24"/>
        </w:rPr>
        <w:t xml:space="preserve">un </w:t>
      </w:r>
      <w:r w:rsidR="00616A3A" w:rsidRPr="00500DB3">
        <w:rPr>
          <w:rFonts w:ascii="Times New Roman" w:hAnsi="Times New Roman"/>
          <w:i/>
          <w:szCs w:val="24"/>
        </w:rPr>
        <w:t xml:space="preserve">numerus </w:t>
      </w:r>
      <w:proofErr w:type="spellStart"/>
      <w:r w:rsidR="00616A3A" w:rsidRPr="00500DB3">
        <w:rPr>
          <w:rFonts w:ascii="Times New Roman" w:hAnsi="Times New Roman"/>
          <w:i/>
          <w:szCs w:val="24"/>
        </w:rPr>
        <w:t>apertus</w:t>
      </w:r>
      <w:proofErr w:type="spellEnd"/>
      <w:r w:rsidR="007C785D" w:rsidRPr="00500DB3">
        <w:rPr>
          <w:rFonts w:ascii="Times New Roman" w:hAnsi="Times New Roman"/>
          <w:i/>
          <w:szCs w:val="24"/>
        </w:rPr>
        <w:t xml:space="preserve">, </w:t>
      </w:r>
      <w:r w:rsidR="007C785D" w:rsidRPr="00500DB3">
        <w:rPr>
          <w:rFonts w:ascii="Times New Roman" w:hAnsi="Times New Roman"/>
          <w:szCs w:val="24"/>
        </w:rPr>
        <w:t>para evitar así la reforma constitucional para incluir otros nuevos, sobre todo teniendo en cuenta la rigidez que supone la inserción de nuevos derechos fundamentales en el texto constitucional al estar estos ubicados en la Sección 1ª, conllevando esto una reforma especialmente compleja.</w:t>
      </w:r>
    </w:p>
    <w:p w14:paraId="5A4B2AED" w14:textId="77777777" w:rsidR="0059128D" w:rsidRPr="00500DB3" w:rsidRDefault="00B96437" w:rsidP="00AA2BB1">
      <w:pPr>
        <w:pStyle w:val="texto"/>
        <w:ind w:firstLine="0"/>
        <w:rPr>
          <w:rFonts w:ascii="Times New Roman" w:hAnsi="Times New Roman"/>
          <w:szCs w:val="24"/>
        </w:rPr>
      </w:pPr>
      <w:r w:rsidRPr="00500DB3">
        <w:rPr>
          <w:rFonts w:ascii="Times New Roman" w:hAnsi="Times New Roman"/>
          <w:szCs w:val="24"/>
        </w:rPr>
        <w:t>Por tanto, dentro del amplio catálogo de derechos que recoge la Constitución podemos apreciar una clasificación</w:t>
      </w:r>
      <w:r w:rsidR="002331F8" w:rsidRPr="00500DB3">
        <w:rPr>
          <w:rStyle w:val="Refdenotaalpie"/>
          <w:rFonts w:ascii="Times New Roman" w:hAnsi="Times New Roman"/>
          <w:szCs w:val="24"/>
        </w:rPr>
        <w:footnoteReference w:id="32"/>
      </w:r>
      <w:r w:rsidRPr="00500DB3">
        <w:rPr>
          <w:rFonts w:ascii="Times New Roman" w:hAnsi="Times New Roman"/>
          <w:szCs w:val="24"/>
        </w:rPr>
        <w:t xml:space="preserve">. Es de destacar que ésta no está basada en ninguna clasificación realizada por la doctrina, sino que es el mismo texto constitucional el que ordena los derechos en base al nivel de protección que éstos reciben. Así, atendiendo al artículo 53 del texto constitucional, podemos ver que los derechos de la Sección 1ª, del Capítulo II, del Título I, son los que reciben unas garantías de protección más intensas, como en adelante veremos. Los derechos de la Sección 2ª, del Capítulo II, del Título I, reciben, por así decirlo, un nivel intermedio de protección y, por último, los derechos menos protegidos serán los denominados </w:t>
      </w:r>
      <w:r w:rsidRPr="00500DB3">
        <w:rPr>
          <w:rFonts w:ascii="Times New Roman" w:hAnsi="Times New Roman"/>
          <w:i/>
          <w:szCs w:val="24"/>
        </w:rPr>
        <w:t>Principios rectores de la política social y económica</w:t>
      </w:r>
      <w:r w:rsidRPr="00500DB3">
        <w:rPr>
          <w:rFonts w:ascii="Times New Roman" w:hAnsi="Times New Roman"/>
          <w:szCs w:val="24"/>
        </w:rPr>
        <w:t>, recogidos en el Capítulo III del Título I.</w:t>
      </w:r>
    </w:p>
    <w:p w14:paraId="10BAAB54" w14:textId="3F44C38D" w:rsidR="00463BAB" w:rsidRDefault="00463BAB" w:rsidP="00AA2BB1">
      <w:pPr>
        <w:pStyle w:val="texto"/>
        <w:ind w:firstLine="0"/>
        <w:rPr>
          <w:rFonts w:ascii="Times New Roman" w:hAnsi="Times New Roman"/>
          <w:szCs w:val="24"/>
        </w:rPr>
      </w:pPr>
      <w:r w:rsidRPr="00500DB3">
        <w:rPr>
          <w:rFonts w:ascii="Times New Roman" w:hAnsi="Times New Roman"/>
          <w:szCs w:val="24"/>
        </w:rPr>
        <w:t xml:space="preserve">El emplazamiento de cada derecho en un lugar u otro se basó, fundamentalmente, en la importancia que al mismo le otorgó el constituyente, aunque también obedeció a limitaciones económicas, ya que el reconocimiento de derechos fundamentales </w:t>
      </w:r>
      <w:r w:rsidR="00A97445" w:rsidRPr="00500DB3">
        <w:rPr>
          <w:rFonts w:ascii="Times New Roman" w:hAnsi="Times New Roman"/>
          <w:szCs w:val="24"/>
        </w:rPr>
        <w:t xml:space="preserve">que implicaran </w:t>
      </w:r>
      <w:r w:rsidRPr="00500DB3">
        <w:rPr>
          <w:rFonts w:ascii="Times New Roman" w:hAnsi="Times New Roman"/>
          <w:szCs w:val="24"/>
        </w:rPr>
        <w:t xml:space="preserve">exigibilidad </w:t>
      </w:r>
      <w:r w:rsidR="00A97445" w:rsidRPr="00500DB3">
        <w:rPr>
          <w:rFonts w:ascii="Times New Roman" w:hAnsi="Times New Roman"/>
          <w:szCs w:val="24"/>
        </w:rPr>
        <w:t xml:space="preserve">de prestaciones </w:t>
      </w:r>
      <w:r w:rsidRPr="00500DB3">
        <w:rPr>
          <w:rFonts w:ascii="Times New Roman" w:hAnsi="Times New Roman"/>
          <w:szCs w:val="24"/>
        </w:rPr>
        <w:t>ante los poderes p</w:t>
      </w:r>
      <w:r w:rsidR="00A97445" w:rsidRPr="00500DB3">
        <w:rPr>
          <w:rFonts w:ascii="Times New Roman" w:hAnsi="Times New Roman"/>
          <w:szCs w:val="24"/>
        </w:rPr>
        <w:t xml:space="preserve">úblicos </w:t>
      </w:r>
      <w:proofErr w:type="gramStart"/>
      <w:r w:rsidR="00A97445" w:rsidRPr="00500DB3">
        <w:rPr>
          <w:rFonts w:ascii="Times New Roman" w:hAnsi="Times New Roman"/>
          <w:szCs w:val="24"/>
        </w:rPr>
        <w:t>conllevaban</w:t>
      </w:r>
      <w:proofErr w:type="gramEnd"/>
      <w:r w:rsidR="00A97445" w:rsidRPr="00500DB3">
        <w:rPr>
          <w:rFonts w:ascii="Times New Roman" w:hAnsi="Times New Roman"/>
          <w:szCs w:val="24"/>
        </w:rPr>
        <w:t xml:space="preserve"> una importante responsabilidad econ</w:t>
      </w:r>
      <w:r w:rsidRPr="00500DB3">
        <w:rPr>
          <w:rFonts w:ascii="Times New Roman" w:hAnsi="Times New Roman"/>
          <w:szCs w:val="24"/>
        </w:rPr>
        <w:t>ómica por parte de estos</w:t>
      </w:r>
      <w:r w:rsidR="00287548" w:rsidRPr="00500DB3">
        <w:rPr>
          <w:rStyle w:val="Refdenotaalpie"/>
          <w:rFonts w:ascii="Times New Roman" w:hAnsi="Times New Roman"/>
          <w:szCs w:val="24"/>
        </w:rPr>
        <w:footnoteReference w:id="33"/>
      </w:r>
      <w:r w:rsidRPr="00500DB3">
        <w:rPr>
          <w:rFonts w:ascii="Times New Roman" w:hAnsi="Times New Roman"/>
          <w:szCs w:val="24"/>
        </w:rPr>
        <w:t xml:space="preserve">. Es por ello, que fueron extremadamente cautos a la hora de reconocer derechos fundamentales </w:t>
      </w:r>
      <w:r w:rsidR="00A97445" w:rsidRPr="00500DB3">
        <w:rPr>
          <w:rFonts w:ascii="Times New Roman" w:hAnsi="Times New Roman"/>
          <w:szCs w:val="24"/>
        </w:rPr>
        <w:t>de este tipo, siendo escasos estos derechos en la Sección 1ª, del Capítulo II del Título I.</w:t>
      </w:r>
    </w:p>
    <w:p w14:paraId="75F3017C" w14:textId="57BB5552" w:rsidR="00451E07" w:rsidRDefault="00287548" w:rsidP="00AA2BB1">
      <w:pPr>
        <w:pStyle w:val="texto"/>
        <w:ind w:firstLine="0"/>
        <w:rPr>
          <w:rFonts w:ascii="Times New Roman" w:hAnsi="Times New Roman"/>
          <w:szCs w:val="24"/>
        </w:rPr>
      </w:pPr>
      <w:r w:rsidRPr="00287548">
        <w:rPr>
          <w:rFonts w:ascii="Times New Roman" w:hAnsi="Times New Roman"/>
          <w:szCs w:val="24"/>
        </w:rPr>
        <w:t xml:space="preserve">El artículo 53.1 CE hace referencia a todos los derechos recogidos en el Capítulo II del Título I, es decir, a los derechos fundamentales de máxima protección de la Sección 1ª y </w:t>
      </w:r>
      <w:r w:rsidRPr="00287548">
        <w:rPr>
          <w:rFonts w:ascii="Times New Roman" w:hAnsi="Times New Roman"/>
          <w:szCs w:val="24"/>
        </w:rPr>
        <w:lastRenderedPageBreak/>
        <w:t>a los derechos de “protección intermedia” de l</w:t>
      </w:r>
      <w:r>
        <w:rPr>
          <w:rFonts w:ascii="Times New Roman" w:hAnsi="Times New Roman"/>
          <w:szCs w:val="24"/>
        </w:rPr>
        <w:t>a Sección 2ª. Sin embargo, no menciona los derechos recogidos en el capítulo I</w:t>
      </w:r>
      <w:r w:rsidR="000266E4">
        <w:rPr>
          <w:rFonts w:ascii="Times New Roman" w:hAnsi="Times New Roman"/>
          <w:szCs w:val="24"/>
        </w:rPr>
        <w:t xml:space="preserve">II, los cuales </w:t>
      </w:r>
      <w:r>
        <w:rPr>
          <w:rFonts w:ascii="Times New Roman" w:hAnsi="Times New Roman"/>
          <w:szCs w:val="24"/>
        </w:rPr>
        <w:t>reciben una protección considerablemente menor</w:t>
      </w:r>
      <w:r w:rsidR="000266E4">
        <w:rPr>
          <w:rStyle w:val="Refdenotaalpie"/>
          <w:rFonts w:ascii="Times New Roman" w:hAnsi="Times New Roman"/>
          <w:szCs w:val="24"/>
        </w:rPr>
        <w:footnoteReference w:id="34"/>
      </w:r>
      <w:r>
        <w:rPr>
          <w:rFonts w:ascii="Times New Roman" w:hAnsi="Times New Roman"/>
          <w:szCs w:val="24"/>
        </w:rPr>
        <w:t xml:space="preserve">. </w:t>
      </w:r>
    </w:p>
    <w:p w14:paraId="3CA72C7F" w14:textId="3D1C68D9" w:rsidR="00076A6B" w:rsidRPr="00500DB3" w:rsidRDefault="00637586" w:rsidP="00AA2BB1">
      <w:pPr>
        <w:pStyle w:val="texto"/>
        <w:ind w:firstLine="0"/>
        <w:rPr>
          <w:rFonts w:ascii="Times New Roman" w:hAnsi="Times New Roman"/>
          <w:szCs w:val="24"/>
        </w:rPr>
      </w:pPr>
      <w:r w:rsidRPr="00500DB3">
        <w:rPr>
          <w:rFonts w:ascii="Times New Roman" w:hAnsi="Times New Roman"/>
          <w:szCs w:val="24"/>
        </w:rPr>
        <w:t xml:space="preserve">Si nos centramos ahora en los derechos contenidos en la Sección 1ª, en lo que respecta a la vinculación a los poderes públicos (de manera positiva y negativa) y a su directa e inmediata aplicabilidad e </w:t>
      </w:r>
      <w:proofErr w:type="spellStart"/>
      <w:r w:rsidRPr="00500DB3">
        <w:rPr>
          <w:rFonts w:ascii="Times New Roman" w:hAnsi="Times New Roman"/>
          <w:szCs w:val="24"/>
        </w:rPr>
        <w:t>invocabilidad</w:t>
      </w:r>
      <w:proofErr w:type="spellEnd"/>
      <w:r w:rsidRPr="00500DB3">
        <w:rPr>
          <w:rFonts w:ascii="Times New Roman" w:hAnsi="Times New Roman"/>
          <w:szCs w:val="24"/>
        </w:rPr>
        <w:t xml:space="preserve"> ante los Tribunales, no hay diferencia alguna</w:t>
      </w:r>
      <w:r w:rsidR="000266E4">
        <w:rPr>
          <w:rFonts w:ascii="Times New Roman" w:hAnsi="Times New Roman"/>
          <w:szCs w:val="24"/>
        </w:rPr>
        <w:t xml:space="preserve"> con la protección que reciben </w:t>
      </w:r>
      <w:r w:rsidRPr="00500DB3">
        <w:rPr>
          <w:rFonts w:ascii="Times New Roman" w:hAnsi="Times New Roman"/>
          <w:szCs w:val="24"/>
        </w:rPr>
        <w:t>los derechos de la Sección 2ª. Sin embargo, respecto a la reserva de ley que sobre ellos recae, sí que existe una importante diferencia con los citados derechos. Esta diferencia proviene de lo dispuesto en el artículo 81.1 CE</w:t>
      </w:r>
      <w:r w:rsidRPr="00500DB3">
        <w:rPr>
          <w:rStyle w:val="Refdenotaalpie"/>
          <w:rFonts w:ascii="Times New Roman" w:hAnsi="Times New Roman"/>
          <w:szCs w:val="24"/>
        </w:rPr>
        <w:footnoteReference w:id="35"/>
      </w:r>
      <w:r w:rsidR="003C3879" w:rsidRPr="00500DB3">
        <w:rPr>
          <w:rFonts w:ascii="Times New Roman" w:hAnsi="Times New Roman"/>
          <w:szCs w:val="24"/>
        </w:rPr>
        <w:t xml:space="preserve">, en virtud del cual </w:t>
      </w:r>
      <w:r w:rsidR="00C13081" w:rsidRPr="00500DB3">
        <w:rPr>
          <w:rFonts w:ascii="Times New Roman" w:hAnsi="Times New Roman"/>
          <w:szCs w:val="24"/>
        </w:rPr>
        <w:t>las leyes orgánicas deben desarrollar los derechos fundamentales y las libertades públicas. Estos derechos y libertades son precisamente los de la Sección 1ª, del Capítulo II, del Título I (arts. 15 a 29 CE), cuyo epígrafe establece expresamente «De los derechos fundamentales y libertades públicas».</w:t>
      </w:r>
      <w:r w:rsidR="000266E4">
        <w:rPr>
          <w:rFonts w:ascii="Times New Roman" w:hAnsi="Times New Roman"/>
          <w:szCs w:val="24"/>
        </w:rPr>
        <w:t xml:space="preserve"> E</w:t>
      </w:r>
      <w:r w:rsidR="006E6411" w:rsidRPr="00500DB3">
        <w:rPr>
          <w:rFonts w:ascii="Times New Roman" w:hAnsi="Times New Roman"/>
          <w:szCs w:val="24"/>
        </w:rPr>
        <w:t xml:space="preserve">s de destacar que este precepto hace referencia a las leyes orgánicas sólo en lo relativo al «desarrollo» de estos derechos, por tanto, en lo que no sea </w:t>
      </w:r>
      <w:r w:rsidR="00F1749E" w:rsidRPr="00500DB3">
        <w:rPr>
          <w:rFonts w:ascii="Times New Roman" w:hAnsi="Times New Roman"/>
          <w:szCs w:val="24"/>
        </w:rPr>
        <w:t>estrictamente «</w:t>
      </w:r>
      <w:r w:rsidR="006E6411" w:rsidRPr="00500DB3">
        <w:rPr>
          <w:rFonts w:ascii="Times New Roman" w:hAnsi="Times New Roman"/>
          <w:szCs w:val="24"/>
        </w:rPr>
        <w:t>desarrollo» podría utilizarse la ley ordinaria y las restantes normas.</w:t>
      </w:r>
      <w:r w:rsidR="00EA4282">
        <w:rPr>
          <w:rFonts w:ascii="Times New Roman" w:hAnsi="Times New Roman"/>
          <w:szCs w:val="24"/>
        </w:rPr>
        <w:t xml:space="preserve"> </w:t>
      </w:r>
      <w:r w:rsidR="00076A6B" w:rsidRPr="00500DB3">
        <w:rPr>
          <w:rFonts w:ascii="Times New Roman" w:hAnsi="Times New Roman"/>
          <w:szCs w:val="24"/>
        </w:rPr>
        <w:t xml:space="preserve">Pero, además, las garantías de estos derechos se completan con lo </w:t>
      </w:r>
      <w:r w:rsidR="008F7077" w:rsidRPr="00500DB3">
        <w:rPr>
          <w:rFonts w:ascii="Times New Roman" w:hAnsi="Times New Roman"/>
          <w:szCs w:val="24"/>
        </w:rPr>
        <w:t>establecido por el artículo 53.2 CE, el cual dispone que:</w:t>
      </w:r>
    </w:p>
    <w:p w14:paraId="7462D01C" w14:textId="77777777" w:rsidR="008F7077" w:rsidRPr="00500DB3" w:rsidRDefault="008F7077" w:rsidP="00500DB3">
      <w:pPr>
        <w:pStyle w:val="texto"/>
        <w:ind w:left="708"/>
        <w:rPr>
          <w:rFonts w:ascii="Times New Roman" w:hAnsi="Times New Roman"/>
          <w:i/>
          <w:szCs w:val="24"/>
        </w:rPr>
      </w:pPr>
      <w:r w:rsidRPr="00500DB3">
        <w:rPr>
          <w:rFonts w:ascii="Times New Roman" w:hAnsi="Times New Roman"/>
          <w:i/>
          <w:szCs w:val="24"/>
        </w:rPr>
        <w:t xml:space="preserve">«Cualquier ciudadano podrá recabar la tutela de las libertades y derechos reconocidos en el artículo 14 y la Sección primera del Capítulo segundo ante los </w:t>
      </w:r>
      <w:r w:rsidRPr="00500DB3">
        <w:rPr>
          <w:rFonts w:ascii="Times New Roman" w:hAnsi="Times New Roman"/>
          <w:i/>
          <w:szCs w:val="24"/>
        </w:rPr>
        <w:lastRenderedPageBreak/>
        <w:t>Tribunales ordinarios por un procedimiento basado en los principios de preferencia y sumariedad y, en su caso, a través del recurso de amparo ante el Tribunal Constitucional. Este último recurso será aplicable a la objeción de conciencia reconocida en el artículo 30».</w:t>
      </w:r>
    </w:p>
    <w:p w14:paraId="0DD6C96C" w14:textId="77777777" w:rsidR="004143EB" w:rsidRPr="00500DB3" w:rsidRDefault="00A314F3" w:rsidP="00AA2BB1">
      <w:pPr>
        <w:pStyle w:val="texto"/>
        <w:ind w:firstLine="0"/>
        <w:rPr>
          <w:rFonts w:ascii="Times New Roman" w:hAnsi="Times New Roman"/>
          <w:szCs w:val="24"/>
        </w:rPr>
      </w:pPr>
      <w:r w:rsidRPr="00500DB3">
        <w:rPr>
          <w:rFonts w:ascii="Times New Roman" w:hAnsi="Times New Roman"/>
          <w:szCs w:val="24"/>
        </w:rPr>
        <w:t xml:space="preserve">Este artículo recoge las denominadas «garantías jurisdiccionales», </w:t>
      </w:r>
      <w:r w:rsidR="0013040F" w:rsidRPr="00500DB3">
        <w:rPr>
          <w:rFonts w:ascii="Times New Roman" w:hAnsi="Times New Roman"/>
          <w:szCs w:val="24"/>
        </w:rPr>
        <w:t xml:space="preserve">las cuales hacen referencia a los cauces de protección de los derechos fundamentales mediante las jurisdicciones ordinaria y constitucional. </w:t>
      </w:r>
    </w:p>
    <w:p w14:paraId="632E0439" w14:textId="656908F3" w:rsidR="00F7391E" w:rsidRPr="00500DB3" w:rsidRDefault="004143EB" w:rsidP="00AA2BB1">
      <w:pPr>
        <w:pStyle w:val="texto"/>
        <w:ind w:firstLine="0"/>
        <w:rPr>
          <w:rFonts w:ascii="Times New Roman" w:hAnsi="Times New Roman"/>
          <w:szCs w:val="24"/>
        </w:rPr>
      </w:pPr>
      <w:r w:rsidRPr="00500DB3">
        <w:rPr>
          <w:rFonts w:ascii="Times New Roman" w:hAnsi="Times New Roman"/>
          <w:szCs w:val="24"/>
        </w:rPr>
        <w:t>Conviene mencionar en este punto la problemática sus</w:t>
      </w:r>
      <w:r w:rsidR="00DD632B" w:rsidRPr="00500DB3">
        <w:rPr>
          <w:rFonts w:ascii="Times New Roman" w:hAnsi="Times New Roman"/>
          <w:szCs w:val="24"/>
        </w:rPr>
        <w:t>citada entre el TS y el TC</w:t>
      </w:r>
      <w:r w:rsidRPr="00500DB3">
        <w:rPr>
          <w:rFonts w:ascii="Times New Roman" w:hAnsi="Times New Roman"/>
          <w:szCs w:val="24"/>
        </w:rPr>
        <w:t xml:space="preserve"> respecto a la protección de los derechos fundamentales. Con la Constitución de 1978, se crearon una serie de «garantías jurisdiccionales» para proteger los derechos fundamentales mediante dos vías, la ordinaria y la constitucional. Para ello, se establecieron dos órgan</w:t>
      </w:r>
      <w:r w:rsidR="00DD632B" w:rsidRPr="00500DB3">
        <w:rPr>
          <w:rFonts w:ascii="Times New Roman" w:hAnsi="Times New Roman"/>
          <w:szCs w:val="24"/>
        </w:rPr>
        <w:t>os jurisdiccionales, el TC</w:t>
      </w:r>
      <w:r w:rsidRPr="00500DB3">
        <w:rPr>
          <w:rFonts w:ascii="Times New Roman" w:hAnsi="Times New Roman"/>
          <w:szCs w:val="24"/>
        </w:rPr>
        <w:t xml:space="preserve"> y el </w:t>
      </w:r>
      <w:r w:rsidR="00261500" w:rsidRPr="00500DB3">
        <w:rPr>
          <w:rFonts w:ascii="Times New Roman" w:hAnsi="Times New Roman"/>
          <w:szCs w:val="24"/>
        </w:rPr>
        <w:t xml:space="preserve">Tribunal Supremo (en adelante, </w:t>
      </w:r>
      <w:r w:rsidRPr="00500DB3">
        <w:rPr>
          <w:rFonts w:ascii="Times New Roman" w:hAnsi="Times New Roman"/>
          <w:szCs w:val="24"/>
        </w:rPr>
        <w:t>TS</w:t>
      </w:r>
      <w:r w:rsidR="00261500" w:rsidRPr="00500DB3">
        <w:rPr>
          <w:rFonts w:ascii="Times New Roman" w:hAnsi="Times New Roman"/>
          <w:szCs w:val="24"/>
        </w:rPr>
        <w:t>)</w:t>
      </w:r>
      <w:r w:rsidRPr="00500DB3">
        <w:rPr>
          <w:rFonts w:ascii="Times New Roman" w:hAnsi="Times New Roman"/>
          <w:szCs w:val="24"/>
        </w:rPr>
        <w:t xml:space="preserve">, con competencias distintas y ambos supremos en sus respectivos ámbitos. Se estableció el TC como máximo intérprete de la Constitución y el TS como máximo intérprete de la legalidad. </w:t>
      </w:r>
      <w:r w:rsidR="00F7391E" w:rsidRPr="00500DB3">
        <w:rPr>
          <w:rFonts w:ascii="Times New Roman" w:hAnsi="Times New Roman"/>
          <w:szCs w:val="24"/>
        </w:rPr>
        <w:t xml:space="preserve">Como decíamos al comienzo, podemos apreciar que </w:t>
      </w:r>
      <w:r w:rsidR="00C4287E">
        <w:rPr>
          <w:rFonts w:ascii="Times New Roman" w:hAnsi="Times New Roman"/>
          <w:szCs w:val="24"/>
        </w:rPr>
        <w:t xml:space="preserve">en </w:t>
      </w:r>
      <w:r w:rsidR="00F7391E" w:rsidRPr="00500DB3">
        <w:rPr>
          <w:rFonts w:ascii="Times New Roman" w:hAnsi="Times New Roman"/>
          <w:szCs w:val="24"/>
        </w:rPr>
        <w:t xml:space="preserve">el modelo de justicia constitucional diseñado en España a </w:t>
      </w:r>
      <w:r w:rsidR="00C4287E">
        <w:rPr>
          <w:rFonts w:ascii="Times New Roman" w:hAnsi="Times New Roman"/>
          <w:szCs w:val="24"/>
        </w:rPr>
        <w:t>partir de 1978</w:t>
      </w:r>
      <w:r w:rsidR="00F7391E" w:rsidRPr="00500DB3">
        <w:rPr>
          <w:rFonts w:ascii="Times New Roman" w:hAnsi="Times New Roman"/>
          <w:szCs w:val="24"/>
        </w:rPr>
        <w:t xml:space="preserve"> se establece un Tribunal único y separado del Poder Judicial, hasta el punto de que cada uno de ellos es contemplado en </w:t>
      </w:r>
      <w:r w:rsidR="00C4287E">
        <w:rPr>
          <w:rFonts w:ascii="Times New Roman" w:hAnsi="Times New Roman"/>
          <w:szCs w:val="24"/>
        </w:rPr>
        <w:t>un título distinto</w:t>
      </w:r>
      <w:r w:rsidR="00F7391E" w:rsidRPr="00500DB3">
        <w:rPr>
          <w:rFonts w:ascii="Times New Roman" w:hAnsi="Times New Roman"/>
          <w:szCs w:val="24"/>
        </w:rPr>
        <w:t xml:space="preserve"> del texto constitucional</w:t>
      </w:r>
      <w:r w:rsidR="00F7391E" w:rsidRPr="00500DB3">
        <w:rPr>
          <w:rStyle w:val="Refdenotaalpie"/>
          <w:rFonts w:ascii="Times New Roman" w:hAnsi="Times New Roman"/>
          <w:szCs w:val="24"/>
        </w:rPr>
        <w:footnoteReference w:id="36"/>
      </w:r>
      <w:r w:rsidR="00F7391E" w:rsidRPr="00500DB3">
        <w:rPr>
          <w:rFonts w:ascii="Times New Roman" w:hAnsi="Times New Roman"/>
          <w:szCs w:val="24"/>
        </w:rPr>
        <w:t>.</w:t>
      </w:r>
    </w:p>
    <w:p w14:paraId="03F9E278" w14:textId="1EE41AF8" w:rsidR="004143EB" w:rsidRPr="00500DB3" w:rsidRDefault="004143EB" w:rsidP="00AA2BB1">
      <w:pPr>
        <w:pStyle w:val="texto"/>
        <w:ind w:firstLine="0"/>
        <w:rPr>
          <w:rFonts w:ascii="Times New Roman" w:hAnsi="Times New Roman"/>
          <w:szCs w:val="24"/>
        </w:rPr>
      </w:pPr>
      <w:r w:rsidRPr="00500DB3">
        <w:rPr>
          <w:rFonts w:ascii="Times New Roman" w:hAnsi="Times New Roman"/>
          <w:szCs w:val="24"/>
        </w:rPr>
        <w:t xml:space="preserve">En un principio, podría pensarse que no existe un porqué para que se susciten problemas entre ambos órganos ya que sus competencias parecen estar claramente establecidas, al menos teóricamente. Sin embargo, el problema se crea en base </w:t>
      </w:r>
      <w:r w:rsidR="003C4064">
        <w:rPr>
          <w:rFonts w:ascii="Times New Roman" w:hAnsi="Times New Roman"/>
          <w:szCs w:val="24"/>
        </w:rPr>
        <w:t>al</w:t>
      </w:r>
      <w:r w:rsidRPr="00500DB3">
        <w:rPr>
          <w:rFonts w:ascii="Times New Roman" w:hAnsi="Times New Roman"/>
          <w:szCs w:val="24"/>
        </w:rPr>
        <w:t xml:space="preserve"> carácter jurídico de la Constitución</w:t>
      </w:r>
      <w:r w:rsidR="003C4064">
        <w:rPr>
          <w:rFonts w:ascii="Times New Roman" w:hAnsi="Times New Roman"/>
          <w:szCs w:val="24"/>
        </w:rPr>
        <w:t>, el cual</w:t>
      </w:r>
      <w:r w:rsidRPr="00500DB3">
        <w:rPr>
          <w:rFonts w:ascii="Times New Roman" w:hAnsi="Times New Roman"/>
          <w:szCs w:val="24"/>
        </w:rPr>
        <w:t xml:space="preserve"> hace que estos ámbitos se encuentren necesariamente unidos, pues tanto la Ley como la Constitución forman parte del ordenamiento jurídico español.</w:t>
      </w:r>
      <w:r w:rsidR="00E874E4" w:rsidRPr="00500DB3">
        <w:rPr>
          <w:rFonts w:ascii="Times New Roman" w:hAnsi="Times New Roman"/>
          <w:szCs w:val="24"/>
        </w:rPr>
        <w:t xml:space="preserve"> Este ordenamiento debe interpretarse conforme a la CE, lo cual provoca que el TC tenga que interpretar la legalidad en la medida que ésta se aleje se lo establecido por el texto constitucional</w:t>
      </w:r>
      <w:r w:rsidR="00E874E4" w:rsidRPr="00500DB3">
        <w:rPr>
          <w:rStyle w:val="Refdenotaalpie"/>
          <w:rFonts w:ascii="Times New Roman" w:hAnsi="Times New Roman"/>
          <w:szCs w:val="24"/>
        </w:rPr>
        <w:footnoteReference w:id="37"/>
      </w:r>
      <w:r w:rsidR="00E874E4" w:rsidRPr="00500DB3">
        <w:rPr>
          <w:rFonts w:ascii="Times New Roman" w:hAnsi="Times New Roman"/>
          <w:szCs w:val="24"/>
        </w:rPr>
        <w:t>.</w:t>
      </w:r>
      <w:r w:rsidR="003C4064">
        <w:rPr>
          <w:rFonts w:ascii="Times New Roman" w:hAnsi="Times New Roman"/>
          <w:szCs w:val="24"/>
        </w:rPr>
        <w:t xml:space="preserve"> En otras palabras, tanto el TC como el TS tienen que aplicar la CE y de </w:t>
      </w:r>
      <w:r w:rsidR="003C4064">
        <w:rPr>
          <w:rFonts w:ascii="Times New Roman" w:hAnsi="Times New Roman"/>
          <w:szCs w:val="24"/>
        </w:rPr>
        <w:lastRenderedPageBreak/>
        <w:t xml:space="preserve">ahí proviene la posible jurisprudencia </w:t>
      </w:r>
      <w:r w:rsidR="00F1749E">
        <w:rPr>
          <w:rFonts w:ascii="Times New Roman" w:hAnsi="Times New Roman"/>
          <w:szCs w:val="24"/>
        </w:rPr>
        <w:t>contradictoria en</w:t>
      </w:r>
      <w:r w:rsidR="003C4064">
        <w:rPr>
          <w:rFonts w:ascii="Times New Roman" w:hAnsi="Times New Roman"/>
          <w:szCs w:val="24"/>
        </w:rPr>
        <w:t xml:space="preserve"> la interpretación de los Derechos recogidos en la CE.</w:t>
      </w:r>
    </w:p>
    <w:p w14:paraId="2471CBD8" w14:textId="1E7D24D8" w:rsidR="00E874E4" w:rsidRPr="00500DB3" w:rsidRDefault="00E874E4" w:rsidP="00AA2BB1">
      <w:pPr>
        <w:pStyle w:val="texto"/>
        <w:spacing w:after="100"/>
        <w:ind w:firstLine="0"/>
        <w:rPr>
          <w:rFonts w:ascii="Times New Roman" w:hAnsi="Times New Roman"/>
          <w:szCs w:val="24"/>
        </w:rPr>
      </w:pPr>
      <w:r w:rsidRPr="00500DB3">
        <w:rPr>
          <w:rFonts w:ascii="Times New Roman" w:hAnsi="Times New Roman"/>
          <w:szCs w:val="24"/>
        </w:rPr>
        <w:t>Además, esta relación entre ambos órganos que, como hemos dicho, puede parecer claramente delimitada desde un punto de vista teórico, se ve alterada por el enunciado del art. 123 CE, el cual proclama el carácte</w:t>
      </w:r>
      <w:r w:rsidR="00EA0E20" w:rsidRPr="00500DB3">
        <w:rPr>
          <w:rFonts w:ascii="Times New Roman" w:hAnsi="Times New Roman"/>
          <w:szCs w:val="24"/>
        </w:rPr>
        <w:t xml:space="preserve">r superior del TS </w:t>
      </w:r>
      <w:r w:rsidRPr="00500DB3">
        <w:rPr>
          <w:rFonts w:ascii="Times New Roman" w:hAnsi="Times New Roman"/>
          <w:szCs w:val="24"/>
        </w:rPr>
        <w:t xml:space="preserve">en todos los órdenes </w:t>
      </w:r>
      <w:proofErr w:type="gramStart"/>
      <w:r w:rsidRPr="00500DB3">
        <w:rPr>
          <w:rFonts w:ascii="Times New Roman" w:hAnsi="Times New Roman"/>
          <w:szCs w:val="24"/>
        </w:rPr>
        <w:t>jurisdiccional</w:t>
      </w:r>
      <w:proofErr w:type="gramEnd"/>
      <w:r w:rsidRPr="00500DB3">
        <w:rPr>
          <w:rFonts w:ascii="Times New Roman" w:hAnsi="Times New Roman"/>
          <w:szCs w:val="24"/>
        </w:rPr>
        <w:t xml:space="preserve"> pero, a continuación, añade una excepción: </w:t>
      </w:r>
      <w:r w:rsidRPr="00500DB3">
        <w:rPr>
          <w:rFonts w:ascii="Times New Roman" w:hAnsi="Times New Roman"/>
          <w:i/>
          <w:szCs w:val="24"/>
        </w:rPr>
        <w:t>“salvo lo dispuesto en materia de garantías constitucionales”</w:t>
      </w:r>
      <w:r w:rsidRPr="00500DB3">
        <w:rPr>
          <w:rFonts w:ascii="Times New Roman" w:hAnsi="Times New Roman"/>
          <w:szCs w:val="24"/>
        </w:rPr>
        <w:t>.</w:t>
      </w:r>
      <w:r w:rsidR="000C5A48" w:rsidRPr="000C5A48">
        <w:rPr>
          <w:rStyle w:val="Refdenotaalpie"/>
          <w:rFonts w:ascii="Times New Roman" w:hAnsi="Times New Roman"/>
          <w:i/>
          <w:szCs w:val="24"/>
        </w:rPr>
        <w:t xml:space="preserve"> </w:t>
      </w:r>
      <w:r w:rsidR="000C5A48" w:rsidRPr="00500DB3">
        <w:rPr>
          <w:rStyle w:val="Refdenotaalpie"/>
          <w:rFonts w:ascii="Times New Roman" w:hAnsi="Times New Roman"/>
          <w:i/>
          <w:szCs w:val="24"/>
        </w:rPr>
        <w:footnoteReference w:id="38"/>
      </w:r>
    </w:p>
    <w:p w14:paraId="433903F6" w14:textId="0F483F7C" w:rsidR="00E874E4" w:rsidRDefault="00EC1693" w:rsidP="00AA2BB1">
      <w:pPr>
        <w:pStyle w:val="texto"/>
        <w:spacing w:after="100"/>
        <w:ind w:firstLine="0"/>
        <w:rPr>
          <w:rFonts w:ascii="Times New Roman" w:hAnsi="Times New Roman"/>
          <w:szCs w:val="24"/>
        </w:rPr>
      </w:pPr>
      <w:r w:rsidRPr="00500DB3">
        <w:rPr>
          <w:rFonts w:ascii="Times New Roman" w:hAnsi="Times New Roman"/>
          <w:szCs w:val="24"/>
        </w:rPr>
        <w:t>Por tanto, podemos apreciar dos órganos jurisdiccionales diferentes y con distintas c</w:t>
      </w:r>
      <w:r w:rsidR="00DD632B" w:rsidRPr="00500DB3">
        <w:rPr>
          <w:rFonts w:ascii="Times New Roman" w:hAnsi="Times New Roman"/>
          <w:szCs w:val="24"/>
        </w:rPr>
        <w:t>ompetencias: el TS</w:t>
      </w:r>
      <w:r w:rsidRPr="00500DB3">
        <w:rPr>
          <w:rFonts w:ascii="Times New Roman" w:hAnsi="Times New Roman"/>
          <w:szCs w:val="24"/>
        </w:rPr>
        <w:t>, máximo órgano del Poder Judicial, y el T</w:t>
      </w:r>
      <w:r w:rsidR="00DD632B" w:rsidRPr="00500DB3">
        <w:rPr>
          <w:rFonts w:ascii="Times New Roman" w:hAnsi="Times New Roman"/>
          <w:szCs w:val="24"/>
        </w:rPr>
        <w:t>C</w:t>
      </w:r>
      <w:r w:rsidRPr="00500DB3">
        <w:rPr>
          <w:rFonts w:ascii="Times New Roman" w:hAnsi="Times New Roman"/>
          <w:szCs w:val="24"/>
        </w:rPr>
        <w:t xml:space="preserve">, máximo órgano de la jurisdicción constitucional (jurisdicción independiente de la anterior e introducida novedosamente tras la Constitución de 1978), cuyo cometido es la defensa de la Constitución. Ambas jurisdicciones operan en un mismo ámbito de actuación y en un mismo ordenamiento jurídico. Entre estos órganos, supremos cada uno en su respectiva jurisdicción, no puede regir el principio de jerarquía, ya que uno no es superior al </w:t>
      </w:r>
      <w:r w:rsidR="00F1749E" w:rsidRPr="00500DB3">
        <w:rPr>
          <w:rFonts w:ascii="Times New Roman" w:hAnsi="Times New Roman"/>
          <w:szCs w:val="24"/>
        </w:rPr>
        <w:t>otro,</w:t>
      </w:r>
      <w:r w:rsidRPr="00500DB3">
        <w:rPr>
          <w:rFonts w:ascii="Times New Roman" w:hAnsi="Times New Roman"/>
          <w:szCs w:val="24"/>
        </w:rPr>
        <w:t xml:space="preserve"> sino que el principio que rige es el de la competencia. Esto crea diversos problemas que derivan en la aparición de distintos conflictos por la defensa de sus respectivas competencias.</w:t>
      </w:r>
    </w:p>
    <w:p w14:paraId="41FB2A71" w14:textId="4163C88A" w:rsidR="000C5A48" w:rsidRDefault="000C5A48" w:rsidP="00AA2BB1">
      <w:pPr>
        <w:pStyle w:val="texto"/>
        <w:spacing w:after="100"/>
        <w:ind w:firstLine="0"/>
        <w:rPr>
          <w:rFonts w:ascii="Times New Roman" w:hAnsi="Times New Roman"/>
          <w:szCs w:val="24"/>
        </w:rPr>
      </w:pPr>
      <w:r>
        <w:rPr>
          <w:rFonts w:ascii="Times New Roman" w:hAnsi="Times New Roman"/>
          <w:szCs w:val="24"/>
        </w:rPr>
        <w:t xml:space="preserve">Cabe destacar un apunte al respecto. Si bien es cierto que pueden darse, como acabamos de mencionar, conflictos de competencia entre ambos tribunales en materia de protección de derechos fundamentales, esto no debería de suceder en materia de interpretación de derechos. Y es que, aunque cada tribunal es el máximo órgano en su </w:t>
      </w:r>
      <w:r w:rsidR="00F1749E">
        <w:rPr>
          <w:rFonts w:ascii="Times New Roman" w:hAnsi="Times New Roman"/>
          <w:szCs w:val="24"/>
        </w:rPr>
        <w:t>jurisdicción y</w:t>
      </w:r>
      <w:r>
        <w:rPr>
          <w:rFonts w:ascii="Times New Roman" w:hAnsi="Times New Roman"/>
          <w:szCs w:val="24"/>
        </w:rPr>
        <w:t xml:space="preserve"> ninguno es superior al otro, si puede decirse que en materia de interpretación de derechos opera el principio de jerarquía siendo el TC el supremo intérprete de la CE. Por tanto, en este aspecto parece claro que no existiría relación de competencia sino de jerarquía.</w:t>
      </w:r>
    </w:p>
    <w:p w14:paraId="7C18E706" w14:textId="517A978A" w:rsidR="005C2496" w:rsidRPr="00500DB3" w:rsidRDefault="005C2496" w:rsidP="00AA2BB1">
      <w:pPr>
        <w:pStyle w:val="texto"/>
        <w:spacing w:after="100"/>
        <w:ind w:firstLine="0"/>
        <w:rPr>
          <w:rFonts w:ascii="Times New Roman" w:hAnsi="Times New Roman"/>
          <w:szCs w:val="24"/>
        </w:rPr>
      </w:pPr>
      <w:r>
        <w:rPr>
          <w:rFonts w:ascii="Times New Roman" w:hAnsi="Times New Roman"/>
          <w:szCs w:val="24"/>
        </w:rPr>
        <w:t xml:space="preserve">No obstante, </w:t>
      </w:r>
      <w:r w:rsidR="00964D9B">
        <w:rPr>
          <w:rFonts w:ascii="Times New Roman" w:hAnsi="Times New Roman"/>
          <w:szCs w:val="24"/>
        </w:rPr>
        <w:t>es necesario mencionar que con la necesaria dimensión multinivel de protección de derechos y del diálogo entre tribunales supranacionales este tema se ha ido solventando poco a poco. Sin embargo, considero necesario tenerlo en cuenta a la hora de considerar los problemas que llevaron al TC a su colapso.</w:t>
      </w:r>
    </w:p>
    <w:p w14:paraId="7D59D073" w14:textId="080530AB" w:rsidR="008F7077" w:rsidRDefault="00964D9B" w:rsidP="00AA2BB1">
      <w:pPr>
        <w:pStyle w:val="texto"/>
        <w:ind w:firstLine="0"/>
        <w:rPr>
          <w:rFonts w:ascii="Times New Roman" w:hAnsi="Times New Roman"/>
          <w:szCs w:val="24"/>
        </w:rPr>
      </w:pPr>
      <w:r>
        <w:rPr>
          <w:rFonts w:ascii="Times New Roman" w:hAnsi="Times New Roman"/>
          <w:szCs w:val="24"/>
        </w:rPr>
        <w:lastRenderedPageBreak/>
        <w:t>Veremos a continuación</w:t>
      </w:r>
      <w:r w:rsidR="00D65FA7" w:rsidRPr="00500DB3">
        <w:rPr>
          <w:rFonts w:ascii="Times New Roman" w:hAnsi="Times New Roman"/>
          <w:szCs w:val="24"/>
        </w:rPr>
        <w:t xml:space="preserve"> la configuración que estas garantías jurisdiccionales tenían antes de la reforma. E</w:t>
      </w:r>
      <w:r w:rsidR="0013040F" w:rsidRPr="00500DB3">
        <w:rPr>
          <w:rFonts w:ascii="Times New Roman" w:hAnsi="Times New Roman"/>
          <w:szCs w:val="24"/>
        </w:rPr>
        <w:t xml:space="preserve">n primer lugar, </w:t>
      </w:r>
      <w:r w:rsidR="00D65FA7" w:rsidRPr="00500DB3">
        <w:rPr>
          <w:rFonts w:ascii="Times New Roman" w:hAnsi="Times New Roman"/>
          <w:szCs w:val="24"/>
        </w:rPr>
        <w:t xml:space="preserve">trataremos </w:t>
      </w:r>
      <w:r w:rsidR="0013040F" w:rsidRPr="00500DB3">
        <w:rPr>
          <w:rFonts w:ascii="Times New Roman" w:hAnsi="Times New Roman"/>
          <w:szCs w:val="24"/>
        </w:rPr>
        <w:t>la protección de los derechos fundamentales en la jurisdicción ordinaria.</w:t>
      </w:r>
    </w:p>
    <w:p w14:paraId="799ED50B" w14:textId="6ABB9B48" w:rsidR="0013040F" w:rsidRDefault="001B5B9B" w:rsidP="00AA2BB1">
      <w:pPr>
        <w:pStyle w:val="Ttulo4"/>
      </w:pPr>
      <w:bookmarkStart w:id="67" w:name="_Toc398824201"/>
      <w:bookmarkStart w:id="68" w:name="_Toc400017048"/>
      <w:bookmarkStart w:id="69" w:name="_Toc400644276"/>
      <w:bookmarkStart w:id="70" w:name="_Toc401009632"/>
      <w:bookmarkStart w:id="71" w:name="_Toc462935760"/>
      <w:bookmarkStart w:id="72" w:name="_Toc468382144"/>
      <w:bookmarkStart w:id="73" w:name="_Toc530596834"/>
      <w:bookmarkStart w:id="74" w:name="_Toc49423598"/>
      <w:bookmarkStart w:id="75" w:name="_Toc49866475"/>
      <w:r w:rsidRPr="00500DB3">
        <w:t xml:space="preserve">La </w:t>
      </w:r>
      <w:bookmarkEnd w:id="67"/>
      <w:bookmarkEnd w:id="68"/>
      <w:bookmarkEnd w:id="69"/>
      <w:bookmarkEnd w:id="70"/>
      <w:bookmarkEnd w:id="71"/>
      <w:bookmarkEnd w:id="72"/>
      <w:r w:rsidR="007D29D3">
        <w:t>tutela preferente y sumaria ante la jurisdicción ordinaria</w:t>
      </w:r>
      <w:bookmarkEnd w:id="73"/>
      <w:bookmarkEnd w:id="74"/>
      <w:bookmarkEnd w:id="75"/>
    </w:p>
    <w:p w14:paraId="266F3F87" w14:textId="6B914353" w:rsidR="002510A5" w:rsidRPr="002510A5" w:rsidRDefault="002510A5" w:rsidP="00AA2BB1">
      <w:pPr>
        <w:pStyle w:val="Ttulo5"/>
      </w:pPr>
      <w:bookmarkStart w:id="76" w:name="_Toc530596835"/>
      <w:bookmarkStart w:id="77" w:name="_Toc49423599"/>
      <w:bookmarkStart w:id="78" w:name="_Toc49866476"/>
      <w:r>
        <w:t>La regulación constitucional de la tutela de los derechos fundamentales por la jurisdicción ordinaria</w:t>
      </w:r>
      <w:bookmarkEnd w:id="76"/>
      <w:bookmarkEnd w:id="77"/>
      <w:bookmarkEnd w:id="78"/>
    </w:p>
    <w:p w14:paraId="6830A979" w14:textId="43D54305" w:rsidR="00BF2E4C" w:rsidRPr="00500DB3" w:rsidRDefault="00BF2E4C" w:rsidP="00AA2BB1">
      <w:pPr>
        <w:pStyle w:val="texto"/>
        <w:ind w:firstLine="0"/>
        <w:rPr>
          <w:rFonts w:ascii="Times New Roman" w:hAnsi="Times New Roman"/>
          <w:szCs w:val="24"/>
        </w:rPr>
      </w:pPr>
      <w:r w:rsidRPr="00500DB3">
        <w:rPr>
          <w:rFonts w:ascii="Times New Roman" w:hAnsi="Times New Roman"/>
          <w:szCs w:val="24"/>
        </w:rPr>
        <w:t xml:space="preserve">En nuestro sistema constitucional, existe un recurso de amparo «ordinario» y un recurso de amparo «extraordinario». El primero tiene lugar ante los órdenes jurisdiccionales distintos de la jurisdicción constitucional; el segundo tiene lugar ante el Tribunal Constitucional. </w:t>
      </w:r>
      <w:r w:rsidR="00280631" w:rsidRPr="00500DB3">
        <w:rPr>
          <w:rFonts w:ascii="Times New Roman" w:hAnsi="Times New Roman"/>
          <w:szCs w:val="24"/>
        </w:rPr>
        <w:t>Atendiendo a CRUZ VILLALÓN</w:t>
      </w:r>
      <w:r w:rsidR="00280631" w:rsidRPr="00500DB3">
        <w:rPr>
          <w:rStyle w:val="Refdenotaalpie"/>
          <w:rFonts w:ascii="Times New Roman" w:hAnsi="Times New Roman"/>
          <w:szCs w:val="24"/>
        </w:rPr>
        <w:footnoteReference w:id="39"/>
      </w:r>
      <w:r w:rsidR="00280631" w:rsidRPr="00500DB3">
        <w:rPr>
          <w:rFonts w:ascii="Times New Roman" w:hAnsi="Times New Roman"/>
          <w:szCs w:val="24"/>
        </w:rPr>
        <w:t>, a</w:t>
      </w:r>
      <w:r w:rsidRPr="00500DB3">
        <w:rPr>
          <w:rFonts w:ascii="Times New Roman" w:hAnsi="Times New Roman"/>
          <w:szCs w:val="24"/>
        </w:rPr>
        <w:t xml:space="preserve">l primero se refiere la Constitución con la expresión «procedimiento basado en los principios de preferencia y sumariedad» (art. 53.2), y encontró, en un principio,  su regulación general en </w:t>
      </w:r>
      <w:r w:rsidR="00975BE2">
        <w:rPr>
          <w:rFonts w:ascii="Times New Roman" w:hAnsi="Times New Roman"/>
          <w:szCs w:val="24"/>
        </w:rPr>
        <w:t xml:space="preserve">la </w:t>
      </w:r>
      <w:r w:rsidR="00975BE2" w:rsidRPr="00975BE2">
        <w:rPr>
          <w:rFonts w:ascii="Times New Roman" w:hAnsi="Times New Roman"/>
          <w:szCs w:val="24"/>
        </w:rPr>
        <w:t>Ley 62/1978, de 26 de diciembre, de Protección Jurisdiccional de los Derechos Fundamentales de la Persona</w:t>
      </w:r>
      <w:r w:rsidR="00975BE2">
        <w:rPr>
          <w:rFonts w:ascii="Times New Roman" w:hAnsi="Times New Roman"/>
          <w:szCs w:val="24"/>
        </w:rPr>
        <w:t>, de</w:t>
      </w:r>
      <w:r w:rsidRPr="00500DB3">
        <w:rPr>
          <w:rFonts w:ascii="Times New Roman" w:hAnsi="Times New Roman"/>
          <w:szCs w:val="24"/>
        </w:rPr>
        <w:t xml:space="preserve"> carácter provisional, aparte de en otras normas específicas. Al segundo se refiere la Constitución con la expresión «recurso de amparo» (art. 53.2), pero ya la LOTC lo llamaba «recurso de amparo constitucional», en la idea, de que el innominado «procedimiento basado en los principios de preferencia y sumariedad» habría de utilizar el mismo calificativo genérico. Su carácter no necesario viene introducido por la Constitución mediante el giro «en su caso» del propio artículo 53.2 CE y mediante la especificación «en los casos y formas que la ley establezca» (art. 161.1 b) CE).</w:t>
      </w:r>
    </w:p>
    <w:p w14:paraId="42678130" w14:textId="0E18A6C6" w:rsidR="003B160D" w:rsidRPr="00500DB3" w:rsidRDefault="003B160D" w:rsidP="00AA2BB1">
      <w:pPr>
        <w:pStyle w:val="texto"/>
        <w:ind w:firstLine="0"/>
        <w:rPr>
          <w:rFonts w:ascii="Times New Roman" w:hAnsi="Times New Roman"/>
          <w:szCs w:val="24"/>
        </w:rPr>
      </w:pPr>
      <w:r w:rsidRPr="00500DB3">
        <w:rPr>
          <w:rFonts w:ascii="Times New Roman" w:hAnsi="Times New Roman"/>
          <w:szCs w:val="24"/>
        </w:rPr>
        <w:t>La principal de entre las normas d</w:t>
      </w:r>
      <w:r w:rsidR="00E56554" w:rsidRPr="00500DB3">
        <w:rPr>
          <w:rFonts w:ascii="Times New Roman" w:hAnsi="Times New Roman"/>
          <w:szCs w:val="24"/>
        </w:rPr>
        <w:t>e desarrollo del art. 53.2 CE fue</w:t>
      </w:r>
      <w:r w:rsidRPr="00500DB3">
        <w:rPr>
          <w:rFonts w:ascii="Times New Roman" w:hAnsi="Times New Roman"/>
          <w:szCs w:val="24"/>
        </w:rPr>
        <w:t xml:space="preserve"> la </w:t>
      </w:r>
      <w:r w:rsidR="005F173C">
        <w:rPr>
          <w:rFonts w:ascii="Times New Roman" w:hAnsi="Times New Roman"/>
          <w:szCs w:val="24"/>
        </w:rPr>
        <w:t xml:space="preserve">anteriormente mencionada </w:t>
      </w:r>
      <w:r w:rsidR="00975BE2">
        <w:rPr>
          <w:rFonts w:ascii="Times New Roman" w:hAnsi="Times New Roman"/>
          <w:szCs w:val="24"/>
        </w:rPr>
        <w:t>Ley 62/1978</w:t>
      </w:r>
      <w:r w:rsidRPr="00500DB3">
        <w:rPr>
          <w:rFonts w:ascii="Times New Roman" w:hAnsi="Times New Roman"/>
          <w:szCs w:val="24"/>
        </w:rPr>
        <w:t xml:space="preserve">. </w:t>
      </w:r>
      <w:r w:rsidR="00280631" w:rsidRPr="00500DB3">
        <w:rPr>
          <w:rFonts w:ascii="Times New Roman" w:hAnsi="Times New Roman"/>
          <w:szCs w:val="24"/>
        </w:rPr>
        <w:t>Según</w:t>
      </w:r>
      <w:r w:rsidR="00981591" w:rsidRPr="00500DB3">
        <w:rPr>
          <w:rFonts w:ascii="Times New Roman" w:hAnsi="Times New Roman"/>
          <w:szCs w:val="24"/>
        </w:rPr>
        <w:t xml:space="preserve"> GARCÍA MORILLO</w:t>
      </w:r>
      <w:r w:rsidR="00981591" w:rsidRPr="00500DB3">
        <w:rPr>
          <w:rStyle w:val="Refdenotaalpie"/>
          <w:rFonts w:ascii="Times New Roman" w:hAnsi="Times New Roman"/>
          <w:szCs w:val="24"/>
        </w:rPr>
        <w:footnoteReference w:id="40"/>
      </w:r>
      <w:r w:rsidR="00981591" w:rsidRPr="00500DB3">
        <w:rPr>
          <w:rFonts w:ascii="Times New Roman" w:hAnsi="Times New Roman"/>
          <w:szCs w:val="24"/>
        </w:rPr>
        <w:t>, e</w:t>
      </w:r>
      <w:r w:rsidRPr="00500DB3">
        <w:rPr>
          <w:rFonts w:ascii="Times New Roman" w:hAnsi="Times New Roman"/>
          <w:szCs w:val="24"/>
        </w:rPr>
        <w:t xml:space="preserve">sta Ley presentaba, sin </w:t>
      </w:r>
      <w:proofErr w:type="gramStart"/>
      <w:r w:rsidRPr="00500DB3">
        <w:rPr>
          <w:rFonts w:ascii="Times New Roman" w:hAnsi="Times New Roman"/>
          <w:szCs w:val="24"/>
        </w:rPr>
        <w:t>embargo</w:t>
      </w:r>
      <w:proofErr w:type="gramEnd"/>
      <w:r w:rsidRPr="00500DB3">
        <w:rPr>
          <w:rFonts w:ascii="Times New Roman" w:hAnsi="Times New Roman"/>
          <w:szCs w:val="24"/>
        </w:rPr>
        <w:t xml:space="preserve"> dos paradojas. La primera</w:t>
      </w:r>
      <w:r w:rsidR="00394768" w:rsidRPr="00500DB3">
        <w:rPr>
          <w:rFonts w:ascii="Times New Roman" w:hAnsi="Times New Roman"/>
          <w:szCs w:val="24"/>
        </w:rPr>
        <w:t xml:space="preserve"> de ellas era</w:t>
      </w:r>
      <w:r w:rsidRPr="00500DB3">
        <w:rPr>
          <w:rFonts w:ascii="Times New Roman" w:hAnsi="Times New Roman"/>
          <w:szCs w:val="24"/>
        </w:rPr>
        <w:t xml:space="preserve"> que su entrada en vigor fue anterior a la de la Constituci</w:t>
      </w:r>
      <w:r w:rsidR="00394768" w:rsidRPr="00500DB3">
        <w:rPr>
          <w:rFonts w:ascii="Times New Roman" w:hAnsi="Times New Roman"/>
          <w:szCs w:val="24"/>
        </w:rPr>
        <w:t xml:space="preserve">ón, por lo que no podía, en rigor, ser considerada norma de desarrollo de ésta. La segunda paradoja era que, a pesar de que su promulgación fue prácticamente simultáneamente a la Constitución, el ámbito material de protección que cubre no </w:t>
      </w:r>
      <w:r w:rsidR="00394768" w:rsidRPr="00500DB3">
        <w:rPr>
          <w:rFonts w:ascii="Times New Roman" w:hAnsi="Times New Roman"/>
          <w:szCs w:val="24"/>
        </w:rPr>
        <w:lastRenderedPageBreak/>
        <w:t xml:space="preserve">coincidía con el señalado </w:t>
      </w:r>
      <w:r w:rsidR="00907323" w:rsidRPr="00500DB3">
        <w:rPr>
          <w:rFonts w:ascii="Times New Roman" w:hAnsi="Times New Roman"/>
          <w:szCs w:val="24"/>
        </w:rPr>
        <w:t>en el artículo 53.2 de la Constitución</w:t>
      </w:r>
      <w:r w:rsidR="00981591" w:rsidRPr="00500DB3">
        <w:rPr>
          <w:rFonts w:ascii="Times New Roman" w:hAnsi="Times New Roman"/>
          <w:szCs w:val="24"/>
        </w:rPr>
        <w:t>.</w:t>
      </w:r>
      <w:r w:rsidR="00280631" w:rsidRPr="00500DB3">
        <w:rPr>
          <w:rFonts w:ascii="Times New Roman" w:hAnsi="Times New Roman"/>
          <w:szCs w:val="24"/>
        </w:rPr>
        <w:t xml:space="preserve"> Esta incongruencia puede obedecer probablemente, al origen de esta Ley, el cual se halla en los denominados «Pactos de la Moncloa».</w:t>
      </w:r>
      <w:r w:rsidR="00981591" w:rsidRPr="00500DB3">
        <w:rPr>
          <w:rFonts w:ascii="Times New Roman" w:hAnsi="Times New Roman"/>
          <w:szCs w:val="24"/>
        </w:rPr>
        <w:t xml:space="preserve"> </w:t>
      </w:r>
      <w:r w:rsidR="00907323" w:rsidRPr="00500DB3">
        <w:rPr>
          <w:rFonts w:ascii="Times New Roman" w:hAnsi="Times New Roman"/>
          <w:szCs w:val="24"/>
        </w:rPr>
        <w:t xml:space="preserve"> </w:t>
      </w:r>
      <w:r w:rsidR="00280631" w:rsidRPr="00500DB3">
        <w:rPr>
          <w:rFonts w:ascii="Times New Roman" w:hAnsi="Times New Roman"/>
          <w:szCs w:val="24"/>
        </w:rPr>
        <w:t>Siguiendo la línea de este autor, la inexistencia de una regulación jurídica de protección de los derechos fundamentales obligaba a la aprobación, con carácter de urgencia, de dicha normativa.</w:t>
      </w:r>
    </w:p>
    <w:p w14:paraId="3A662939" w14:textId="264DEBAE" w:rsidR="00280631" w:rsidRPr="00500DB3" w:rsidRDefault="00280631" w:rsidP="00AA2BB1">
      <w:pPr>
        <w:pStyle w:val="texto"/>
        <w:ind w:firstLine="0"/>
        <w:rPr>
          <w:rFonts w:ascii="Times New Roman" w:hAnsi="Times New Roman"/>
          <w:szCs w:val="24"/>
        </w:rPr>
      </w:pPr>
      <w:r w:rsidRPr="00500DB3">
        <w:rPr>
          <w:rFonts w:ascii="Times New Roman" w:hAnsi="Times New Roman"/>
          <w:szCs w:val="24"/>
        </w:rPr>
        <w:t>Por tanto, con carácter provisional y a la espera de la aprobación de la Constitución, se aprob</w:t>
      </w:r>
      <w:r w:rsidR="00A502A3" w:rsidRPr="00500DB3">
        <w:rPr>
          <w:rFonts w:ascii="Times New Roman" w:hAnsi="Times New Roman"/>
          <w:szCs w:val="24"/>
        </w:rPr>
        <w:t>ó la Ley 62/</w:t>
      </w:r>
      <w:r w:rsidR="00975BE2">
        <w:rPr>
          <w:rFonts w:ascii="Times New Roman" w:hAnsi="Times New Roman"/>
          <w:szCs w:val="24"/>
        </w:rPr>
        <w:t>19</w:t>
      </w:r>
      <w:r w:rsidR="00A502A3" w:rsidRPr="00500DB3">
        <w:rPr>
          <w:rFonts w:ascii="Times New Roman" w:hAnsi="Times New Roman"/>
          <w:szCs w:val="24"/>
        </w:rPr>
        <w:t xml:space="preserve">78. Ésta supuso una importante innovación del ordenamiento ya que reconocía auténticos derechos públicos subjetivos que fueron objeto de una tutela cualificada. </w:t>
      </w:r>
      <w:r w:rsidR="0074319B" w:rsidRPr="00500DB3">
        <w:rPr>
          <w:rFonts w:ascii="Times New Roman" w:hAnsi="Times New Roman"/>
          <w:szCs w:val="24"/>
        </w:rPr>
        <w:t>Esto explica que los derechos pr</w:t>
      </w:r>
      <w:r w:rsidR="00975BE2">
        <w:rPr>
          <w:rFonts w:ascii="Times New Roman" w:hAnsi="Times New Roman"/>
          <w:szCs w:val="24"/>
        </w:rPr>
        <w:t>otegidos por esta Ley</w:t>
      </w:r>
      <w:r w:rsidR="0074319B" w:rsidRPr="00500DB3">
        <w:rPr>
          <w:rFonts w:ascii="Times New Roman" w:hAnsi="Times New Roman"/>
          <w:szCs w:val="24"/>
        </w:rPr>
        <w:t xml:space="preserve"> no se correspondan con los de la Sección 1ª del Capítulo 2º del Título I de la Constitución, sino que </w:t>
      </w:r>
      <w:r w:rsidR="00F1749E" w:rsidRPr="00500DB3">
        <w:rPr>
          <w:rFonts w:ascii="Times New Roman" w:hAnsi="Times New Roman"/>
          <w:szCs w:val="24"/>
        </w:rPr>
        <w:t>obedezcan al</w:t>
      </w:r>
      <w:r w:rsidR="0074319B" w:rsidRPr="00500DB3">
        <w:rPr>
          <w:rFonts w:ascii="Times New Roman" w:hAnsi="Times New Roman"/>
          <w:szCs w:val="24"/>
        </w:rPr>
        <w:t xml:space="preserve"> elenco expresamente declarado como necesitado de urgente protección en los </w:t>
      </w:r>
      <w:r w:rsidR="00D410F8" w:rsidRPr="00500DB3">
        <w:rPr>
          <w:rFonts w:ascii="Times New Roman" w:hAnsi="Times New Roman"/>
          <w:szCs w:val="24"/>
        </w:rPr>
        <w:t>citados Pactos de la Moncloa. Éstos coinciden, no de manera casual, con los derechos fundamentales de mayor contenido político</w:t>
      </w:r>
      <w:r w:rsidR="00D410F8" w:rsidRPr="00500DB3">
        <w:rPr>
          <w:rStyle w:val="Refdenotaalpie"/>
          <w:rFonts w:ascii="Times New Roman" w:hAnsi="Times New Roman"/>
          <w:szCs w:val="24"/>
        </w:rPr>
        <w:footnoteReference w:id="41"/>
      </w:r>
      <w:r w:rsidR="00D410F8" w:rsidRPr="00500DB3">
        <w:rPr>
          <w:rFonts w:ascii="Times New Roman" w:hAnsi="Times New Roman"/>
          <w:szCs w:val="24"/>
        </w:rPr>
        <w:t xml:space="preserve">. </w:t>
      </w:r>
    </w:p>
    <w:p w14:paraId="67DF2584" w14:textId="0069438E" w:rsidR="00981591" w:rsidRPr="00500DB3" w:rsidRDefault="008740B6" w:rsidP="00AA2BB1">
      <w:pPr>
        <w:pStyle w:val="texto"/>
        <w:ind w:firstLine="0"/>
        <w:rPr>
          <w:rFonts w:ascii="Times New Roman" w:hAnsi="Times New Roman"/>
          <w:szCs w:val="24"/>
        </w:rPr>
      </w:pPr>
      <w:r w:rsidRPr="00500DB3">
        <w:rPr>
          <w:rFonts w:ascii="Times New Roman" w:hAnsi="Times New Roman"/>
          <w:szCs w:val="24"/>
        </w:rPr>
        <w:t>Debido a la discordancia que poseía la Ley 62/</w:t>
      </w:r>
      <w:r w:rsidR="00975BE2">
        <w:rPr>
          <w:rFonts w:ascii="Times New Roman" w:hAnsi="Times New Roman"/>
          <w:szCs w:val="24"/>
        </w:rPr>
        <w:t>19</w:t>
      </w:r>
      <w:r w:rsidRPr="00500DB3">
        <w:rPr>
          <w:rFonts w:ascii="Times New Roman" w:hAnsi="Times New Roman"/>
          <w:szCs w:val="24"/>
        </w:rPr>
        <w:t xml:space="preserve">78 con la Constitución, ésta incluyó una Disposición Final cuyo contenido recogía la posibilidad de </w:t>
      </w:r>
      <w:r w:rsidR="00F1749E" w:rsidRPr="00500DB3">
        <w:rPr>
          <w:rFonts w:ascii="Times New Roman" w:hAnsi="Times New Roman"/>
          <w:szCs w:val="24"/>
        </w:rPr>
        <w:t>que,</w:t>
      </w:r>
      <w:r w:rsidRPr="00500DB3">
        <w:rPr>
          <w:rFonts w:ascii="Times New Roman" w:hAnsi="Times New Roman"/>
          <w:szCs w:val="24"/>
        </w:rPr>
        <w:t xml:space="preserve"> en los dos meses </w:t>
      </w:r>
      <w:r w:rsidR="00F1749E" w:rsidRPr="00500DB3">
        <w:rPr>
          <w:rFonts w:ascii="Times New Roman" w:hAnsi="Times New Roman"/>
          <w:szCs w:val="24"/>
        </w:rPr>
        <w:t>siguientes a</w:t>
      </w:r>
      <w:r w:rsidRPr="00500DB3">
        <w:rPr>
          <w:rFonts w:ascii="Times New Roman" w:hAnsi="Times New Roman"/>
          <w:szCs w:val="24"/>
        </w:rPr>
        <w:t xml:space="preserve"> la entrada en vigor de la misma, el Gobierno</w:t>
      </w:r>
      <w:r w:rsidR="00CB1AE6" w:rsidRPr="00500DB3">
        <w:rPr>
          <w:rFonts w:ascii="Times New Roman" w:hAnsi="Times New Roman"/>
          <w:szCs w:val="24"/>
        </w:rPr>
        <w:t>,</w:t>
      </w:r>
      <w:r w:rsidRPr="00500DB3">
        <w:rPr>
          <w:rFonts w:ascii="Times New Roman" w:hAnsi="Times New Roman"/>
          <w:szCs w:val="24"/>
        </w:rPr>
        <w:t xml:space="preserve"> mediante Decreto-Legislativo</w:t>
      </w:r>
      <w:r w:rsidR="00CB1AE6" w:rsidRPr="00500DB3">
        <w:rPr>
          <w:rFonts w:ascii="Times New Roman" w:hAnsi="Times New Roman"/>
          <w:szCs w:val="24"/>
        </w:rPr>
        <w:t>,</w:t>
      </w:r>
      <w:r w:rsidRPr="00500DB3">
        <w:rPr>
          <w:rFonts w:ascii="Times New Roman" w:hAnsi="Times New Roman"/>
          <w:szCs w:val="24"/>
        </w:rPr>
        <w:t xml:space="preserve"> previa autorizac</w:t>
      </w:r>
      <w:r w:rsidR="00CB1AE6" w:rsidRPr="00500DB3">
        <w:rPr>
          <w:rFonts w:ascii="Times New Roman" w:hAnsi="Times New Roman"/>
          <w:szCs w:val="24"/>
        </w:rPr>
        <w:t>ión del Consejo de Estado, podría</w:t>
      </w:r>
      <w:r w:rsidRPr="00500DB3">
        <w:rPr>
          <w:rFonts w:ascii="Times New Roman" w:hAnsi="Times New Roman"/>
          <w:szCs w:val="24"/>
        </w:rPr>
        <w:t xml:space="preserve"> incorporar al ámbito de protección de esta Ley los nuevos derechos constitucionalmente declarados que sean susceptibles de ella.</w:t>
      </w:r>
    </w:p>
    <w:p w14:paraId="149574D4" w14:textId="25EFA3B1" w:rsidR="00CB1AE6" w:rsidRPr="00500DB3" w:rsidRDefault="00CB1AE6" w:rsidP="00AA2BB1">
      <w:pPr>
        <w:pStyle w:val="texto"/>
        <w:ind w:firstLine="0"/>
        <w:rPr>
          <w:rFonts w:ascii="Times New Roman" w:hAnsi="Times New Roman"/>
          <w:szCs w:val="24"/>
        </w:rPr>
      </w:pPr>
      <w:r w:rsidRPr="00500DB3">
        <w:rPr>
          <w:rFonts w:ascii="Times New Roman" w:hAnsi="Times New Roman"/>
          <w:szCs w:val="24"/>
        </w:rPr>
        <w:t>Esta habilitación dada al Gobierno se utilizó de tal manera que el Decreto Legislativo 1/</w:t>
      </w:r>
      <w:r w:rsidR="00975BE2">
        <w:rPr>
          <w:rFonts w:ascii="Times New Roman" w:hAnsi="Times New Roman"/>
          <w:szCs w:val="24"/>
        </w:rPr>
        <w:t>19</w:t>
      </w:r>
      <w:r w:rsidRPr="00500DB3">
        <w:rPr>
          <w:rFonts w:ascii="Times New Roman" w:hAnsi="Times New Roman"/>
          <w:szCs w:val="24"/>
        </w:rPr>
        <w:t>79, de 20 de febrero, amplió el número de derechos fundamentales protegidos por la Ley 62/</w:t>
      </w:r>
      <w:r w:rsidR="00975BE2">
        <w:rPr>
          <w:rFonts w:ascii="Times New Roman" w:hAnsi="Times New Roman"/>
          <w:szCs w:val="24"/>
        </w:rPr>
        <w:t>19</w:t>
      </w:r>
      <w:r w:rsidRPr="00500DB3">
        <w:rPr>
          <w:rFonts w:ascii="Times New Roman" w:hAnsi="Times New Roman"/>
          <w:szCs w:val="24"/>
        </w:rPr>
        <w:t xml:space="preserve">78.  </w:t>
      </w:r>
      <w:r w:rsidR="0020357B" w:rsidRPr="00500DB3">
        <w:rPr>
          <w:rFonts w:ascii="Times New Roman" w:hAnsi="Times New Roman"/>
          <w:szCs w:val="24"/>
        </w:rPr>
        <w:t xml:space="preserve">Sin embargo, este Decreto-Legislativo no amplió la cobertura de la Ley a todos los derechos mencionados en el artículo 53.2 de la Constitución, sino sólo a algunos. Por todo ello, tras la promulgación de este Decreto-Legislativo la regulación legal seguía sin ser acorde al contenido constitucional. </w:t>
      </w:r>
    </w:p>
    <w:p w14:paraId="5C57A92C" w14:textId="068D9B4C" w:rsidR="0020357B" w:rsidRPr="00500DB3" w:rsidRDefault="00F3549B" w:rsidP="00AA2BB1">
      <w:pPr>
        <w:pStyle w:val="texto"/>
        <w:ind w:firstLine="0"/>
        <w:rPr>
          <w:rFonts w:ascii="Times New Roman" w:hAnsi="Times New Roman"/>
          <w:szCs w:val="24"/>
        </w:rPr>
      </w:pPr>
      <w:r>
        <w:rPr>
          <w:rFonts w:ascii="Times New Roman" w:hAnsi="Times New Roman"/>
          <w:szCs w:val="24"/>
        </w:rPr>
        <w:t>Con la aproba</w:t>
      </w:r>
      <w:r w:rsidR="0020357B" w:rsidRPr="00500DB3">
        <w:rPr>
          <w:rFonts w:ascii="Times New Roman" w:hAnsi="Times New Roman"/>
          <w:szCs w:val="24"/>
        </w:rPr>
        <w:t>ción de la Ley Orgánica 2/</w:t>
      </w:r>
      <w:r w:rsidR="00975BE2">
        <w:rPr>
          <w:rFonts w:ascii="Times New Roman" w:hAnsi="Times New Roman"/>
          <w:szCs w:val="24"/>
        </w:rPr>
        <w:t>19</w:t>
      </w:r>
      <w:r w:rsidR="0020357B" w:rsidRPr="00500DB3">
        <w:rPr>
          <w:rFonts w:ascii="Times New Roman" w:hAnsi="Times New Roman"/>
          <w:szCs w:val="24"/>
        </w:rPr>
        <w:t xml:space="preserve">79, </w:t>
      </w:r>
      <w:r w:rsidR="00975BE2">
        <w:rPr>
          <w:rFonts w:ascii="Times New Roman" w:hAnsi="Times New Roman"/>
          <w:szCs w:val="24"/>
        </w:rPr>
        <w:t xml:space="preserve">de 3 de octubre, </w:t>
      </w:r>
      <w:r w:rsidR="0020357B" w:rsidRPr="00500DB3">
        <w:rPr>
          <w:rFonts w:ascii="Times New Roman" w:hAnsi="Times New Roman"/>
          <w:szCs w:val="24"/>
        </w:rPr>
        <w:t>del Tribunal Constitucional</w:t>
      </w:r>
      <w:r w:rsidR="00975BE2">
        <w:rPr>
          <w:rFonts w:ascii="Times New Roman" w:hAnsi="Times New Roman"/>
          <w:szCs w:val="24"/>
        </w:rPr>
        <w:t xml:space="preserve"> (en adelante LOTC)</w:t>
      </w:r>
      <w:r w:rsidR="0020357B" w:rsidRPr="00500DB3">
        <w:rPr>
          <w:rFonts w:ascii="Times New Roman" w:hAnsi="Times New Roman"/>
          <w:szCs w:val="24"/>
        </w:rPr>
        <w:t xml:space="preserve">, se solucionó esta situación. La Disposición Transitoria Segunda de esta Ley establecía que mientras no se desarrollaran las previsiones del artículo 53.2 de la Constitución para configurar el procedimiento judicial </w:t>
      </w:r>
      <w:r w:rsidR="0020357B" w:rsidRPr="00500DB3">
        <w:rPr>
          <w:rFonts w:ascii="Times New Roman" w:hAnsi="Times New Roman"/>
          <w:szCs w:val="24"/>
        </w:rPr>
        <w:lastRenderedPageBreak/>
        <w:t>de protección de los derechos y libertades fundamentales, se determinaba que la Ley 62/78 sería considerada como la vía judicial previa al amparo constitucional que exigía la LOTC. Finalmente, la Disposición Transitoria Segunda añadía que el ámbito de protección de la Ley 62/78 se entendía extendido a todos los derechos y libertades referidos en el artículo 53.2 de la Constitución.</w:t>
      </w:r>
    </w:p>
    <w:p w14:paraId="62753365" w14:textId="3530BF32"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Esta doble protección jurisdiccional cerrará el complejo círculo del sistema de garantías</w:t>
      </w:r>
      <w:r w:rsidR="009F3D1D" w:rsidRPr="00500DB3">
        <w:rPr>
          <w:rStyle w:val="Refdenotaalpie"/>
          <w:rFonts w:ascii="Times New Roman" w:hAnsi="Times New Roman"/>
          <w:szCs w:val="24"/>
        </w:rPr>
        <w:footnoteReference w:id="42"/>
      </w:r>
      <w:r w:rsidRPr="00500DB3">
        <w:rPr>
          <w:rFonts w:ascii="Times New Roman" w:hAnsi="Times New Roman"/>
          <w:szCs w:val="24"/>
        </w:rPr>
        <w:t xml:space="preserve"> que nuestra Constitución recoge para asegurar la eficacia de los derechos fundamentales.</w:t>
      </w:r>
    </w:p>
    <w:p w14:paraId="45418A33" w14:textId="6936D540"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Como hemos señalado, esta protección judicial arranca del citado artículo 53.2 CE, en el cual aparecen configurados los derechos fundamentales como derechos subjetivos susceptibles de protección mediante el recurso a los tribunales</w:t>
      </w:r>
      <w:r w:rsidR="00F3549B" w:rsidRPr="00500DB3">
        <w:rPr>
          <w:rStyle w:val="Refdenotaalpie"/>
          <w:rFonts w:ascii="Times New Roman" w:hAnsi="Times New Roman"/>
          <w:szCs w:val="24"/>
        </w:rPr>
        <w:footnoteReference w:id="43"/>
      </w:r>
      <w:r w:rsidRPr="00500DB3">
        <w:rPr>
          <w:rFonts w:ascii="Times New Roman" w:hAnsi="Times New Roman"/>
          <w:szCs w:val="24"/>
        </w:rPr>
        <w:t xml:space="preserve">. </w:t>
      </w:r>
    </w:p>
    <w:p w14:paraId="7E5F9E91" w14:textId="1FC2DC75"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 xml:space="preserve">Podemos apreciar un doble efecto en el artículo 53.2 CE: de un lado, </w:t>
      </w:r>
      <w:r w:rsidR="00F1749E" w:rsidRPr="00500DB3">
        <w:rPr>
          <w:rFonts w:ascii="Times New Roman" w:hAnsi="Times New Roman"/>
          <w:szCs w:val="24"/>
        </w:rPr>
        <w:t>recoge un</w:t>
      </w:r>
      <w:r w:rsidRPr="00500DB3">
        <w:rPr>
          <w:rFonts w:ascii="Times New Roman" w:hAnsi="Times New Roman"/>
          <w:szCs w:val="24"/>
        </w:rPr>
        <w:t xml:space="preserve"> conjunto de acciones procesales ejecutables para la defensa y protección de los derechos fundamentales. De otro lado, instituye para el ejercicio de estas acciones de tutela de las libertades públicas un procedimiento caracterizado por ser preferente y sumario</w:t>
      </w:r>
      <w:r w:rsidR="00F05F6E" w:rsidRPr="00500DB3">
        <w:rPr>
          <w:rStyle w:val="Refdenotaalpie"/>
          <w:rFonts w:ascii="Times New Roman" w:hAnsi="Times New Roman"/>
          <w:szCs w:val="24"/>
        </w:rPr>
        <w:footnoteReference w:id="44"/>
      </w:r>
      <w:r w:rsidRPr="00500DB3">
        <w:rPr>
          <w:rFonts w:ascii="Times New Roman" w:hAnsi="Times New Roman"/>
          <w:szCs w:val="24"/>
        </w:rPr>
        <w:t>. Lo distintivo de esto es que el órgano que realiza esta protección es un Juzgado o Tribunal integrado en el Poder Judicial, a diferencia del recurso de amparo, el cual es llevado a cabo por el TC</w:t>
      </w:r>
      <w:r w:rsidRPr="00500DB3">
        <w:rPr>
          <w:rStyle w:val="Refdenotaalpie"/>
          <w:rFonts w:ascii="Times New Roman" w:hAnsi="Times New Roman"/>
          <w:szCs w:val="24"/>
        </w:rPr>
        <w:footnoteReference w:id="45"/>
      </w:r>
      <w:r w:rsidRPr="00500DB3">
        <w:rPr>
          <w:rFonts w:ascii="Times New Roman" w:hAnsi="Times New Roman"/>
          <w:szCs w:val="24"/>
        </w:rPr>
        <w:t>.</w:t>
      </w:r>
    </w:p>
    <w:p w14:paraId="1E2D952C" w14:textId="3C8DDCF8" w:rsidR="0048003C" w:rsidRDefault="0065414E" w:rsidP="00AA2BB1">
      <w:pPr>
        <w:pStyle w:val="texto"/>
        <w:ind w:firstLine="0"/>
        <w:rPr>
          <w:rFonts w:ascii="Times New Roman" w:hAnsi="Times New Roman"/>
          <w:szCs w:val="24"/>
        </w:rPr>
      </w:pPr>
      <w:r w:rsidRPr="0065414E">
        <w:rPr>
          <w:rFonts w:ascii="Times New Roman" w:hAnsi="Times New Roman"/>
          <w:szCs w:val="24"/>
        </w:rPr>
        <w:t xml:space="preserve">Es interesante mencionar que, al igual que ocurrió en relación al recurso de amparo, con la aprobación y entrada en vigor de la Constitución se generó una importante discusión en torno al alcance de las notas de preferencia y sumariedad. No obstante, se llegó a la conclusión de que este concepto de preferencia hacía referencia al carácter prioritario que una resolución de este tipo debía tener ante los tribunales ordinarios. Este concepto, por tanto, implica que cuando exista la interposición de una demanda en materia de tutela de </w:t>
      </w:r>
      <w:r w:rsidRPr="0065414E">
        <w:rPr>
          <w:rFonts w:ascii="Times New Roman" w:hAnsi="Times New Roman"/>
          <w:szCs w:val="24"/>
        </w:rPr>
        <w:lastRenderedPageBreak/>
        <w:t>derechos fundamentales, su tramitación ha de tener prioridad ante cualquier otro asunto no relativo a esta materia, aunque éste haya ingresado</w:t>
      </w:r>
      <w:r>
        <w:rPr>
          <w:rFonts w:ascii="Times New Roman" w:hAnsi="Times New Roman"/>
          <w:szCs w:val="24"/>
        </w:rPr>
        <w:t xml:space="preserve"> </w:t>
      </w:r>
      <w:r w:rsidRPr="0065414E">
        <w:rPr>
          <w:rFonts w:ascii="Times New Roman" w:hAnsi="Times New Roman"/>
          <w:szCs w:val="24"/>
        </w:rPr>
        <w:t>con anterioridad</w:t>
      </w:r>
      <w:r>
        <w:rPr>
          <w:rStyle w:val="Refdenotaalpie"/>
          <w:rFonts w:ascii="Times New Roman" w:hAnsi="Times New Roman"/>
          <w:szCs w:val="24"/>
        </w:rPr>
        <w:footnoteReference w:id="46"/>
      </w:r>
      <w:r w:rsidRPr="0065414E">
        <w:rPr>
          <w:rFonts w:ascii="Times New Roman" w:hAnsi="Times New Roman"/>
          <w:szCs w:val="24"/>
        </w:rPr>
        <w:t>.</w:t>
      </w:r>
    </w:p>
    <w:p w14:paraId="55C07980" w14:textId="18783451" w:rsidR="0048003C" w:rsidRDefault="00E85EC4" w:rsidP="00AA2BB1">
      <w:pPr>
        <w:pStyle w:val="texto"/>
        <w:ind w:firstLine="0"/>
        <w:rPr>
          <w:rFonts w:ascii="Times New Roman" w:hAnsi="Times New Roman"/>
          <w:szCs w:val="24"/>
        </w:rPr>
      </w:pPr>
      <w:r w:rsidRPr="00E85EC4">
        <w:rPr>
          <w:rFonts w:ascii="Times New Roman" w:hAnsi="Times New Roman"/>
          <w:szCs w:val="24"/>
        </w:rPr>
        <w:t>Respecto al concepto de sumariedad</w:t>
      </w:r>
      <w:r w:rsidR="005A5091">
        <w:rPr>
          <w:rStyle w:val="Refdenotaalpie"/>
          <w:rFonts w:ascii="Times New Roman" w:hAnsi="Times New Roman"/>
          <w:szCs w:val="24"/>
        </w:rPr>
        <w:footnoteReference w:id="47"/>
      </w:r>
      <w:r w:rsidRPr="00E85EC4">
        <w:rPr>
          <w:rFonts w:ascii="Times New Roman" w:hAnsi="Times New Roman"/>
          <w:szCs w:val="24"/>
        </w:rPr>
        <w:t>, se entendió que éste hacía referencia a la rapidez o celeridad en el proceso de tutela de los derechos fundamentales. Por tanto, por proceso "sumario" cabe entender la exigencia constitucional de que los procesos de protección jurisdiccional sean sustancialmente rápidos</w:t>
      </w:r>
      <w:r>
        <w:rPr>
          <w:rStyle w:val="Refdenotaalpie"/>
          <w:rFonts w:ascii="Times New Roman" w:hAnsi="Times New Roman"/>
          <w:szCs w:val="24"/>
        </w:rPr>
        <w:footnoteReference w:id="48"/>
      </w:r>
      <w:r w:rsidRPr="00E85EC4">
        <w:rPr>
          <w:rFonts w:ascii="Times New Roman" w:hAnsi="Times New Roman"/>
          <w:szCs w:val="24"/>
        </w:rPr>
        <w:t>.</w:t>
      </w:r>
    </w:p>
    <w:p w14:paraId="1321073B" w14:textId="53E8385F" w:rsidR="007C16CD" w:rsidRDefault="007C16CD" w:rsidP="00AA2BB1">
      <w:pPr>
        <w:pStyle w:val="texto"/>
        <w:ind w:firstLine="0"/>
        <w:rPr>
          <w:rFonts w:ascii="Times New Roman" w:hAnsi="Times New Roman"/>
          <w:szCs w:val="24"/>
        </w:rPr>
      </w:pPr>
      <w:r w:rsidRPr="007C16CD">
        <w:rPr>
          <w:rFonts w:ascii="Times New Roman" w:hAnsi="Times New Roman"/>
          <w:szCs w:val="24"/>
        </w:rPr>
        <w:t xml:space="preserve">En base a lo anterior, frente a la vulneración de un derecho o libertad fundamental de los expresamente recogidos en el art. 53.2 CE, el Legislador debe establecer un </w:t>
      </w:r>
      <w:r w:rsidR="00F1749E" w:rsidRPr="007C16CD">
        <w:rPr>
          <w:rFonts w:ascii="Times New Roman" w:hAnsi="Times New Roman"/>
          <w:szCs w:val="24"/>
        </w:rPr>
        <w:t>procedimiento con</w:t>
      </w:r>
      <w:r w:rsidRPr="007C16CD">
        <w:rPr>
          <w:rFonts w:ascii="Times New Roman" w:hAnsi="Times New Roman"/>
          <w:szCs w:val="24"/>
        </w:rPr>
        <w:t xml:space="preserve"> carácter prioritario, frente a cualquier otro</w:t>
      </w:r>
      <w:r>
        <w:rPr>
          <w:rFonts w:ascii="Times New Roman" w:hAnsi="Times New Roman"/>
          <w:szCs w:val="24"/>
        </w:rPr>
        <w:t xml:space="preserve"> </w:t>
      </w:r>
      <w:r w:rsidRPr="007C16CD">
        <w:rPr>
          <w:rFonts w:ascii="Times New Roman" w:hAnsi="Times New Roman"/>
          <w:szCs w:val="24"/>
        </w:rPr>
        <w:t>procedimiento, y que restituya con rapidez el derecho fundamental que se estime vulnerado.</w:t>
      </w:r>
    </w:p>
    <w:p w14:paraId="35530AED" w14:textId="37CA6CBB" w:rsidR="009D1199" w:rsidRDefault="009D1199" w:rsidP="00AA2BB1">
      <w:pPr>
        <w:pStyle w:val="texto"/>
        <w:ind w:firstLine="0"/>
        <w:rPr>
          <w:rFonts w:ascii="Times New Roman" w:hAnsi="Times New Roman"/>
          <w:szCs w:val="24"/>
        </w:rPr>
      </w:pPr>
      <w:r w:rsidRPr="00500DB3">
        <w:rPr>
          <w:rFonts w:ascii="Times New Roman" w:hAnsi="Times New Roman"/>
          <w:szCs w:val="24"/>
        </w:rPr>
        <w:t>En cuanto al desarrollo de esta pr</w:t>
      </w:r>
      <w:r w:rsidR="002510A5">
        <w:rPr>
          <w:rFonts w:ascii="Times New Roman" w:hAnsi="Times New Roman"/>
          <w:szCs w:val="24"/>
        </w:rPr>
        <w:t>otección, como hemos dicho, la</w:t>
      </w:r>
      <w:r w:rsidRPr="00500DB3">
        <w:rPr>
          <w:rFonts w:ascii="Times New Roman" w:hAnsi="Times New Roman"/>
          <w:szCs w:val="24"/>
        </w:rPr>
        <w:t xml:space="preserve"> tutela de los derechos fundamentales llevada a cabo por jueces o tribunales ordinario</w:t>
      </w:r>
      <w:r w:rsidR="002510A5">
        <w:rPr>
          <w:rFonts w:ascii="Times New Roman" w:hAnsi="Times New Roman"/>
          <w:szCs w:val="24"/>
        </w:rPr>
        <w:t xml:space="preserve">s, encontramos en nuestro </w:t>
      </w:r>
      <w:r w:rsidR="004826D9">
        <w:rPr>
          <w:rFonts w:ascii="Times New Roman" w:hAnsi="Times New Roman"/>
          <w:szCs w:val="24"/>
        </w:rPr>
        <w:t>sistema jurídico</w:t>
      </w:r>
      <w:r w:rsidRPr="00500DB3">
        <w:rPr>
          <w:rFonts w:ascii="Times New Roman" w:hAnsi="Times New Roman"/>
          <w:szCs w:val="24"/>
        </w:rPr>
        <w:t xml:space="preserve"> un complejo </w:t>
      </w:r>
      <w:r w:rsidR="004826D9">
        <w:rPr>
          <w:rFonts w:ascii="Times New Roman" w:hAnsi="Times New Roman"/>
          <w:szCs w:val="24"/>
        </w:rPr>
        <w:t xml:space="preserve">entramado de </w:t>
      </w:r>
      <w:r w:rsidRPr="00500DB3">
        <w:rPr>
          <w:rFonts w:ascii="Times New Roman" w:hAnsi="Times New Roman"/>
          <w:szCs w:val="24"/>
        </w:rPr>
        <w:t>acciones procesal</w:t>
      </w:r>
      <w:r w:rsidR="004826D9">
        <w:rPr>
          <w:rFonts w:ascii="Times New Roman" w:hAnsi="Times New Roman"/>
          <w:szCs w:val="24"/>
        </w:rPr>
        <w:t>es, complementarias entre ellas y destinadas a la salvaguarda de estos derechos.</w:t>
      </w:r>
    </w:p>
    <w:p w14:paraId="4DD6EF74" w14:textId="4986D274" w:rsidR="009D1199" w:rsidRDefault="009D1199" w:rsidP="00AA2BB1">
      <w:pPr>
        <w:pStyle w:val="texto"/>
        <w:ind w:firstLine="0"/>
        <w:rPr>
          <w:rFonts w:ascii="Times New Roman" w:hAnsi="Times New Roman"/>
          <w:szCs w:val="24"/>
        </w:rPr>
      </w:pPr>
      <w:r w:rsidRPr="00ED376D">
        <w:rPr>
          <w:rFonts w:ascii="Times New Roman" w:hAnsi="Times New Roman"/>
          <w:szCs w:val="24"/>
        </w:rPr>
        <w:t xml:space="preserve">Actualmente, estos mecanismos de defensa de los derechos fundamentales se encuentran adecuados a la estructura procesal española. Por este motivo estos mecanismos </w:t>
      </w:r>
      <w:r w:rsidR="00ED376D">
        <w:rPr>
          <w:rFonts w:ascii="Times New Roman" w:hAnsi="Times New Roman"/>
          <w:szCs w:val="24"/>
        </w:rPr>
        <w:t>se han configurado de modo que existe un procedimiento</w:t>
      </w:r>
      <w:r w:rsidRPr="00ED376D">
        <w:rPr>
          <w:rFonts w:ascii="Times New Roman" w:hAnsi="Times New Roman"/>
          <w:szCs w:val="24"/>
        </w:rPr>
        <w:t xml:space="preserve"> </w:t>
      </w:r>
      <w:r w:rsidR="00F1749E" w:rsidRPr="00ED376D">
        <w:rPr>
          <w:rFonts w:ascii="Times New Roman" w:hAnsi="Times New Roman"/>
          <w:szCs w:val="24"/>
        </w:rPr>
        <w:t>e</w:t>
      </w:r>
      <w:r w:rsidR="00F1749E">
        <w:rPr>
          <w:rFonts w:ascii="Times New Roman" w:hAnsi="Times New Roman"/>
          <w:szCs w:val="24"/>
        </w:rPr>
        <w:t xml:space="preserve">specífico </w:t>
      </w:r>
      <w:r w:rsidR="00F1749E" w:rsidRPr="00ED376D">
        <w:rPr>
          <w:rFonts w:ascii="Times New Roman" w:hAnsi="Times New Roman"/>
          <w:szCs w:val="24"/>
        </w:rPr>
        <w:t>para</w:t>
      </w:r>
      <w:r w:rsidR="00ED376D">
        <w:rPr>
          <w:rFonts w:ascii="Times New Roman" w:hAnsi="Times New Roman"/>
          <w:szCs w:val="24"/>
        </w:rPr>
        <w:t xml:space="preserve"> la defensa de los derechos fundamentales </w:t>
      </w:r>
      <w:r w:rsidRPr="00ED376D">
        <w:rPr>
          <w:rFonts w:ascii="Times New Roman" w:hAnsi="Times New Roman"/>
          <w:szCs w:val="24"/>
        </w:rPr>
        <w:t>en cada orden jurisdiccional. Es por ello que no se da</w:t>
      </w:r>
      <w:r w:rsidR="00ED376D">
        <w:rPr>
          <w:rFonts w:ascii="Times New Roman" w:hAnsi="Times New Roman"/>
          <w:szCs w:val="24"/>
        </w:rPr>
        <w:t xml:space="preserve"> la existencia de un único procedimiento para juzgar los casos relativos a la vulneración</w:t>
      </w:r>
      <w:r w:rsidRPr="00ED376D">
        <w:rPr>
          <w:rFonts w:ascii="Times New Roman" w:hAnsi="Times New Roman"/>
          <w:szCs w:val="24"/>
        </w:rPr>
        <w:t xml:space="preserve"> derechos fundamentales, sino que hay procedimientos especiales </w:t>
      </w:r>
      <w:r w:rsidR="00ED376D">
        <w:rPr>
          <w:rFonts w:ascii="Times New Roman" w:hAnsi="Times New Roman"/>
          <w:szCs w:val="24"/>
        </w:rPr>
        <w:t xml:space="preserve">en cada orden </w:t>
      </w:r>
      <w:r w:rsidRPr="00ED376D">
        <w:rPr>
          <w:rFonts w:ascii="Times New Roman" w:hAnsi="Times New Roman"/>
          <w:szCs w:val="24"/>
        </w:rPr>
        <w:t>establecidos previamente por las leyes para los casos de denuncia de violación de estos derechos.</w:t>
      </w:r>
    </w:p>
    <w:p w14:paraId="277F01B8" w14:textId="3B3E3F8A" w:rsidR="002510A5" w:rsidRPr="00500DB3" w:rsidRDefault="00995309" w:rsidP="00AA2BB1">
      <w:pPr>
        <w:pStyle w:val="Ttulo5"/>
      </w:pPr>
      <w:bookmarkStart w:id="79" w:name="_Toc530596836"/>
      <w:bookmarkStart w:id="80" w:name="_Toc49423600"/>
      <w:bookmarkStart w:id="81" w:name="_Toc49866477"/>
      <w:r>
        <w:lastRenderedPageBreak/>
        <w:t>D</w:t>
      </w:r>
      <w:r w:rsidR="002510A5">
        <w:t>esarrollo legislativo de la tutela judicial de los derechos fundamentales</w:t>
      </w:r>
      <w:bookmarkEnd w:id="79"/>
      <w:bookmarkEnd w:id="80"/>
      <w:bookmarkEnd w:id="81"/>
    </w:p>
    <w:p w14:paraId="44E019CA" w14:textId="1C5AC1DB" w:rsidR="00514B3D" w:rsidRDefault="004826D9" w:rsidP="00AA2BB1">
      <w:pPr>
        <w:pStyle w:val="texto"/>
        <w:ind w:firstLine="0"/>
        <w:rPr>
          <w:rFonts w:ascii="Times New Roman" w:hAnsi="Times New Roman"/>
          <w:szCs w:val="24"/>
        </w:rPr>
      </w:pPr>
      <w:r>
        <w:rPr>
          <w:rFonts w:ascii="Times New Roman" w:hAnsi="Times New Roman"/>
          <w:szCs w:val="24"/>
        </w:rPr>
        <w:t xml:space="preserve">La tutela judicial de los derechos fundamentales en la jurisdicción ordinaria se encontraba regulada </w:t>
      </w:r>
      <w:r w:rsidR="009D1199" w:rsidRPr="00500DB3">
        <w:rPr>
          <w:rFonts w:ascii="Times New Roman" w:hAnsi="Times New Roman"/>
          <w:szCs w:val="24"/>
        </w:rPr>
        <w:t xml:space="preserve">de manera defectuosa </w:t>
      </w:r>
      <w:r>
        <w:rPr>
          <w:rFonts w:ascii="Times New Roman" w:hAnsi="Times New Roman"/>
          <w:szCs w:val="24"/>
        </w:rPr>
        <w:t xml:space="preserve">por una Ley preconstitucional, aunque elaborada y aprobada casi al mismo tiempo que nuestro texto constitucional. La </w:t>
      </w:r>
      <w:r w:rsidR="009D1199" w:rsidRPr="00500DB3">
        <w:rPr>
          <w:rFonts w:ascii="Times New Roman" w:hAnsi="Times New Roman"/>
          <w:szCs w:val="24"/>
        </w:rPr>
        <w:t xml:space="preserve">Ley 62/1978, </w:t>
      </w:r>
      <w:r>
        <w:rPr>
          <w:rFonts w:ascii="Times New Roman" w:hAnsi="Times New Roman"/>
          <w:szCs w:val="24"/>
        </w:rPr>
        <w:t xml:space="preserve">de 26 de diciembre, </w:t>
      </w:r>
      <w:r w:rsidR="009D1199" w:rsidRPr="00500DB3">
        <w:rPr>
          <w:rFonts w:ascii="Times New Roman" w:hAnsi="Times New Roman"/>
          <w:szCs w:val="24"/>
        </w:rPr>
        <w:t>de Protección Jurisdiccional de los Derech</w:t>
      </w:r>
      <w:r>
        <w:rPr>
          <w:rFonts w:ascii="Times New Roman" w:hAnsi="Times New Roman"/>
          <w:szCs w:val="24"/>
        </w:rPr>
        <w:t>os Fundamentales de la Persona, como ya hemos dicho, se creó con un ánimo de provisionalidad</w:t>
      </w:r>
      <w:r w:rsidR="00514B3D">
        <w:rPr>
          <w:rFonts w:ascii="Times New Roman" w:hAnsi="Times New Roman"/>
          <w:szCs w:val="24"/>
        </w:rPr>
        <w:t xml:space="preserve"> hasta que el procedimiento preferente y sumario del artículo 53.2 CE fuese regulado. Sin embargo, esta regulación tardó demasiado en producirse. La Ley contenía</w:t>
      </w:r>
      <w:r w:rsidR="009D1199" w:rsidRPr="00500DB3">
        <w:rPr>
          <w:rFonts w:ascii="Times New Roman" w:hAnsi="Times New Roman"/>
          <w:szCs w:val="24"/>
        </w:rPr>
        <w:t xml:space="preserve"> tres vías de protección de los derechos fundamentales -penal, civil y contencioso administrativa- siendo características comunes de todas ellas la reducción de los plazos, la supresión de trámites y </w:t>
      </w:r>
      <w:r w:rsidR="00F1749E" w:rsidRPr="00500DB3">
        <w:rPr>
          <w:rFonts w:ascii="Times New Roman" w:hAnsi="Times New Roman"/>
          <w:szCs w:val="24"/>
        </w:rPr>
        <w:t>la escasez</w:t>
      </w:r>
      <w:r w:rsidR="009D1199" w:rsidRPr="00500DB3">
        <w:rPr>
          <w:rFonts w:ascii="Times New Roman" w:hAnsi="Times New Roman"/>
          <w:szCs w:val="24"/>
        </w:rPr>
        <w:t xml:space="preserve"> de formalidades. </w:t>
      </w:r>
      <w:r w:rsidR="00514B3D">
        <w:rPr>
          <w:rFonts w:ascii="Times New Roman" w:hAnsi="Times New Roman"/>
          <w:szCs w:val="24"/>
        </w:rPr>
        <w:t xml:space="preserve">Por su parte, </w:t>
      </w:r>
      <w:r w:rsidR="00514B3D" w:rsidRPr="00514B3D">
        <w:rPr>
          <w:rFonts w:ascii="Times New Roman" w:hAnsi="Times New Roman"/>
          <w:szCs w:val="24"/>
        </w:rPr>
        <w:t xml:space="preserve">mediante </w:t>
      </w:r>
      <w:r w:rsidR="00514B3D">
        <w:rPr>
          <w:rFonts w:ascii="Times New Roman" w:hAnsi="Times New Roman"/>
          <w:szCs w:val="24"/>
        </w:rPr>
        <w:t xml:space="preserve">la </w:t>
      </w:r>
      <w:r w:rsidR="00514B3D" w:rsidRPr="00514B3D">
        <w:rPr>
          <w:rFonts w:ascii="Times New Roman" w:hAnsi="Times New Roman"/>
          <w:szCs w:val="24"/>
        </w:rPr>
        <w:t>Ley Orgánica 2/1989, de 13 de abril, Procesal</w:t>
      </w:r>
      <w:r w:rsidR="00514B3D">
        <w:rPr>
          <w:rFonts w:ascii="Times New Roman" w:hAnsi="Times New Roman"/>
          <w:szCs w:val="24"/>
        </w:rPr>
        <w:t xml:space="preserve"> </w:t>
      </w:r>
      <w:r w:rsidR="00514B3D" w:rsidRPr="00514B3D">
        <w:rPr>
          <w:rFonts w:ascii="Times New Roman" w:hAnsi="Times New Roman"/>
          <w:szCs w:val="24"/>
        </w:rPr>
        <w:t xml:space="preserve">Militar y </w:t>
      </w:r>
      <w:r w:rsidR="00514B3D">
        <w:rPr>
          <w:rFonts w:ascii="Times New Roman" w:hAnsi="Times New Roman"/>
          <w:szCs w:val="24"/>
        </w:rPr>
        <w:t xml:space="preserve">el </w:t>
      </w:r>
      <w:r w:rsidR="00514B3D" w:rsidRPr="00514B3D">
        <w:rPr>
          <w:rFonts w:ascii="Times New Roman" w:hAnsi="Times New Roman"/>
          <w:szCs w:val="24"/>
        </w:rPr>
        <w:t>Real Decreto Legislativo 2/1995, de 7 de abril, que regula el</w:t>
      </w:r>
      <w:r w:rsidR="00514B3D">
        <w:rPr>
          <w:rFonts w:ascii="Times New Roman" w:hAnsi="Times New Roman"/>
          <w:szCs w:val="24"/>
        </w:rPr>
        <w:t xml:space="preserve"> Procedimiento Laboral se desarrollaron</w:t>
      </w:r>
      <w:r w:rsidR="00514B3D" w:rsidRPr="00514B3D">
        <w:rPr>
          <w:rFonts w:ascii="Times New Roman" w:hAnsi="Times New Roman"/>
          <w:szCs w:val="24"/>
        </w:rPr>
        <w:t xml:space="preserve"> los distintos procesos especiales</w:t>
      </w:r>
      <w:r w:rsidR="00514B3D">
        <w:rPr>
          <w:rFonts w:ascii="Times New Roman" w:hAnsi="Times New Roman"/>
          <w:szCs w:val="24"/>
        </w:rPr>
        <w:t xml:space="preserve"> </w:t>
      </w:r>
      <w:r w:rsidR="00514B3D" w:rsidRPr="00514B3D">
        <w:rPr>
          <w:rFonts w:ascii="Times New Roman" w:hAnsi="Times New Roman"/>
          <w:szCs w:val="24"/>
        </w:rPr>
        <w:t xml:space="preserve">para la tutela de los </w:t>
      </w:r>
      <w:r w:rsidR="00514B3D">
        <w:rPr>
          <w:rFonts w:ascii="Times New Roman" w:hAnsi="Times New Roman"/>
          <w:szCs w:val="24"/>
        </w:rPr>
        <w:t>derechos fundamentales en estas</w:t>
      </w:r>
      <w:r w:rsidR="00514B3D" w:rsidRPr="00514B3D">
        <w:rPr>
          <w:rFonts w:ascii="Times New Roman" w:hAnsi="Times New Roman"/>
          <w:szCs w:val="24"/>
        </w:rPr>
        <w:t xml:space="preserve"> órdenes</w:t>
      </w:r>
      <w:r w:rsidR="00514B3D">
        <w:rPr>
          <w:rFonts w:ascii="Times New Roman" w:hAnsi="Times New Roman"/>
          <w:szCs w:val="24"/>
        </w:rPr>
        <w:t xml:space="preserve"> </w:t>
      </w:r>
      <w:r w:rsidR="00514B3D" w:rsidRPr="00514B3D">
        <w:rPr>
          <w:rFonts w:ascii="Times New Roman" w:hAnsi="Times New Roman"/>
          <w:szCs w:val="24"/>
        </w:rPr>
        <w:t>jurisdiccionales.</w:t>
      </w:r>
    </w:p>
    <w:p w14:paraId="49AD0850" w14:textId="5AFDD8B1" w:rsidR="009D1199" w:rsidRPr="00500DB3" w:rsidRDefault="00514B3D" w:rsidP="00AA2BB1">
      <w:pPr>
        <w:pStyle w:val="texto"/>
        <w:ind w:firstLine="0"/>
        <w:rPr>
          <w:rFonts w:ascii="Times New Roman" w:hAnsi="Times New Roman"/>
          <w:szCs w:val="24"/>
        </w:rPr>
      </w:pPr>
      <w:r>
        <w:rPr>
          <w:rFonts w:ascii="Times New Roman" w:hAnsi="Times New Roman"/>
          <w:szCs w:val="24"/>
        </w:rPr>
        <w:t xml:space="preserve">La </w:t>
      </w:r>
      <w:r w:rsidR="009D1199" w:rsidRPr="00500DB3">
        <w:rPr>
          <w:rFonts w:ascii="Times New Roman" w:hAnsi="Times New Roman"/>
          <w:szCs w:val="24"/>
        </w:rPr>
        <w:t xml:space="preserve">Ley </w:t>
      </w:r>
      <w:r>
        <w:rPr>
          <w:rFonts w:ascii="Times New Roman" w:hAnsi="Times New Roman"/>
          <w:szCs w:val="24"/>
        </w:rPr>
        <w:t xml:space="preserve">62/1978 </w:t>
      </w:r>
      <w:r w:rsidR="009D1199" w:rsidRPr="00500DB3">
        <w:rPr>
          <w:rFonts w:ascii="Times New Roman" w:hAnsi="Times New Roman"/>
          <w:szCs w:val="24"/>
        </w:rPr>
        <w:t>fue derogada progr</w:t>
      </w:r>
      <w:r>
        <w:rPr>
          <w:rFonts w:ascii="Times New Roman" w:hAnsi="Times New Roman"/>
          <w:szCs w:val="24"/>
        </w:rPr>
        <w:t>esivamente, aunque más tarde de lo previsto</w:t>
      </w:r>
      <w:r w:rsidR="009D1199" w:rsidRPr="00500DB3">
        <w:rPr>
          <w:rFonts w:ascii="Times New Roman" w:hAnsi="Times New Roman"/>
          <w:szCs w:val="24"/>
        </w:rPr>
        <w:t>, por las leyes procesales de cada orden jurisdiccional, de forma que el procedimiento preferente y sumario de protección de los derechos fundamentales previsto en el artículo 53.2 CE quedó desarrollado normativamente por la ley procesal de cada orden jurisdiccional</w:t>
      </w:r>
      <w:r w:rsidR="009D1199" w:rsidRPr="00500DB3">
        <w:rPr>
          <w:rStyle w:val="Refdenotaalpie"/>
          <w:rFonts w:ascii="Times New Roman" w:hAnsi="Times New Roman"/>
          <w:szCs w:val="24"/>
        </w:rPr>
        <w:footnoteReference w:id="49"/>
      </w:r>
      <w:r w:rsidR="009D1199" w:rsidRPr="00500DB3">
        <w:rPr>
          <w:rFonts w:ascii="Times New Roman" w:hAnsi="Times New Roman"/>
          <w:szCs w:val="24"/>
        </w:rPr>
        <w:t>.</w:t>
      </w:r>
    </w:p>
    <w:p w14:paraId="308ECEAE" w14:textId="77777777"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 xml:space="preserve">En la jurisdicción civil, el artículo 249.2º de la Ley 1/2000, de 7 de enero, de Enjuiciamiento Civil declaró aplicable el juicio ordinario a </w:t>
      </w:r>
      <w:r w:rsidRPr="00500DB3">
        <w:rPr>
          <w:rFonts w:ascii="Times New Roman" w:hAnsi="Times New Roman"/>
          <w:i/>
          <w:szCs w:val="24"/>
        </w:rPr>
        <w:t>«las demandas que pretendan la tutela del derecho al honor, a la intimidad y a la propia imagen, y las que pidan la tutela judicial de cualquier otro derecho fundamental, salvo las que se refieran al derecho de rectificación</w:t>
      </w:r>
      <w:r w:rsidRPr="00500DB3">
        <w:rPr>
          <w:rFonts w:ascii="Times New Roman" w:hAnsi="Times New Roman"/>
          <w:szCs w:val="24"/>
        </w:rPr>
        <w:t>», quedaron de este modo derogados por la disposición derogatoria 2.3º de dicha Ley de Enjuiciamiento los artículos 11 a 15 de la Ley  62/1978, de 28 de diciembre, de protección jurisdiccional de los derechos fundamentales de la persona.</w:t>
      </w:r>
    </w:p>
    <w:p w14:paraId="5E7693BC" w14:textId="77777777" w:rsidR="00AA2BB1" w:rsidRDefault="009D1199" w:rsidP="00AA2BB1">
      <w:pPr>
        <w:pStyle w:val="texto"/>
        <w:ind w:firstLine="0"/>
        <w:rPr>
          <w:rFonts w:ascii="Times New Roman" w:hAnsi="Times New Roman"/>
          <w:szCs w:val="24"/>
        </w:rPr>
      </w:pPr>
      <w:r w:rsidRPr="00500DB3">
        <w:rPr>
          <w:rFonts w:ascii="Times New Roman" w:hAnsi="Times New Roman"/>
          <w:szCs w:val="24"/>
        </w:rPr>
        <w:t>En la jurisdicción contencioso-administrativa, el procedimiento regulado por los artículos 114 a 122 de la Ley 29/1998, de 13 de julio, reguladora de la Jurisdicción Contencioso-</w:t>
      </w:r>
      <w:r w:rsidRPr="00500DB3">
        <w:rPr>
          <w:rFonts w:ascii="Times New Roman" w:hAnsi="Times New Roman"/>
          <w:szCs w:val="24"/>
        </w:rPr>
        <w:lastRenderedPageBreak/>
        <w:t xml:space="preserve">administrativa sustituyó lo previsto por la Ley 62/1978 como amparo judicial en este orden jurisdiccional. </w:t>
      </w:r>
    </w:p>
    <w:p w14:paraId="7E99A6C6" w14:textId="68A65BFC"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 xml:space="preserve">En el ámbito social, </w:t>
      </w:r>
      <w:r w:rsidR="00F1749E">
        <w:rPr>
          <w:rFonts w:ascii="Times New Roman" w:hAnsi="Times New Roman"/>
          <w:szCs w:val="24"/>
        </w:rPr>
        <w:t>primeramente,</w:t>
      </w:r>
      <w:r w:rsidR="00ED4678">
        <w:rPr>
          <w:rFonts w:ascii="Times New Roman" w:hAnsi="Times New Roman"/>
          <w:szCs w:val="24"/>
        </w:rPr>
        <w:t xml:space="preserve"> </w:t>
      </w:r>
      <w:r w:rsidRPr="00500DB3">
        <w:rPr>
          <w:rFonts w:ascii="Times New Roman" w:hAnsi="Times New Roman"/>
          <w:szCs w:val="24"/>
        </w:rPr>
        <w:t>la Ley de Procedimiento Laboral, aprobada por Real Decreto legislativo 521/1990, de 27 de abril y la Ley Orgánica 5/1985, de 19 de junio, del Régimen Electoral General, regularon la tutela de los derechos de libertad sindical y de sufragio con arreglo a unos procedimientos preferentes y sumarios que se unieron a los ya existentes en las citadas leyes.</w:t>
      </w:r>
      <w:r w:rsidR="00ED4678">
        <w:rPr>
          <w:rFonts w:ascii="Times New Roman" w:hAnsi="Times New Roman"/>
          <w:szCs w:val="24"/>
        </w:rPr>
        <w:t xml:space="preserve"> Posteriormente, </w:t>
      </w:r>
      <w:r w:rsidR="00ED4678" w:rsidRPr="00ED4678">
        <w:rPr>
          <w:rFonts w:ascii="Times New Roman" w:hAnsi="Times New Roman"/>
          <w:szCs w:val="24"/>
        </w:rPr>
        <w:t>la Ley 36/2011, de 10 de octubre, reguladora de la jurisdicción social, contempla en el Capítulo XI del Título II (Libro Segundo), artículos 177 a 184, la tutela de los derechos fundamentales en este orden jurisdiccional, mediante un procedimiento urgente y preferente</w:t>
      </w:r>
    </w:p>
    <w:p w14:paraId="679FE4DA" w14:textId="1BB851E6" w:rsidR="009D1199" w:rsidRDefault="009D1199" w:rsidP="00AA2BB1">
      <w:pPr>
        <w:pStyle w:val="texto"/>
        <w:ind w:firstLine="0"/>
        <w:rPr>
          <w:rFonts w:ascii="Times New Roman" w:hAnsi="Times New Roman"/>
          <w:szCs w:val="24"/>
        </w:rPr>
      </w:pPr>
      <w:r w:rsidRPr="00500DB3">
        <w:rPr>
          <w:rFonts w:ascii="Times New Roman" w:hAnsi="Times New Roman"/>
          <w:szCs w:val="24"/>
        </w:rPr>
        <w:t xml:space="preserve">En el ámbito penal, la Ley 38/2002, de 24 de octubre, de reforma parcial de la Ley de Enjuiciamiento Criminal, sobre procedimiento para el enjuiciamiento rápido e inmediato de determinados delitos y faltas, y de modificación del procedimiento abreviado, </w:t>
      </w:r>
      <w:r w:rsidR="009557D6">
        <w:rPr>
          <w:rFonts w:ascii="Times New Roman" w:hAnsi="Times New Roman"/>
          <w:szCs w:val="24"/>
        </w:rPr>
        <w:t>hoy derogado.</w:t>
      </w:r>
    </w:p>
    <w:p w14:paraId="6807B3E9" w14:textId="77777777" w:rsidR="00AA2BB1" w:rsidRDefault="00E46C39" w:rsidP="00AA2BB1">
      <w:pPr>
        <w:pStyle w:val="texto"/>
        <w:ind w:firstLine="0"/>
        <w:rPr>
          <w:rFonts w:ascii="Times New Roman" w:hAnsi="Times New Roman"/>
          <w:szCs w:val="24"/>
        </w:rPr>
      </w:pPr>
      <w:r>
        <w:rPr>
          <w:rFonts w:ascii="Times New Roman" w:hAnsi="Times New Roman"/>
          <w:szCs w:val="24"/>
        </w:rPr>
        <w:t xml:space="preserve">En </w:t>
      </w:r>
      <w:r w:rsidRPr="00E46C39">
        <w:rPr>
          <w:rFonts w:ascii="Times New Roman" w:hAnsi="Times New Roman"/>
          <w:szCs w:val="24"/>
        </w:rPr>
        <w:t xml:space="preserve">la jurisdicción militar, la Ley Orgánica 2/1989, de 13 de abril, Procesal Militar, </w:t>
      </w:r>
      <w:r>
        <w:rPr>
          <w:rFonts w:ascii="Times New Roman" w:hAnsi="Times New Roman"/>
          <w:szCs w:val="24"/>
        </w:rPr>
        <w:t>contempla en su artículo 453 lo siguiente:</w:t>
      </w:r>
      <w:r w:rsidRPr="00E46C39">
        <w:rPr>
          <w:rFonts w:ascii="Times New Roman" w:hAnsi="Times New Roman"/>
          <w:szCs w:val="24"/>
        </w:rPr>
        <w:t xml:space="preserve"> </w:t>
      </w:r>
    </w:p>
    <w:p w14:paraId="123958BF" w14:textId="301D1DA9" w:rsidR="00E46C39" w:rsidRPr="00500DB3" w:rsidRDefault="00E46C39" w:rsidP="00AA2BB1">
      <w:pPr>
        <w:pStyle w:val="texto"/>
        <w:ind w:firstLine="0"/>
        <w:rPr>
          <w:rFonts w:ascii="Times New Roman" w:hAnsi="Times New Roman"/>
          <w:szCs w:val="24"/>
        </w:rPr>
      </w:pPr>
      <w:r w:rsidRPr="00E46C39">
        <w:rPr>
          <w:rFonts w:ascii="Times New Roman" w:hAnsi="Times New Roman"/>
          <w:i/>
          <w:szCs w:val="24"/>
        </w:rPr>
        <w:t>"contra las sanciones disciplinarias que afecten al ejercicio de derechos fundamentales señalados en el artículo 53.2 de la Constitución, podrá interponerse el recurso contencioso-disciplinario militar preferente y sumario que se regula en el Título V de este libro"</w:t>
      </w:r>
      <w:r w:rsidRPr="00E46C39">
        <w:rPr>
          <w:rFonts w:ascii="Times New Roman" w:hAnsi="Times New Roman"/>
          <w:szCs w:val="24"/>
        </w:rPr>
        <w:t xml:space="preserve">, el cual contiene un solo artículo, </w:t>
      </w:r>
      <w:r>
        <w:rPr>
          <w:rFonts w:ascii="Times New Roman" w:hAnsi="Times New Roman"/>
          <w:szCs w:val="24"/>
        </w:rPr>
        <w:t>el 5</w:t>
      </w:r>
      <w:r w:rsidRPr="00E46C39">
        <w:rPr>
          <w:rFonts w:ascii="Times New Roman" w:hAnsi="Times New Roman"/>
          <w:szCs w:val="24"/>
        </w:rPr>
        <w:t>18.</w:t>
      </w:r>
    </w:p>
    <w:p w14:paraId="7C1B60D3" w14:textId="77777777"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 xml:space="preserve">Por tanto, todas las leyes procesales tendrían previsiones para estos casos. La vía a seguir en el proceso dependerá de la materia, según las reglas generales de reparto de órdenes jurisdiccionales que, a su vez, viene establecida por el acto impugnado. De esta forma, podemos ver que cada norma procesal recoge en su texto un proceso específico para los casos de denuncia de la vulneración de un derecho fundamental. </w:t>
      </w:r>
    </w:p>
    <w:p w14:paraId="415E727E" w14:textId="20B01E0E"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Apreciamos por tanto a raíz de lo expuesto que la protección de derechos fundamentales mediante la jurisdicción ordinaria que prevé e</w:t>
      </w:r>
      <w:r w:rsidR="009557D6">
        <w:rPr>
          <w:rFonts w:ascii="Times New Roman" w:hAnsi="Times New Roman"/>
          <w:szCs w:val="24"/>
        </w:rPr>
        <w:t>l artículo 53.2 CE se desarrolla</w:t>
      </w:r>
      <w:r w:rsidRPr="00500DB3">
        <w:rPr>
          <w:rFonts w:ascii="Times New Roman" w:hAnsi="Times New Roman"/>
          <w:szCs w:val="24"/>
        </w:rPr>
        <w:t xml:space="preserve"> de manera sectorial, creando unos procedimientos especiales en materia de derechos fundamentales dentro de cada orden jurisdiccional. </w:t>
      </w:r>
    </w:p>
    <w:p w14:paraId="5F5B1EB8" w14:textId="34DEC87C" w:rsidR="009D1199" w:rsidRPr="00500DB3" w:rsidRDefault="009557D6" w:rsidP="00AA2BB1">
      <w:pPr>
        <w:pStyle w:val="texto"/>
        <w:ind w:firstLine="0"/>
        <w:rPr>
          <w:rFonts w:ascii="Times New Roman" w:hAnsi="Times New Roman"/>
          <w:szCs w:val="24"/>
        </w:rPr>
      </w:pPr>
      <w:r>
        <w:rPr>
          <w:rFonts w:ascii="Times New Roman" w:hAnsi="Times New Roman"/>
          <w:szCs w:val="24"/>
        </w:rPr>
        <w:lastRenderedPageBreak/>
        <w:t>J</w:t>
      </w:r>
      <w:r w:rsidR="009D1199" w:rsidRPr="00500DB3">
        <w:rPr>
          <w:rFonts w:ascii="Times New Roman" w:hAnsi="Times New Roman"/>
          <w:szCs w:val="24"/>
        </w:rPr>
        <w:t>unto a este desarrollo sectorial, se crearon procedimientos especialísimos para la protección de determinados derechos fundamentales. Algunos ejemplos son:</w:t>
      </w:r>
    </w:p>
    <w:p w14:paraId="61BE0D98" w14:textId="47B20145" w:rsidR="009557D6" w:rsidRDefault="009557D6" w:rsidP="00500DB3">
      <w:pPr>
        <w:pStyle w:val="texto"/>
        <w:numPr>
          <w:ilvl w:val="0"/>
          <w:numId w:val="1"/>
        </w:numPr>
        <w:rPr>
          <w:rFonts w:ascii="Times New Roman" w:hAnsi="Times New Roman"/>
          <w:szCs w:val="24"/>
        </w:rPr>
      </w:pPr>
      <w:r>
        <w:rPr>
          <w:rFonts w:ascii="Times New Roman" w:hAnsi="Times New Roman"/>
          <w:szCs w:val="24"/>
        </w:rPr>
        <w:t>La Ley Orgánica 1/1982, de 5 de mayo, de Protección Civil del Derecho al Honor, a la Intimidad Personal y Familiar y a la Propia Imagen.</w:t>
      </w:r>
    </w:p>
    <w:p w14:paraId="28E72CE4" w14:textId="36F154FF" w:rsidR="009557D6" w:rsidRDefault="009557D6" w:rsidP="00500DB3">
      <w:pPr>
        <w:pStyle w:val="texto"/>
        <w:numPr>
          <w:ilvl w:val="0"/>
          <w:numId w:val="1"/>
        </w:numPr>
        <w:rPr>
          <w:rFonts w:ascii="Times New Roman" w:hAnsi="Times New Roman"/>
          <w:szCs w:val="24"/>
        </w:rPr>
      </w:pPr>
      <w:r>
        <w:rPr>
          <w:rFonts w:ascii="Times New Roman" w:hAnsi="Times New Roman"/>
          <w:szCs w:val="24"/>
        </w:rPr>
        <w:t>La Ley Orgánica 9/1983, de 15 de julio, reguladora del Derecho de Reunión.</w:t>
      </w:r>
    </w:p>
    <w:p w14:paraId="118848CB" w14:textId="77777777" w:rsidR="009557D6" w:rsidRPr="00500DB3" w:rsidRDefault="009557D6" w:rsidP="005C1AB4">
      <w:pPr>
        <w:pStyle w:val="texto"/>
        <w:numPr>
          <w:ilvl w:val="0"/>
          <w:numId w:val="1"/>
        </w:numPr>
        <w:spacing w:after="100"/>
        <w:rPr>
          <w:rFonts w:ascii="Times New Roman" w:hAnsi="Times New Roman"/>
          <w:szCs w:val="24"/>
        </w:rPr>
      </w:pPr>
      <w:r w:rsidRPr="00500DB3">
        <w:rPr>
          <w:rFonts w:ascii="Times New Roman" w:hAnsi="Times New Roman"/>
          <w:szCs w:val="24"/>
        </w:rPr>
        <w:t>Ley Orgánica 2/1984, de 26 de marzo, reguladora del derecho de rectificación.</w:t>
      </w:r>
    </w:p>
    <w:p w14:paraId="45B6559B" w14:textId="77777777" w:rsidR="009D1199" w:rsidRPr="00500DB3" w:rsidRDefault="009D1199" w:rsidP="00500DB3">
      <w:pPr>
        <w:pStyle w:val="texto"/>
        <w:numPr>
          <w:ilvl w:val="0"/>
          <w:numId w:val="1"/>
        </w:numPr>
        <w:rPr>
          <w:rFonts w:ascii="Times New Roman" w:hAnsi="Times New Roman"/>
          <w:szCs w:val="24"/>
        </w:rPr>
      </w:pPr>
      <w:r w:rsidRPr="00500DB3">
        <w:rPr>
          <w:rFonts w:ascii="Times New Roman" w:hAnsi="Times New Roman"/>
          <w:szCs w:val="24"/>
        </w:rPr>
        <w:t>Ley Orgánica 6/1984, de 24 de mayo, reguladora del procedimiento de «Habeas Corpus».</w:t>
      </w:r>
    </w:p>
    <w:p w14:paraId="1551CD04" w14:textId="77777777" w:rsidR="009D1199" w:rsidRPr="00500DB3" w:rsidRDefault="009D1199" w:rsidP="00500DB3">
      <w:pPr>
        <w:pStyle w:val="texto"/>
        <w:numPr>
          <w:ilvl w:val="0"/>
          <w:numId w:val="1"/>
        </w:numPr>
        <w:rPr>
          <w:rFonts w:ascii="Times New Roman" w:hAnsi="Times New Roman"/>
          <w:szCs w:val="24"/>
        </w:rPr>
      </w:pPr>
      <w:r w:rsidRPr="00500DB3">
        <w:rPr>
          <w:rFonts w:ascii="Times New Roman" w:hAnsi="Times New Roman"/>
          <w:szCs w:val="24"/>
        </w:rPr>
        <w:t>Ley Orgánica 5/1985, de 19 de junio, del Régimen Electoral General, que recoge los recursos contencioso-electorales en sus artículos 49 y 114.</w:t>
      </w:r>
    </w:p>
    <w:p w14:paraId="7E32C8EC" w14:textId="77777777" w:rsidR="009D1199" w:rsidRPr="00500DB3" w:rsidRDefault="009D1199" w:rsidP="00500DB3">
      <w:pPr>
        <w:pStyle w:val="texto"/>
        <w:numPr>
          <w:ilvl w:val="0"/>
          <w:numId w:val="1"/>
        </w:numPr>
        <w:rPr>
          <w:rFonts w:ascii="Times New Roman" w:hAnsi="Times New Roman"/>
          <w:szCs w:val="24"/>
        </w:rPr>
      </w:pPr>
      <w:r w:rsidRPr="00500DB3">
        <w:rPr>
          <w:rFonts w:ascii="Times New Roman" w:hAnsi="Times New Roman"/>
          <w:szCs w:val="24"/>
        </w:rPr>
        <w:t>Ley 29/1998, de 13 de julio, reguladora de la Jurisdicción Contencioso-administrativa, en su artículo 122 en relación con el derecho de reunión.</w:t>
      </w:r>
    </w:p>
    <w:p w14:paraId="62066519" w14:textId="47513022" w:rsidR="00485928" w:rsidRDefault="00485928" w:rsidP="00AA2BB1">
      <w:pPr>
        <w:pStyle w:val="texto"/>
        <w:ind w:firstLine="0"/>
        <w:rPr>
          <w:rFonts w:ascii="Times New Roman" w:hAnsi="Times New Roman"/>
          <w:szCs w:val="24"/>
        </w:rPr>
      </w:pPr>
      <w:r w:rsidRPr="0014686E">
        <w:rPr>
          <w:rFonts w:ascii="Times New Roman" w:hAnsi="Times New Roman"/>
          <w:szCs w:val="24"/>
        </w:rPr>
        <w:t>La dispersión</w:t>
      </w:r>
      <w:r w:rsidR="0014686E" w:rsidRPr="0014686E">
        <w:rPr>
          <w:rFonts w:ascii="Times New Roman" w:hAnsi="Times New Roman"/>
          <w:szCs w:val="24"/>
        </w:rPr>
        <w:t xml:space="preserve"> normativa</w:t>
      </w:r>
      <w:r w:rsidRPr="0014686E">
        <w:rPr>
          <w:rFonts w:ascii="Times New Roman" w:hAnsi="Times New Roman"/>
          <w:szCs w:val="24"/>
        </w:rPr>
        <w:t xml:space="preserve"> de la garantía sumaria y preferente ante los Tribunales ordinarios en las distintas leyes procesales y los diferentes órdenes jurisdiccionales, completada en el año 2002, </w:t>
      </w:r>
      <w:r w:rsidR="0014686E" w:rsidRPr="0014686E">
        <w:rPr>
          <w:rFonts w:ascii="Times New Roman" w:hAnsi="Times New Roman"/>
          <w:szCs w:val="24"/>
        </w:rPr>
        <w:t xml:space="preserve">cuando la sección primera relativa a la garantía jurisdiccional penal quedó sin contenido producto de Ley 38/2002, de 24 de octubre, de reforma parcial de la Ley de Enjuiciamiento Criminal, sobre procedimiento para el enjuiciamiento rápido en inmediato de determinados delitos y faltas, y de modificación del procedimiento abreviado, </w:t>
      </w:r>
      <w:r w:rsidR="00E055CF">
        <w:rPr>
          <w:rFonts w:ascii="Times New Roman" w:hAnsi="Times New Roman"/>
          <w:szCs w:val="24"/>
        </w:rPr>
        <w:t>ha sido objeto de algunas</w:t>
      </w:r>
      <w:r w:rsidRPr="0014686E">
        <w:rPr>
          <w:rFonts w:ascii="Times New Roman" w:hAnsi="Times New Roman"/>
          <w:szCs w:val="24"/>
        </w:rPr>
        <w:t xml:space="preserve"> críticas doctri</w:t>
      </w:r>
      <w:r w:rsidR="0014686E" w:rsidRPr="0014686E">
        <w:rPr>
          <w:rFonts w:ascii="Times New Roman" w:hAnsi="Times New Roman"/>
          <w:szCs w:val="24"/>
        </w:rPr>
        <w:t>nales</w:t>
      </w:r>
      <w:r w:rsidR="004106E4">
        <w:rPr>
          <w:rStyle w:val="Refdenotaalpie"/>
          <w:rFonts w:ascii="Times New Roman" w:hAnsi="Times New Roman"/>
          <w:szCs w:val="24"/>
        </w:rPr>
        <w:footnoteReference w:id="50"/>
      </w:r>
      <w:r w:rsidR="0014686E" w:rsidRPr="0014686E">
        <w:rPr>
          <w:rFonts w:ascii="Times New Roman" w:hAnsi="Times New Roman"/>
          <w:szCs w:val="24"/>
        </w:rPr>
        <w:t>.</w:t>
      </w:r>
      <w:r w:rsidR="00F1749E">
        <w:rPr>
          <w:rFonts w:ascii="Times New Roman" w:hAnsi="Times New Roman"/>
          <w:szCs w:val="24"/>
        </w:rPr>
        <w:t xml:space="preserve"> Y es que gran parte de </w:t>
      </w:r>
      <w:r w:rsidR="004D3846">
        <w:rPr>
          <w:rFonts w:ascii="Times New Roman" w:hAnsi="Times New Roman"/>
          <w:szCs w:val="24"/>
        </w:rPr>
        <w:t xml:space="preserve">la doctrina </w:t>
      </w:r>
      <w:r w:rsidRPr="004D3846">
        <w:rPr>
          <w:rFonts w:ascii="Times New Roman" w:hAnsi="Times New Roman"/>
          <w:szCs w:val="24"/>
        </w:rPr>
        <w:t>considera</w:t>
      </w:r>
      <w:r w:rsidR="004D3846" w:rsidRPr="004D3846">
        <w:rPr>
          <w:rFonts w:ascii="Times New Roman" w:hAnsi="Times New Roman"/>
          <w:szCs w:val="24"/>
        </w:rPr>
        <w:t xml:space="preserve"> que sería</w:t>
      </w:r>
      <w:r w:rsidRPr="004D3846">
        <w:rPr>
          <w:rFonts w:ascii="Times New Roman" w:hAnsi="Times New Roman"/>
          <w:szCs w:val="24"/>
        </w:rPr>
        <w:t xml:space="preserve"> mejor técnica normativa consignar en una </w:t>
      </w:r>
      <w:r w:rsidR="00F1749E" w:rsidRPr="004D3846">
        <w:rPr>
          <w:rFonts w:ascii="Times New Roman" w:hAnsi="Times New Roman"/>
          <w:szCs w:val="24"/>
        </w:rPr>
        <w:t>norma los</w:t>
      </w:r>
      <w:r w:rsidRPr="004D3846">
        <w:rPr>
          <w:rFonts w:ascii="Times New Roman" w:hAnsi="Times New Roman"/>
          <w:szCs w:val="24"/>
        </w:rPr>
        <w:t xml:space="preserve"> </w:t>
      </w:r>
      <w:r w:rsidR="00F1749E" w:rsidRPr="004D3846">
        <w:rPr>
          <w:rFonts w:ascii="Times New Roman" w:hAnsi="Times New Roman"/>
          <w:szCs w:val="24"/>
        </w:rPr>
        <w:t>procedimientos de</w:t>
      </w:r>
      <w:r w:rsidRPr="004D3846">
        <w:rPr>
          <w:rFonts w:ascii="Times New Roman" w:hAnsi="Times New Roman"/>
          <w:szCs w:val="24"/>
        </w:rPr>
        <w:t xml:space="preserve"> desarrollo </w:t>
      </w:r>
      <w:r w:rsidRPr="004D3846">
        <w:rPr>
          <w:rFonts w:ascii="Times New Roman" w:hAnsi="Times New Roman"/>
          <w:szCs w:val="24"/>
        </w:rPr>
        <w:lastRenderedPageBreak/>
        <w:t>de las garantías de protección jurisdiccional de los derechos fundamentales, tal y como efectuaba l</w:t>
      </w:r>
      <w:r w:rsidR="004D3846" w:rsidRPr="004D3846">
        <w:rPr>
          <w:rFonts w:ascii="Times New Roman" w:hAnsi="Times New Roman"/>
          <w:szCs w:val="24"/>
        </w:rPr>
        <w:t>a derogada L</w:t>
      </w:r>
      <w:r w:rsidRPr="004D3846">
        <w:rPr>
          <w:rFonts w:ascii="Times New Roman" w:hAnsi="Times New Roman"/>
          <w:szCs w:val="24"/>
        </w:rPr>
        <w:t>ey 62/1978</w:t>
      </w:r>
      <w:r w:rsidR="004D3846" w:rsidRPr="004D3846">
        <w:rPr>
          <w:rFonts w:ascii="Times New Roman" w:hAnsi="Times New Roman"/>
          <w:szCs w:val="24"/>
        </w:rPr>
        <w:t>.</w:t>
      </w:r>
    </w:p>
    <w:p w14:paraId="75653684" w14:textId="7A95874B" w:rsidR="009D1199" w:rsidRPr="00500DB3" w:rsidRDefault="00F913AF" w:rsidP="00AA2BB1">
      <w:pPr>
        <w:pStyle w:val="texto"/>
        <w:ind w:firstLine="0"/>
        <w:rPr>
          <w:rFonts w:ascii="Times New Roman" w:hAnsi="Times New Roman"/>
          <w:szCs w:val="24"/>
        </w:rPr>
      </w:pPr>
      <w:r>
        <w:rPr>
          <w:rFonts w:ascii="Times New Roman" w:hAnsi="Times New Roman"/>
          <w:szCs w:val="24"/>
        </w:rPr>
        <w:t>Analizando</w:t>
      </w:r>
      <w:r w:rsidR="009D1199" w:rsidRPr="00500DB3">
        <w:rPr>
          <w:rFonts w:ascii="Times New Roman" w:hAnsi="Times New Roman"/>
          <w:szCs w:val="24"/>
        </w:rPr>
        <w:t xml:space="preserve"> brevemente las características del procedimient</w:t>
      </w:r>
      <w:r>
        <w:rPr>
          <w:rFonts w:ascii="Times New Roman" w:hAnsi="Times New Roman"/>
          <w:szCs w:val="24"/>
        </w:rPr>
        <w:t>o que prevé el artículo 53.2 CE</w:t>
      </w:r>
      <w:r w:rsidR="009D1199" w:rsidRPr="00500DB3">
        <w:rPr>
          <w:rFonts w:ascii="Times New Roman" w:hAnsi="Times New Roman"/>
          <w:szCs w:val="24"/>
        </w:rPr>
        <w:t xml:space="preserve"> podemos destacar las siguientes:</w:t>
      </w:r>
    </w:p>
    <w:p w14:paraId="46E9512D" w14:textId="55744AEC"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 xml:space="preserve">En primer lugar, nos encontramos ante procedimientos especiales, distintos de los ordinarios, cuyo objeto material es concreto y determinado, esto es, la protección de los derechos fundamentales. Apreciamos a su vez, una serie de ventajas respecto de su posición en los procedimientos ordinarios ya que, como veremos, estos procedimientos gozan de una mayor celeridad y menor tramitación. </w:t>
      </w:r>
    </w:p>
    <w:p w14:paraId="7FDC027C" w14:textId="3F00F423"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 xml:space="preserve">En segundo lugar, el artículo 53.2 CE habla específicamente de un proceso basado en el principio de «sumariedad». Se entiende técnicamente que un procedimiento es sumario cuando su objeto es limitado, sin embargo, este término también es aplicable a los procedimientos que, con la intención de lograr mayor celeridad, se caracterizan por una </w:t>
      </w:r>
      <w:r w:rsidR="00F1749E" w:rsidRPr="00500DB3">
        <w:rPr>
          <w:rFonts w:ascii="Times New Roman" w:hAnsi="Times New Roman"/>
          <w:szCs w:val="24"/>
        </w:rPr>
        <w:t>especial rapidez</w:t>
      </w:r>
      <w:r w:rsidRPr="00500DB3">
        <w:rPr>
          <w:rFonts w:ascii="Times New Roman" w:hAnsi="Times New Roman"/>
          <w:szCs w:val="24"/>
        </w:rPr>
        <w:t xml:space="preserve"> y sencillez en su tramitación. </w:t>
      </w:r>
    </w:p>
    <w:p w14:paraId="365858C4" w14:textId="77777777"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El artículo 53.2 CE hace referencia finalmente a un proceso basado también en el principio de «preferencia». Entendemos por preferencia que los órganos judiciales deben tramitar en primer lugar, con independencia de la fecha de ingreso del asunto, las demandas por vulneración de derechos fundamentales.</w:t>
      </w:r>
    </w:p>
    <w:p w14:paraId="76522BA5" w14:textId="672BFE22"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Estos dos principio</w:t>
      </w:r>
      <w:r w:rsidR="00AA2BB1">
        <w:rPr>
          <w:rFonts w:ascii="Times New Roman" w:hAnsi="Times New Roman"/>
          <w:szCs w:val="24"/>
        </w:rPr>
        <w:t>s</w:t>
      </w:r>
      <w:r w:rsidRPr="00500DB3">
        <w:rPr>
          <w:rFonts w:ascii="Times New Roman" w:hAnsi="Times New Roman"/>
          <w:szCs w:val="24"/>
        </w:rPr>
        <w:t xml:space="preserve"> a los que hace referencia el artículo 53.2 CE (sumariedad y preferencia), tienen su manifestación en el ámbito procesal en dos sentidos: por un </w:t>
      </w:r>
      <w:r w:rsidR="00F1749E" w:rsidRPr="00500DB3">
        <w:rPr>
          <w:rFonts w:ascii="Times New Roman" w:hAnsi="Times New Roman"/>
          <w:szCs w:val="24"/>
        </w:rPr>
        <w:t>lado,</w:t>
      </w:r>
      <w:r w:rsidRPr="00500DB3">
        <w:rPr>
          <w:rFonts w:ascii="Times New Roman" w:hAnsi="Times New Roman"/>
          <w:szCs w:val="24"/>
        </w:rPr>
        <w:t xml:space="preserve"> estos procedimientos, por su carácter excepcional, gozan de plazos más cortos para agilizar así el proceso, </w:t>
      </w:r>
      <w:r w:rsidR="00F1749E" w:rsidRPr="00500DB3">
        <w:rPr>
          <w:rFonts w:ascii="Times New Roman" w:hAnsi="Times New Roman"/>
          <w:szCs w:val="24"/>
        </w:rPr>
        <w:t>y,</w:t>
      </w:r>
      <w:r w:rsidRPr="00500DB3">
        <w:rPr>
          <w:rFonts w:ascii="Times New Roman" w:hAnsi="Times New Roman"/>
          <w:szCs w:val="24"/>
        </w:rPr>
        <w:t xml:space="preserve"> por otro lado, se suprimen algunos trámites prescindibles y se simplifica el procedimiento.</w:t>
      </w:r>
    </w:p>
    <w:p w14:paraId="2FD565F0" w14:textId="6A9B9AD1" w:rsidR="009D1199" w:rsidRPr="00500DB3" w:rsidRDefault="00A55E8E" w:rsidP="00AA2BB1">
      <w:pPr>
        <w:pStyle w:val="texto"/>
        <w:ind w:firstLine="0"/>
        <w:rPr>
          <w:rFonts w:ascii="Times New Roman" w:hAnsi="Times New Roman"/>
          <w:szCs w:val="24"/>
        </w:rPr>
      </w:pPr>
      <w:r>
        <w:rPr>
          <w:rFonts w:ascii="Times New Roman" w:hAnsi="Times New Roman"/>
          <w:szCs w:val="24"/>
        </w:rPr>
        <w:t>En tercer lugar</w:t>
      </w:r>
      <w:r w:rsidR="009D1199" w:rsidRPr="00500DB3">
        <w:rPr>
          <w:rFonts w:ascii="Times New Roman" w:hAnsi="Times New Roman"/>
          <w:szCs w:val="24"/>
        </w:rPr>
        <w:t>, estos procesos especiales son compatibles con los procesos ordinarios. No es forzoso el procedimiento especial del artículo 53.2 CE, sino que se abren dos vías para el demandante a la hora de proteger sus derechos, la vía ordinaria y la excepcional.</w:t>
      </w:r>
    </w:p>
    <w:p w14:paraId="28B47BA9" w14:textId="04EB6911" w:rsidR="009D1199" w:rsidRPr="00500DB3" w:rsidRDefault="009D1199" w:rsidP="00AA2BB1">
      <w:pPr>
        <w:pStyle w:val="texto"/>
        <w:ind w:firstLine="0"/>
        <w:rPr>
          <w:rFonts w:ascii="Times New Roman" w:hAnsi="Times New Roman"/>
          <w:szCs w:val="24"/>
        </w:rPr>
      </w:pPr>
      <w:r w:rsidRPr="00500DB3">
        <w:rPr>
          <w:rFonts w:ascii="Times New Roman" w:hAnsi="Times New Roman"/>
          <w:szCs w:val="24"/>
        </w:rPr>
        <w:t xml:space="preserve">Finalmente, cerraremos este epígrafe apuntando que los ciudadanos están sujetos a la Constitución y, por tanto, a la obligación de respetar los derechos fundamentales en ella reconocidos. Por su parte, los jueces y tribunales deben amparar los derechos </w:t>
      </w:r>
      <w:r w:rsidRPr="00500DB3">
        <w:rPr>
          <w:rFonts w:ascii="Times New Roman" w:hAnsi="Times New Roman"/>
          <w:szCs w:val="24"/>
        </w:rPr>
        <w:lastRenderedPageBreak/>
        <w:t>fundamentales. El incumpli</w:t>
      </w:r>
      <w:r w:rsidR="00995309">
        <w:rPr>
          <w:rFonts w:ascii="Times New Roman" w:hAnsi="Times New Roman"/>
          <w:szCs w:val="24"/>
        </w:rPr>
        <w:t>miento por parte de los propios</w:t>
      </w:r>
      <w:r w:rsidRPr="00500DB3">
        <w:rPr>
          <w:rFonts w:ascii="Times New Roman" w:hAnsi="Times New Roman"/>
          <w:szCs w:val="24"/>
        </w:rPr>
        <w:t xml:space="preserve"> de esa obligación de respetarlos origina una acción de tutela o reparación ante los órganos jurisdiccionales. Ahora bien, el incumplimiento de los órganos jurisdiccionales de esa obligación de amparar el derecho permite al ciudadano acudir al amparo constitucional.</w:t>
      </w:r>
    </w:p>
    <w:p w14:paraId="68EF7152" w14:textId="6998E575" w:rsidR="007F5F59" w:rsidRPr="00500DB3" w:rsidRDefault="001B5B9B" w:rsidP="00AA2BB1">
      <w:pPr>
        <w:pStyle w:val="Ttulo4"/>
      </w:pPr>
      <w:bookmarkStart w:id="82" w:name="_Toc400017049"/>
      <w:bookmarkStart w:id="83" w:name="_Toc400644277"/>
      <w:bookmarkStart w:id="84" w:name="_Toc401009633"/>
      <w:bookmarkStart w:id="85" w:name="_Toc462935761"/>
      <w:bookmarkStart w:id="86" w:name="_Toc468382145"/>
      <w:bookmarkStart w:id="87" w:name="_Toc530596837"/>
      <w:bookmarkStart w:id="88" w:name="_Toc49423601"/>
      <w:bookmarkStart w:id="89" w:name="_Toc49866478"/>
      <w:r w:rsidRPr="00500DB3">
        <w:t>La protección de los derechos fundamentales medi</w:t>
      </w:r>
      <w:r w:rsidR="00265416">
        <w:t>ante el amparo constitucional</w:t>
      </w:r>
      <w:bookmarkEnd w:id="82"/>
      <w:bookmarkEnd w:id="83"/>
      <w:bookmarkEnd w:id="84"/>
      <w:bookmarkEnd w:id="85"/>
      <w:bookmarkEnd w:id="86"/>
      <w:bookmarkEnd w:id="87"/>
      <w:bookmarkEnd w:id="88"/>
      <w:bookmarkEnd w:id="89"/>
    </w:p>
    <w:p w14:paraId="60E8BF78" w14:textId="189A4E9E" w:rsidR="004927E6" w:rsidRDefault="00EE1AE9" w:rsidP="001A4310">
      <w:pPr>
        <w:pStyle w:val="Ttulo5"/>
        <w:numPr>
          <w:ilvl w:val="0"/>
          <w:numId w:val="44"/>
        </w:numPr>
      </w:pPr>
      <w:bookmarkStart w:id="90" w:name="_Toc530596838"/>
      <w:bookmarkStart w:id="91" w:name="_Toc49423602"/>
      <w:bookmarkStart w:id="92" w:name="_Toc49866479"/>
      <w:r>
        <w:t>Aspectos introductorios</w:t>
      </w:r>
      <w:bookmarkEnd w:id="90"/>
      <w:bookmarkEnd w:id="91"/>
      <w:bookmarkEnd w:id="92"/>
    </w:p>
    <w:p w14:paraId="44DB4B4D" w14:textId="228C99FA" w:rsidR="00D46573" w:rsidRPr="00500DB3" w:rsidRDefault="0072433C" w:rsidP="00AA2BB1">
      <w:pPr>
        <w:pStyle w:val="texto"/>
        <w:ind w:firstLine="0"/>
        <w:rPr>
          <w:rFonts w:ascii="Times New Roman" w:hAnsi="Times New Roman"/>
          <w:szCs w:val="24"/>
        </w:rPr>
      </w:pPr>
      <w:r w:rsidRPr="00500DB3">
        <w:rPr>
          <w:rFonts w:ascii="Times New Roman" w:hAnsi="Times New Roman"/>
          <w:szCs w:val="24"/>
        </w:rPr>
        <w:t xml:space="preserve">En la primera de las sentencias dictada por el TC (STC 1/1981, de 26 de enero), éste señalaba que </w:t>
      </w:r>
      <w:r w:rsidR="009A52EB" w:rsidRPr="00E95E5D">
        <w:rPr>
          <w:rFonts w:ascii="Times New Roman" w:hAnsi="Times New Roman"/>
          <w:i/>
          <w:szCs w:val="24"/>
        </w:rPr>
        <w:t>«la finalidad esencial del recurso de amparo es la protección en sede constitucional de los derechos y libertades (…)</w:t>
      </w:r>
      <w:r w:rsidR="00932B0A" w:rsidRPr="00E95E5D">
        <w:rPr>
          <w:rFonts w:ascii="Times New Roman" w:hAnsi="Times New Roman"/>
          <w:i/>
          <w:szCs w:val="24"/>
        </w:rPr>
        <w:t xml:space="preserve"> cuando las vías ordinarias de protección han resultado insatisfactorias. Junto a este des</w:t>
      </w:r>
      <w:r w:rsidR="00E95E5D" w:rsidRPr="00E95E5D">
        <w:rPr>
          <w:rFonts w:ascii="Times New Roman" w:hAnsi="Times New Roman"/>
          <w:i/>
          <w:szCs w:val="24"/>
        </w:rPr>
        <w:t>ignio</w:t>
      </w:r>
      <w:r w:rsidR="00932B0A" w:rsidRPr="00E95E5D">
        <w:rPr>
          <w:rFonts w:ascii="Times New Roman" w:hAnsi="Times New Roman"/>
          <w:i/>
          <w:szCs w:val="24"/>
        </w:rPr>
        <w:t xml:space="preserve"> aparece también el de la defensa objetiva de la Constitución, sirviendo de este modo la acción de amparo a un fin que trasciende lo singular».</w:t>
      </w:r>
    </w:p>
    <w:p w14:paraId="2BE4B41F" w14:textId="05C0B770" w:rsidR="00026685" w:rsidRPr="00500DB3" w:rsidRDefault="00932B0A" w:rsidP="00AA2BB1">
      <w:pPr>
        <w:pStyle w:val="texto"/>
        <w:ind w:firstLine="0"/>
        <w:rPr>
          <w:rFonts w:ascii="Times New Roman" w:hAnsi="Times New Roman"/>
          <w:szCs w:val="24"/>
        </w:rPr>
      </w:pPr>
      <w:r w:rsidRPr="00500DB3">
        <w:rPr>
          <w:rFonts w:ascii="Times New Roman" w:hAnsi="Times New Roman"/>
          <w:szCs w:val="24"/>
        </w:rPr>
        <w:t>Por su parte, e</w:t>
      </w:r>
      <w:r w:rsidR="00026685" w:rsidRPr="00500DB3">
        <w:rPr>
          <w:rFonts w:ascii="Times New Roman" w:hAnsi="Times New Roman"/>
          <w:szCs w:val="24"/>
        </w:rPr>
        <w:t>l artículo 5</w:t>
      </w:r>
      <w:r w:rsidR="00E95E5D">
        <w:rPr>
          <w:rFonts w:ascii="Times New Roman" w:hAnsi="Times New Roman"/>
          <w:szCs w:val="24"/>
        </w:rPr>
        <w:t>3.2 CE señala</w:t>
      </w:r>
      <w:r w:rsidR="00026685" w:rsidRPr="00500DB3">
        <w:rPr>
          <w:rFonts w:ascii="Times New Roman" w:hAnsi="Times New Roman"/>
          <w:szCs w:val="24"/>
        </w:rPr>
        <w:t xml:space="preserve"> que los derechos reconocidos en los artículos 14 a 29 del texto constitucional, así como la objeción de conciencia, están protegidos además de por el amparo judicial, por el amparo constitucional. El amparo constitucional se configura, por tanto, como una garantía específica más de los derechos fundamentales. Es pues un instrumento más, pero no debemos olvidar que es el último en el ámbito nacional al que podemos acudir frente a una posible vulneración de un derecho fundamental. </w:t>
      </w:r>
    </w:p>
    <w:p w14:paraId="7FDED95B" w14:textId="5CA3AD7A" w:rsidR="00026685" w:rsidRPr="00500DB3" w:rsidRDefault="00026685" w:rsidP="00AA2BB1">
      <w:pPr>
        <w:pStyle w:val="texto"/>
        <w:ind w:firstLine="0"/>
        <w:rPr>
          <w:rFonts w:ascii="Times New Roman" w:hAnsi="Times New Roman"/>
          <w:szCs w:val="24"/>
        </w:rPr>
      </w:pPr>
      <w:r w:rsidRPr="00500DB3">
        <w:rPr>
          <w:rFonts w:ascii="Times New Roman" w:hAnsi="Times New Roman"/>
          <w:szCs w:val="24"/>
        </w:rPr>
        <w:t>La principal característica del recurso de amparo constitucional deriva del órgano ante el que se residencia pues, a diferenc</w:t>
      </w:r>
      <w:r w:rsidR="004927E6">
        <w:rPr>
          <w:rFonts w:ascii="Times New Roman" w:hAnsi="Times New Roman"/>
          <w:szCs w:val="24"/>
        </w:rPr>
        <w:t>ia del amparo judicial que</w:t>
      </w:r>
      <w:r w:rsidRPr="00500DB3">
        <w:rPr>
          <w:rFonts w:ascii="Times New Roman" w:hAnsi="Times New Roman"/>
          <w:szCs w:val="24"/>
        </w:rPr>
        <w:t xml:space="preserve"> se insta ante los órganos de la jurisdicción ordinaria, el amparo constitucional se solicita a</w:t>
      </w:r>
      <w:r w:rsidR="0059178A" w:rsidRPr="00500DB3">
        <w:rPr>
          <w:rFonts w:ascii="Times New Roman" w:hAnsi="Times New Roman"/>
          <w:szCs w:val="24"/>
        </w:rPr>
        <w:t>nte el T</w:t>
      </w:r>
      <w:r w:rsidR="00DD632B" w:rsidRPr="00500DB3">
        <w:rPr>
          <w:rFonts w:ascii="Times New Roman" w:hAnsi="Times New Roman"/>
          <w:szCs w:val="24"/>
        </w:rPr>
        <w:t>C</w:t>
      </w:r>
      <w:r w:rsidR="0059178A" w:rsidRPr="00500DB3">
        <w:rPr>
          <w:rFonts w:ascii="Times New Roman" w:hAnsi="Times New Roman"/>
          <w:szCs w:val="24"/>
        </w:rPr>
        <w:t>. De ahí deriva su nombre y sus características distintivas, que lo singularizan respecto de los demás recursos.</w:t>
      </w:r>
    </w:p>
    <w:p w14:paraId="3C234881" w14:textId="078DDF75" w:rsidR="009244F4" w:rsidRPr="00500DB3" w:rsidRDefault="009244F4" w:rsidP="00AA2BB1">
      <w:pPr>
        <w:pStyle w:val="texto"/>
        <w:ind w:firstLine="0"/>
        <w:rPr>
          <w:rFonts w:ascii="Times New Roman" w:hAnsi="Times New Roman"/>
          <w:szCs w:val="24"/>
        </w:rPr>
      </w:pPr>
      <w:r w:rsidRPr="00500DB3">
        <w:rPr>
          <w:rFonts w:ascii="Times New Roman" w:hAnsi="Times New Roman"/>
          <w:szCs w:val="24"/>
        </w:rPr>
        <w:t>El amparo constitucional es, por tanto, un recurso mediante el cual se solicita del T</w:t>
      </w:r>
      <w:r w:rsidR="00DD632B" w:rsidRPr="00500DB3">
        <w:rPr>
          <w:rFonts w:ascii="Times New Roman" w:hAnsi="Times New Roman"/>
          <w:szCs w:val="24"/>
        </w:rPr>
        <w:t>C</w:t>
      </w:r>
      <w:r w:rsidRPr="00500DB3">
        <w:rPr>
          <w:rFonts w:ascii="Times New Roman" w:hAnsi="Times New Roman"/>
          <w:szCs w:val="24"/>
        </w:rPr>
        <w:t xml:space="preserve"> la preservación o restablecimiento de un derecho fundamental que se estima vulnerado. Está configurado, pues, como el último recurso para evitar la vulneración de derechos fundamentales o, en su caso, si se ha producido, repararla.</w:t>
      </w:r>
      <w:r w:rsidR="00421812">
        <w:rPr>
          <w:rFonts w:ascii="Times New Roman" w:hAnsi="Times New Roman"/>
          <w:szCs w:val="24"/>
        </w:rPr>
        <w:t xml:space="preserve"> Sin embargo, n</w:t>
      </w:r>
      <w:r w:rsidR="00D57CAE" w:rsidRPr="00500DB3">
        <w:rPr>
          <w:rFonts w:ascii="Times New Roman" w:hAnsi="Times New Roman"/>
          <w:szCs w:val="24"/>
        </w:rPr>
        <w:t xml:space="preserve">o nos </w:t>
      </w:r>
      <w:r w:rsidR="00D57CAE" w:rsidRPr="00500DB3">
        <w:rPr>
          <w:rFonts w:ascii="Times New Roman" w:hAnsi="Times New Roman"/>
          <w:szCs w:val="24"/>
        </w:rPr>
        <w:lastRenderedPageBreak/>
        <w:t>encontramos, como podría pensarse, ante un recurso o instancia más que nos permita conseguir una resolución judicial para satisfacer las pretensiones del demandante, sino que estamos ante un recurso ajeno a la estructura de los órganos jurisdiccionales que configuran el Poder Judicial ordinario</w:t>
      </w:r>
      <w:r w:rsidR="00C64814" w:rsidRPr="00500DB3">
        <w:rPr>
          <w:rFonts w:ascii="Times New Roman" w:hAnsi="Times New Roman"/>
          <w:szCs w:val="24"/>
        </w:rPr>
        <w:t xml:space="preserve"> y los recursos ordinarios previstos en las leyes procesales</w:t>
      </w:r>
      <w:r w:rsidR="00D57CAE" w:rsidRPr="00500DB3">
        <w:rPr>
          <w:rFonts w:ascii="Times New Roman" w:hAnsi="Times New Roman"/>
          <w:szCs w:val="24"/>
        </w:rPr>
        <w:t>.</w:t>
      </w:r>
    </w:p>
    <w:p w14:paraId="20956BD4" w14:textId="4B79D79F" w:rsidR="00403FEE" w:rsidRPr="00500DB3" w:rsidRDefault="00403FEE" w:rsidP="00AA2BB1">
      <w:pPr>
        <w:pStyle w:val="texto"/>
        <w:ind w:firstLine="0"/>
        <w:rPr>
          <w:rFonts w:ascii="Times New Roman" w:hAnsi="Times New Roman"/>
          <w:i/>
          <w:szCs w:val="24"/>
        </w:rPr>
      </w:pPr>
      <w:r w:rsidRPr="00500DB3">
        <w:rPr>
          <w:rFonts w:ascii="Times New Roman" w:hAnsi="Times New Roman"/>
          <w:szCs w:val="24"/>
        </w:rPr>
        <w:t>CORDÓN MORENO</w:t>
      </w:r>
      <w:r w:rsidRPr="00500DB3">
        <w:rPr>
          <w:rStyle w:val="Refdenotaalpie"/>
          <w:rFonts w:ascii="Times New Roman" w:hAnsi="Times New Roman"/>
          <w:szCs w:val="24"/>
        </w:rPr>
        <w:footnoteReference w:id="51"/>
      </w:r>
      <w:r w:rsidRPr="00500DB3">
        <w:rPr>
          <w:rFonts w:ascii="Times New Roman" w:hAnsi="Times New Roman"/>
          <w:szCs w:val="24"/>
        </w:rPr>
        <w:t>,</w:t>
      </w:r>
      <w:r w:rsidR="004927E6">
        <w:rPr>
          <w:rFonts w:ascii="Times New Roman" w:hAnsi="Times New Roman"/>
          <w:szCs w:val="24"/>
        </w:rPr>
        <w:t xml:space="preserve"> afirma que</w:t>
      </w:r>
      <w:r w:rsidRPr="00500DB3">
        <w:rPr>
          <w:rFonts w:ascii="Times New Roman" w:hAnsi="Times New Roman"/>
          <w:szCs w:val="24"/>
        </w:rPr>
        <w:t xml:space="preserve"> “</w:t>
      </w:r>
      <w:r w:rsidRPr="00500DB3">
        <w:rPr>
          <w:rFonts w:ascii="Times New Roman" w:hAnsi="Times New Roman"/>
          <w:i/>
          <w:szCs w:val="24"/>
        </w:rPr>
        <w:t>el recurso de amparo constitucional es un verdadero proceso jurisdiccional, un cauce jurídicamente regulado a través del cual se actúa la específica función jurisdiccional ejercida por el Tribunal Constitucional.”</w:t>
      </w:r>
    </w:p>
    <w:p w14:paraId="78BCF55D" w14:textId="4026B4A6" w:rsidR="00403FEE" w:rsidRPr="00500DB3" w:rsidRDefault="00403FEE" w:rsidP="00AA2BB1">
      <w:pPr>
        <w:pStyle w:val="texto"/>
        <w:ind w:firstLine="0"/>
        <w:rPr>
          <w:rFonts w:ascii="Times New Roman" w:hAnsi="Times New Roman"/>
          <w:szCs w:val="24"/>
        </w:rPr>
      </w:pPr>
      <w:r w:rsidRPr="00500DB3">
        <w:rPr>
          <w:rFonts w:ascii="Times New Roman" w:hAnsi="Times New Roman"/>
          <w:szCs w:val="24"/>
        </w:rPr>
        <w:t>Siguiendo la línea de este autor</w:t>
      </w:r>
      <w:r w:rsidR="004927E6">
        <w:rPr>
          <w:rFonts w:ascii="Times New Roman" w:hAnsi="Times New Roman"/>
          <w:szCs w:val="24"/>
        </w:rPr>
        <w:t xml:space="preserve">, </w:t>
      </w:r>
      <w:r w:rsidRPr="00500DB3">
        <w:rPr>
          <w:rFonts w:ascii="Times New Roman" w:hAnsi="Times New Roman"/>
          <w:szCs w:val="24"/>
        </w:rPr>
        <w:t>el problema surgido con el recurso de amparo gira en torno a la configuración que se ha tenido de éste como un medio último y subsidiario de garantía para los casos en que no se consiga la protección de los derechos fundamentales en las vías jurisdiccionales ordinarias.</w:t>
      </w:r>
    </w:p>
    <w:p w14:paraId="4FD0591F" w14:textId="06F7CDE3" w:rsidR="00421812" w:rsidRPr="00500DB3" w:rsidRDefault="000B6FEE" w:rsidP="00AA2BB1">
      <w:pPr>
        <w:pStyle w:val="texto"/>
        <w:ind w:firstLine="0"/>
        <w:rPr>
          <w:rFonts w:ascii="Times New Roman" w:hAnsi="Times New Roman"/>
          <w:szCs w:val="24"/>
        </w:rPr>
      </w:pPr>
      <w:r w:rsidRPr="00500DB3">
        <w:rPr>
          <w:rFonts w:ascii="Times New Roman" w:hAnsi="Times New Roman"/>
          <w:szCs w:val="24"/>
        </w:rPr>
        <w:t>La función del amparo constitucional trasciende de la que se proyecta en la mera resolución de cada caso concreto. Pese a que su objeto primario sea el de ofrecer una garantía más a los ciudadanos con la que proteger sus derechos fundamentales siendo, por tanto, medio adicional de reacción frente a las vulneraciones de éstos, lo cierto es que este instrumento confiere al T</w:t>
      </w:r>
      <w:r w:rsidR="00DD632B" w:rsidRPr="00500DB3">
        <w:rPr>
          <w:rFonts w:ascii="Times New Roman" w:hAnsi="Times New Roman"/>
          <w:szCs w:val="24"/>
        </w:rPr>
        <w:t>C</w:t>
      </w:r>
      <w:r w:rsidRPr="00500DB3">
        <w:rPr>
          <w:rFonts w:ascii="Times New Roman" w:hAnsi="Times New Roman"/>
          <w:szCs w:val="24"/>
        </w:rPr>
        <w:t xml:space="preserve"> una función con un alcance más global que podemos definir como el control de la forma en que los jueces y tribunales ordinarios aplican los preceptos constitucionales que consagran los derechos fundamentales. Es por ello que la función del amparo constitucional, más allá de ser la de la resolución de cada caso concreto que se le plantea ante el Tribunal, es la de fijar</w:t>
      </w:r>
      <w:r w:rsidR="00162798" w:rsidRPr="00500DB3">
        <w:rPr>
          <w:rFonts w:ascii="Times New Roman" w:hAnsi="Times New Roman"/>
          <w:szCs w:val="24"/>
        </w:rPr>
        <w:t xml:space="preserve"> </w:t>
      </w:r>
      <w:r w:rsidRPr="00500DB3">
        <w:rPr>
          <w:rFonts w:ascii="Times New Roman" w:hAnsi="Times New Roman"/>
          <w:szCs w:val="24"/>
        </w:rPr>
        <w:t>una serie de pautas y criterios que inspirarán la actuación de los órganos de la jurisdicción ordinaria</w:t>
      </w:r>
      <w:r w:rsidRPr="00500DB3">
        <w:rPr>
          <w:rStyle w:val="Refdenotaalpie"/>
          <w:rFonts w:ascii="Times New Roman" w:hAnsi="Times New Roman"/>
          <w:szCs w:val="24"/>
        </w:rPr>
        <w:footnoteReference w:id="52"/>
      </w:r>
      <w:r w:rsidRPr="00500DB3">
        <w:rPr>
          <w:rFonts w:ascii="Times New Roman" w:hAnsi="Times New Roman"/>
          <w:szCs w:val="24"/>
        </w:rPr>
        <w:t xml:space="preserve">. </w:t>
      </w:r>
      <w:r w:rsidR="00421812">
        <w:rPr>
          <w:rFonts w:ascii="Times New Roman" w:hAnsi="Times New Roman"/>
          <w:szCs w:val="24"/>
        </w:rPr>
        <w:t>E</w:t>
      </w:r>
      <w:r w:rsidR="00421812" w:rsidRPr="00500DB3">
        <w:rPr>
          <w:rFonts w:ascii="Times New Roman" w:hAnsi="Times New Roman"/>
          <w:szCs w:val="24"/>
        </w:rPr>
        <w:t>l amparo constitucional permite al TC</w:t>
      </w:r>
      <w:r w:rsidR="00421812">
        <w:rPr>
          <w:rFonts w:ascii="Times New Roman" w:hAnsi="Times New Roman"/>
          <w:szCs w:val="24"/>
        </w:rPr>
        <w:t>, por tanto,</w:t>
      </w:r>
      <w:r w:rsidR="00421812" w:rsidRPr="00500DB3">
        <w:rPr>
          <w:rFonts w:ascii="Times New Roman" w:hAnsi="Times New Roman"/>
          <w:szCs w:val="24"/>
        </w:rPr>
        <w:t xml:space="preserve"> realizar una función en la que sienta unos </w:t>
      </w:r>
      <w:r w:rsidR="00421812">
        <w:rPr>
          <w:rFonts w:ascii="Times New Roman" w:hAnsi="Times New Roman"/>
          <w:szCs w:val="24"/>
        </w:rPr>
        <w:t>criterios jurídicos</w:t>
      </w:r>
      <w:r w:rsidR="00421812" w:rsidRPr="00500DB3">
        <w:rPr>
          <w:rFonts w:ascii="Times New Roman" w:hAnsi="Times New Roman"/>
          <w:szCs w:val="24"/>
        </w:rPr>
        <w:t xml:space="preserve"> que sirven de guía a las actuaciones de los órganos judiciales. </w:t>
      </w:r>
    </w:p>
    <w:p w14:paraId="353DCEF5" w14:textId="197538AD" w:rsidR="007D066B" w:rsidRPr="00500DB3" w:rsidRDefault="00434772" w:rsidP="00AA2BB1">
      <w:pPr>
        <w:pStyle w:val="texto"/>
        <w:ind w:firstLine="0"/>
        <w:rPr>
          <w:rFonts w:ascii="Times New Roman" w:hAnsi="Times New Roman"/>
          <w:szCs w:val="24"/>
        </w:rPr>
      </w:pPr>
      <w:r w:rsidRPr="00500DB3">
        <w:rPr>
          <w:rFonts w:ascii="Times New Roman" w:hAnsi="Times New Roman"/>
          <w:szCs w:val="24"/>
        </w:rPr>
        <w:t>Debemos tener en cuenta que el amparo constitucional es sólo uno de lo</w:t>
      </w:r>
      <w:r w:rsidR="004927E6">
        <w:rPr>
          <w:rFonts w:ascii="Times New Roman" w:hAnsi="Times New Roman"/>
          <w:szCs w:val="24"/>
        </w:rPr>
        <w:t>s</w:t>
      </w:r>
      <w:r w:rsidRPr="00500DB3">
        <w:rPr>
          <w:rFonts w:ascii="Times New Roman" w:hAnsi="Times New Roman"/>
          <w:szCs w:val="24"/>
        </w:rPr>
        <w:t xml:space="preserve"> asuntos de los que conoce el T</w:t>
      </w:r>
      <w:r w:rsidR="00DD632B" w:rsidRPr="00500DB3">
        <w:rPr>
          <w:rFonts w:ascii="Times New Roman" w:hAnsi="Times New Roman"/>
          <w:szCs w:val="24"/>
        </w:rPr>
        <w:t>C</w:t>
      </w:r>
      <w:r w:rsidRPr="00500DB3">
        <w:rPr>
          <w:rFonts w:ascii="Times New Roman" w:hAnsi="Times New Roman"/>
          <w:szCs w:val="24"/>
        </w:rPr>
        <w:t xml:space="preserve">, pero </w:t>
      </w:r>
      <w:r w:rsidR="00F1749E" w:rsidRPr="00500DB3">
        <w:rPr>
          <w:rFonts w:ascii="Times New Roman" w:hAnsi="Times New Roman"/>
          <w:szCs w:val="24"/>
        </w:rPr>
        <w:t xml:space="preserve">el elevado volumen de casos de este tipo planteados ante el </w:t>
      </w:r>
      <w:r w:rsidR="00F1749E" w:rsidRPr="00500DB3">
        <w:rPr>
          <w:rFonts w:ascii="Times New Roman" w:hAnsi="Times New Roman"/>
          <w:szCs w:val="24"/>
        </w:rPr>
        <w:lastRenderedPageBreak/>
        <w:t>Tri</w:t>
      </w:r>
      <w:r w:rsidR="00F1749E">
        <w:rPr>
          <w:rFonts w:ascii="Times New Roman" w:hAnsi="Times New Roman"/>
          <w:szCs w:val="24"/>
        </w:rPr>
        <w:t>bunal hace</w:t>
      </w:r>
      <w:r w:rsidR="004927E6">
        <w:rPr>
          <w:rFonts w:ascii="Times New Roman" w:hAnsi="Times New Roman"/>
          <w:szCs w:val="24"/>
        </w:rPr>
        <w:t xml:space="preserve"> que éste monopolice su tiempo en resolverlos desatendiendo las otras competencias que le son propias.</w:t>
      </w:r>
    </w:p>
    <w:p w14:paraId="7514C1B4" w14:textId="1718293D" w:rsidR="00434772" w:rsidRPr="00500DB3" w:rsidRDefault="00B84727" w:rsidP="00AA2BB1">
      <w:pPr>
        <w:pStyle w:val="texto"/>
        <w:ind w:firstLine="0"/>
        <w:rPr>
          <w:rFonts w:ascii="Times New Roman" w:hAnsi="Times New Roman"/>
          <w:szCs w:val="24"/>
        </w:rPr>
      </w:pPr>
      <w:r>
        <w:rPr>
          <w:rFonts w:ascii="Times New Roman" w:hAnsi="Times New Roman"/>
          <w:szCs w:val="24"/>
        </w:rPr>
        <w:t>N</w:t>
      </w:r>
      <w:r w:rsidR="00434772" w:rsidRPr="00500DB3">
        <w:rPr>
          <w:rFonts w:ascii="Times New Roman" w:hAnsi="Times New Roman"/>
          <w:szCs w:val="24"/>
        </w:rPr>
        <w:t xml:space="preserve">o debemos olvidar una última función de este Tribunal. Y es que el TC es considerado el máximo </w:t>
      </w:r>
      <w:r w:rsidR="00F1749E" w:rsidRPr="00500DB3">
        <w:rPr>
          <w:rFonts w:ascii="Times New Roman" w:hAnsi="Times New Roman"/>
          <w:szCs w:val="24"/>
        </w:rPr>
        <w:t>intérprete de</w:t>
      </w:r>
      <w:r w:rsidR="00434772" w:rsidRPr="00500DB3">
        <w:rPr>
          <w:rFonts w:ascii="Times New Roman" w:hAnsi="Times New Roman"/>
          <w:szCs w:val="24"/>
        </w:rPr>
        <w:t xml:space="preserve"> la Constitución. Mediante </w:t>
      </w:r>
      <w:r w:rsidR="00C73E10" w:rsidRPr="00500DB3">
        <w:rPr>
          <w:rFonts w:ascii="Times New Roman" w:hAnsi="Times New Roman"/>
          <w:szCs w:val="24"/>
        </w:rPr>
        <w:t xml:space="preserve">la resolución de </w:t>
      </w:r>
      <w:r w:rsidR="00434772" w:rsidRPr="00500DB3">
        <w:rPr>
          <w:rFonts w:ascii="Times New Roman" w:hAnsi="Times New Roman"/>
          <w:szCs w:val="24"/>
        </w:rPr>
        <w:t xml:space="preserve">los recursos de amparo el Tribunal </w:t>
      </w:r>
      <w:r w:rsidR="00C73E10" w:rsidRPr="00500DB3">
        <w:rPr>
          <w:rFonts w:ascii="Times New Roman" w:hAnsi="Times New Roman"/>
          <w:szCs w:val="24"/>
        </w:rPr>
        <w:t xml:space="preserve">realiza una labor interpretativa que define el alcance de los preceptos constitucionales que consagran los derechos fundamentales. </w:t>
      </w:r>
    </w:p>
    <w:p w14:paraId="38580489" w14:textId="7354E05F" w:rsidR="00C73E10" w:rsidRPr="00500DB3" w:rsidRDefault="00C73E10" w:rsidP="00AA2BB1">
      <w:pPr>
        <w:pStyle w:val="texto"/>
        <w:ind w:firstLine="0"/>
        <w:rPr>
          <w:rFonts w:ascii="Times New Roman" w:hAnsi="Times New Roman"/>
          <w:szCs w:val="24"/>
        </w:rPr>
      </w:pPr>
      <w:r w:rsidRPr="00500DB3">
        <w:rPr>
          <w:rFonts w:ascii="Times New Roman" w:hAnsi="Times New Roman"/>
          <w:szCs w:val="24"/>
        </w:rPr>
        <w:t xml:space="preserve">En cuanto a las características definitorias de este amparo constitucional, debemos mencionar en primer lugar la excepcionalidad. El amparo constitucional es un recurso de carácter extraordinario, es decir, para tener acceso a él no basta como sucede en la jurisdicción ordinaria con la mera insatisfacción de la resolución que recurrimos, sino que ha de darse una efectiva vulneración de un derecho fundamental de los reconocidos en </w:t>
      </w:r>
      <w:r w:rsidR="00F1749E" w:rsidRPr="00500DB3">
        <w:rPr>
          <w:rFonts w:ascii="Times New Roman" w:hAnsi="Times New Roman"/>
          <w:szCs w:val="24"/>
        </w:rPr>
        <w:t>los artículos</w:t>
      </w:r>
      <w:r w:rsidRPr="00500DB3">
        <w:rPr>
          <w:rFonts w:ascii="Times New Roman" w:hAnsi="Times New Roman"/>
          <w:szCs w:val="24"/>
        </w:rPr>
        <w:t xml:space="preserve"> 14 a 29 CE o de la objeción de conciencia. Sólo estos son causas de acceso a este tipo de amparo</w:t>
      </w:r>
      <w:r w:rsidRPr="00500DB3">
        <w:rPr>
          <w:rStyle w:val="Refdenotaalpie"/>
          <w:rFonts w:ascii="Times New Roman" w:hAnsi="Times New Roman"/>
          <w:szCs w:val="24"/>
        </w:rPr>
        <w:footnoteReference w:id="53"/>
      </w:r>
      <w:r w:rsidRPr="00500DB3">
        <w:rPr>
          <w:rFonts w:ascii="Times New Roman" w:hAnsi="Times New Roman"/>
          <w:szCs w:val="24"/>
        </w:rPr>
        <w:t>. Por último, su carácter extraordinario deriva también de las limitaciones recogidas en los artículos 54 y 55 de la LOTC.</w:t>
      </w:r>
    </w:p>
    <w:p w14:paraId="23B2D636" w14:textId="77777777" w:rsidR="00C73E10" w:rsidRDefault="00C73E10" w:rsidP="00AA2BB1">
      <w:pPr>
        <w:pStyle w:val="texto"/>
        <w:ind w:firstLine="0"/>
        <w:rPr>
          <w:rFonts w:ascii="Times New Roman" w:hAnsi="Times New Roman"/>
          <w:szCs w:val="24"/>
        </w:rPr>
      </w:pPr>
      <w:r w:rsidRPr="00500DB3">
        <w:rPr>
          <w:rFonts w:ascii="Times New Roman" w:hAnsi="Times New Roman"/>
          <w:szCs w:val="24"/>
        </w:rPr>
        <w:t xml:space="preserve">Podemos mencionar en segundo lugar la subsidiariedad. </w:t>
      </w:r>
      <w:r w:rsidR="0081740F" w:rsidRPr="00500DB3">
        <w:rPr>
          <w:rFonts w:ascii="Times New Roman" w:hAnsi="Times New Roman"/>
          <w:szCs w:val="24"/>
        </w:rPr>
        <w:t>El amparo constitucional es además un recurso subsidiario, siendo una condición necesaria para la acción de este recurso el haber agotado previamente las vías judiciales precedentes. En caso de que el proceso en el que se ha producido la alegada vulneración de un derecho fundamental aún no ha concluido, no podremos demandar el amparo constitucional hasta que éste no haya finalizado, siendo necesario para ello la utilización de todos los recursos ordinarios anteriores.</w:t>
      </w:r>
    </w:p>
    <w:p w14:paraId="68EF9124" w14:textId="4692F25D" w:rsidR="006F3E47" w:rsidRPr="00500DB3" w:rsidRDefault="006F3E47" w:rsidP="00AA2BB1">
      <w:pPr>
        <w:pStyle w:val="texto"/>
        <w:ind w:firstLine="0"/>
        <w:rPr>
          <w:rFonts w:ascii="Times New Roman" w:hAnsi="Times New Roman"/>
          <w:szCs w:val="24"/>
        </w:rPr>
      </w:pPr>
      <w:r>
        <w:rPr>
          <w:rFonts w:ascii="Times New Roman" w:hAnsi="Times New Roman"/>
          <w:szCs w:val="24"/>
        </w:rPr>
        <w:t xml:space="preserve">Sin embargo, estas características no han sido respetadas, de ahí los </w:t>
      </w:r>
      <w:r w:rsidR="00421812">
        <w:rPr>
          <w:rFonts w:ascii="Times New Roman" w:hAnsi="Times New Roman"/>
          <w:szCs w:val="24"/>
        </w:rPr>
        <w:t>problemas que sobrevinieron</w:t>
      </w:r>
      <w:r>
        <w:rPr>
          <w:rFonts w:ascii="Times New Roman" w:hAnsi="Times New Roman"/>
          <w:szCs w:val="24"/>
        </w:rPr>
        <w:t xml:space="preserve"> al TC hasta dar lugar a la situación de colapso que en adelante trataremos.</w:t>
      </w:r>
    </w:p>
    <w:p w14:paraId="4883FD04" w14:textId="0D83345B" w:rsidR="00A853FD" w:rsidRPr="00500DB3" w:rsidRDefault="00A853FD" w:rsidP="00AA2BB1">
      <w:pPr>
        <w:pStyle w:val="texto"/>
        <w:ind w:firstLine="0"/>
        <w:rPr>
          <w:rFonts w:ascii="Times New Roman" w:hAnsi="Times New Roman"/>
          <w:szCs w:val="24"/>
        </w:rPr>
      </w:pPr>
      <w:r w:rsidRPr="00500DB3">
        <w:rPr>
          <w:rFonts w:ascii="Times New Roman" w:hAnsi="Times New Roman"/>
          <w:szCs w:val="24"/>
        </w:rPr>
        <w:t xml:space="preserve">El Tribunal Constitucional ha defendido siempre en su jurisprudencia que el recurso de amparo constitucional no es una segunda instancia ni una instancia prevista para la </w:t>
      </w:r>
      <w:r w:rsidRPr="00500DB3">
        <w:rPr>
          <w:rFonts w:ascii="Times New Roman" w:hAnsi="Times New Roman"/>
          <w:szCs w:val="24"/>
        </w:rPr>
        <w:lastRenderedPageBreak/>
        <w:t>revisión del derecho aplicado por los Jueces y Tribunales ordinarios. Además, de que este recurso no posee los caracteres propios de la casación</w:t>
      </w:r>
      <w:r w:rsidRPr="00500DB3">
        <w:rPr>
          <w:rStyle w:val="Refdenotaalpie"/>
          <w:rFonts w:ascii="Times New Roman" w:hAnsi="Times New Roman"/>
          <w:szCs w:val="24"/>
        </w:rPr>
        <w:footnoteReference w:id="54"/>
      </w:r>
      <w:r w:rsidRPr="00500DB3">
        <w:rPr>
          <w:rFonts w:ascii="Times New Roman" w:hAnsi="Times New Roman"/>
          <w:szCs w:val="24"/>
        </w:rPr>
        <w:t xml:space="preserve">. </w:t>
      </w:r>
    </w:p>
    <w:p w14:paraId="1ED09250" w14:textId="78357981" w:rsidR="0081740F" w:rsidRDefault="0081740F" w:rsidP="00AA2BB1">
      <w:pPr>
        <w:pStyle w:val="texto"/>
        <w:ind w:firstLine="0"/>
        <w:rPr>
          <w:rFonts w:ascii="Times New Roman" w:hAnsi="Times New Roman"/>
          <w:szCs w:val="24"/>
        </w:rPr>
      </w:pPr>
      <w:r w:rsidRPr="00500DB3">
        <w:rPr>
          <w:rFonts w:ascii="Times New Roman" w:hAnsi="Times New Roman"/>
          <w:szCs w:val="24"/>
        </w:rPr>
        <w:t>Es interesante mencionar en este punto la opinión de BORRAJO INIESTA</w:t>
      </w:r>
      <w:r w:rsidRPr="00500DB3">
        <w:rPr>
          <w:rStyle w:val="Refdenotaalpie"/>
          <w:rFonts w:ascii="Times New Roman" w:hAnsi="Times New Roman"/>
          <w:szCs w:val="24"/>
        </w:rPr>
        <w:footnoteReference w:id="55"/>
      </w:r>
      <w:r w:rsidR="004927E6">
        <w:rPr>
          <w:rFonts w:ascii="Times New Roman" w:hAnsi="Times New Roman"/>
          <w:szCs w:val="24"/>
        </w:rPr>
        <w:t>, al afirmar</w:t>
      </w:r>
      <w:r w:rsidRPr="00500DB3">
        <w:rPr>
          <w:rFonts w:ascii="Times New Roman" w:hAnsi="Times New Roman"/>
          <w:szCs w:val="24"/>
        </w:rPr>
        <w:t xml:space="preserve"> que la sede competente para la protección de los derechos fundamentales no es la del amparo constitucional, sino la vía judicial previa a</w:t>
      </w:r>
      <w:r w:rsidR="00DD632B" w:rsidRPr="00500DB3">
        <w:rPr>
          <w:rFonts w:ascii="Times New Roman" w:hAnsi="Times New Roman"/>
          <w:szCs w:val="24"/>
        </w:rPr>
        <w:t xml:space="preserve"> ésta</w:t>
      </w:r>
      <w:r w:rsidRPr="00500DB3">
        <w:rPr>
          <w:rFonts w:ascii="Times New Roman" w:hAnsi="Times New Roman"/>
          <w:szCs w:val="24"/>
        </w:rPr>
        <w:t>. Y esto es así precisamente por el carácter subsidiario de esta última. No sería lógico entender que el monopolio, si se me permite el término, de la protección de los derechos fundamentales recayera en un órgano de carácter subsidiario al que sólo se puede acudir en caso de que todos los medios anteriores no funcionen.</w:t>
      </w:r>
      <w:r w:rsidR="00B84727">
        <w:rPr>
          <w:rFonts w:ascii="Times New Roman" w:hAnsi="Times New Roman"/>
          <w:szCs w:val="24"/>
        </w:rPr>
        <w:t xml:space="preserve"> </w:t>
      </w:r>
    </w:p>
    <w:p w14:paraId="5992FD28" w14:textId="144077D2" w:rsidR="00203ADE" w:rsidRDefault="00203ADE" w:rsidP="00AA2BB1">
      <w:pPr>
        <w:pStyle w:val="texto"/>
        <w:ind w:firstLine="0"/>
        <w:rPr>
          <w:rFonts w:ascii="Times New Roman" w:hAnsi="Times New Roman"/>
          <w:szCs w:val="24"/>
        </w:rPr>
      </w:pPr>
      <w:r>
        <w:rPr>
          <w:rFonts w:ascii="Times New Roman" w:hAnsi="Times New Roman"/>
          <w:szCs w:val="24"/>
        </w:rPr>
        <w:t xml:space="preserve">De hecho, la Exposición de Motivos de la LO 6/2007 dispone que, para un mayor desarrollo de la protección de los derechos fundamentales en relación con las demás funciones del TC, se establece </w:t>
      </w:r>
      <w:r w:rsidRPr="00203ADE">
        <w:rPr>
          <w:rFonts w:ascii="Times New Roman" w:hAnsi="Times New Roman"/>
          <w:i/>
          <w:szCs w:val="24"/>
        </w:rPr>
        <w:t>“</w:t>
      </w:r>
      <w:r w:rsidR="00927EB6" w:rsidRPr="00203ADE">
        <w:rPr>
          <w:rFonts w:ascii="Times New Roman" w:hAnsi="Times New Roman"/>
          <w:i/>
          <w:szCs w:val="24"/>
        </w:rPr>
        <w:t>una nueva regulación de la admisión del recurso de amparo, al tiempo que otorga a los tribunales ordinarios más posibilidades para revisar las violaciones de derechos fundamentales a través de una nueva regulación de la nulidad de los actos procesales ex artículo 241.1 de la Ley Orgánica 6/1985, de 1 de julio, del Poder Judicial</w:t>
      </w:r>
      <w:r>
        <w:rPr>
          <w:rFonts w:ascii="Times New Roman" w:hAnsi="Times New Roman"/>
          <w:szCs w:val="24"/>
        </w:rPr>
        <w:t xml:space="preserve">. </w:t>
      </w:r>
      <w:r w:rsidRPr="00203ADE">
        <w:rPr>
          <w:rFonts w:ascii="Times New Roman" w:hAnsi="Times New Roman"/>
          <w:i/>
          <w:szCs w:val="24"/>
        </w:rPr>
        <w:t>Se trata de medidas encaminadas a lograr que la tutela y defensa de los derechos fundamentales por parte del Tribunal Constitucional sea realmente subsidiaria de una adecuada protección prestada por los órgan</w:t>
      </w:r>
      <w:r w:rsidR="00CA59A5">
        <w:rPr>
          <w:rFonts w:ascii="Times New Roman" w:hAnsi="Times New Roman"/>
          <w:i/>
          <w:szCs w:val="24"/>
        </w:rPr>
        <w:t>os de la jurisdicción ordinaria</w:t>
      </w:r>
      <w:r w:rsidRPr="00203ADE">
        <w:rPr>
          <w:rFonts w:ascii="Times New Roman" w:hAnsi="Times New Roman"/>
          <w:i/>
          <w:szCs w:val="24"/>
        </w:rPr>
        <w:t>”</w:t>
      </w:r>
      <w:r w:rsidR="00CA59A5">
        <w:rPr>
          <w:rFonts w:ascii="Times New Roman" w:hAnsi="Times New Roman"/>
          <w:i/>
          <w:szCs w:val="24"/>
        </w:rPr>
        <w:t>.</w:t>
      </w:r>
    </w:p>
    <w:p w14:paraId="286688C9" w14:textId="6DCB9089" w:rsidR="00927EB6" w:rsidRDefault="00203ADE" w:rsidP="00AA2BB1">
      <w:pPr>
        <w:pStyle w:val="texto"/>
        <w:ind w:firstLine="0"/>
        <w:rPr>
          <w:rFonts w:ascii="Times New Roman" w:hAnsi="Times New Roman"/>
          <w:szCs w:val="24"/>
        </w:rPr>
      </w:pPr>
      <w:r>
        <w:rPr>
          <w:rFonts w:ascii="Times New Roman" w:hAnsi="Times New Roman"/>
          <w:szCs w:val="24"/>
        </w:rPr>
        <w:t>Vemos</w:t>
      </w:r>
      <w:r w:rsidR="00CA59A5">
        <w:rPr>
          <w:rFonts w:ascii="Times New Roman" w:hAnsi="Times New Roman"/>
          <w:szCs w:val="24"/>
        </w:rPr>
        <w:t>,</w:t>
      </w:r>
      <w:r>
        <w:rPr>
          <w:rFonts w:ascii="Times New Roman" w:hAnsi="Times New Roman"/>
          <w:szCs w:val="24"/>
        </w:rPr>
        <w:t xml:space="preserve"> por tanto</w:t>
      </w:r>
      <w:r w:rsidR="00CA59A5">
        <w:rPr>
          <w:rFonts w:ascii="Times New Roman" w:hAnsi="Times New Roman"/>
          <w:szCs w:val="24"/>
        </w:rPr>
        <w:t>,</w:t>
      </w:r>
      <w:r>
        <w:rPr>
          <w:rFonts w:ascii="Times New Roman" w:hAnsi="Times New Roman"/>
          <w:szCs w:val="24"/>
        </w:rPr>
        <w:t xml:space="preserve"> que lo que se pretende es que el principal garante de los derechos fundamentales sea el juez ordinario, potenciando así el carácter extraordinario y subsidiario del juez constitucional.</w:t>
      </w:r>
      <w:r w:rsidR="00CA59A5">
        <w:rPr>
          <w:rFonts w:ascii="Times New Roman" w:hAnsi="Times New Roman"/>
          <w:szCs w:val="24"/>
        </w:rPr>
        <w:t xml:space="preserve"> Y es que, como la Ley indica, </w:t>
      </w:r>
      <w:r w:rsidR="00CA59A5" w:rsidRPr="00CA59A5">
        <w:rPr>
          <w:rFonts w:ascii="Times New Roman" w:hAnsi="Times New Roman"/>
          <w:i/>
          <w:szCs w:val="24"/>
        </w:rPr>
        <w:t>“l</w:t>
      </w:r>
      <w:r w:rsidR="00927EB6" w:rsidRPr="00CA59A5">
        <w:rPr>
          <w:rFonts w:ascii="Times New Roman" w:hAnsi="Times New Roman"/>
          <w:i/>
          <w:szCs w:val="24"/>
        </w:rPr>
        <w:t>a protección y garantía de los derechos fundamentales no es una tarea única del Tribunal Constitucional, sino que los tribunales ordinarios desempeñan un pa</w:t>
      </w:r>
      <w:r w:rsidR="00CA59A5">
        <w:rPr>
          <w:rFonts w:ascii="Times New Roman" w:hAnsi="Times New Roman"/>
          <w:i/>
          <w:szCs w:val="24"/>
        </w:rPr>
        <w:t xml:space="preserve">pel esencial y crucial en </w:t>
      </w:r>
      <w:r w:rsidR="00F1749E">
        <w:rPr>
          <w:rFonts w:ascii="Times New Roman" w:hAnsi="Times New Roman"/>
          <w:i/>
          <w:szCs w:val="24"/>
        </w:rPr>
        <w:t>ella</w:t>
      </w:r>
      <w:r w:rsidR="00F1749E" w:rsidRPr="00CA59A5">
        <w:rPr>
          <w:rFonts w:ascii="Times New Roman" w:hAnsi="Times New Roman"/>
          <w:i/>
          <w:szCs w:val="24"/>
        </w:rPr>
        <w:t xml:space="preserve"> “</w:t>
      </w:r>
      <w:r w:rsidR="00CA59A5">
        <w:rPr>
          <w:rFonts w:ascii="Times New Roman" w:hAnsi="Times New Roman"/>
          <w:i/>
          <w:szCs w:val="24"/>
        </w:rPr>
        <w:t>.</w:t>
      </w:r>
    </w:p>
    <w:p w14:paraId="7D63C97B" w14:textId="576B373A" w:rsidR="00B84727" w:rsidRPr="00500DB3" w:rsidRDefault="00053D21" w:rsidP="00AA2BB1">
      <w:pPr>
        <w:pStyle w:val="texto"/>
        <w:ind w:firstLine="0"/>
        <w:rPr>
          <w:rFonts w:ascii="Times New Roman" w:hAnsi="Times New Roman"/>
          <w:szCs w:val="24"/>
        </w:rPr>
      </w:pPr>
      <w:r>
        <w:rPr>
          <w:rFonts w:ascii="Times New Roman" w:hAnsi="Times New Roman"/>
          <w:szCs w:val="24"/>
        </w:rPr>
        <w:t xml:space="preserve">Por este motivo, la reforma se centró en endurecer la admisión al TC a la vez que </w:t>
      </w:r>
      <w:r w:rsidR="00F1749E">
        <w:rPr>
          <w:rFonts w:ascii="Times New Roman" w:hAnsi="Times New Roman"/>
          <w:szCs w:val="24"/>
        </w:rPr>
        <w:t>se intentó</w:t>
      </w:r>
      <w:r>
        <w:rPr>
          <w:rFonts w:ascii="Times New Roman" w:hAnsi="Times New Roman"/>
          <w:szCs w:val="24"/>
        </w:rPr>
        <w:t xml:space="preserve"> dar un reforzamiento de la protección de los derechos fundamentales en la </w:t>
      </w:r>
      <w:r w:rsidR="00F1749E">
        <w:rPr>
          <w:rFonts w:ascii="Times New Roman" w:hAnsi="Times New Roman"/>
          <w:szCs w:val="24"/>
        </w:rPr>
        <w:t>vía</w:t>
      </w:r>
      <w:r>
        <w:rPr>
          <w:rFonts w:ascii="Times New Roman" w:hAnsi="Times New Roman"/>
          <w:szCs w:val="24"/>
        </w:rPr>
        <w:t xml:space="preserve"> </w:t>
      </w:r>
      <w:r>
        <w:rPr>
          <w:rFonts w:ascii="Times New Roman" w:hAnsi="Times New Roman"/>
          <w:szCs w:val="24"/>
        </w:rPr>
        <w:lastRenderedPageBreak/>
        <w:t xml:space="preserve">ordinaria mediante el incidente de nulidad de actuaciones. </w:t>
      </w:r>
      <w:r w:rsidR="00B84727">
        <w:rPr>
          <w:rFonts w:ascii="Times New Roman" w:hAnsi="Times New Roman"/>
          <w:szCs w:val="24"/>
        </w:rPr>
        <w:t>En el siguiente apartado veremos</w:t>
      </w:r>
      <w:r>
        <w:rPr>
          <w:rFonts w:ascii="Times New Roman" w:hAnsi="Times New Roman"/>
          <w:szCs w:val="24"/>
        </w:rPr>
        <w:t xml:space="preserve"> brevemente</w:t>
      </w:r>
      <w:r w:rsidR="00B84727">
        <w:rPr>
          <w:rFonts w:ascii="Times New Roman" w:hAnsi="Times New Roman"/>
          <w:szCs w:val="24"/>
        </w:rPr>
        <w:t xml:space="preserve"> la tramitación del recurso de amparo antes de la reforma de 2007.</w:t>
      </w:r>
    </w:p>
    <w:p w14:paraId="2F29C854" w14:textId="5F9E90B8" w:rsidR="00B84727" w:rsidRPr="000B5ED2" w:rsidRDefault="00F1749E" w:rsidP="00AA2BB1">
      <w:pPr>
        <w:pStyle w:val="Ttulo5"/>
      </w:pPr>
      <w:bookmarkStart w:id="93" w:name="_Toc530596839"/>
      <w:bookmarkStart w:id="94" w:name="_Toc49423603"/>
      <w:bookmarkStart w:id="95" w:name="_Toc49866480"/>
      <w:r w:rsidRPr="000B5ED2">
        <w:t>El trámite</w:t>
      </w:r>
      <w:r w:rsidR="00B84727" w:rsidRPr="000B5ED2">
        <w:t xml:space="preserve"> de admisión </w:t>
      </w:r>
      <w:r w:rsidR="00927EB6" w:rsidRPr="000B5ED2">
        <w:t xml:space="preserve">del recurso de amparo </w:t>
      </w:r>
      <w:r w:rsidR="00B84727" w:rsidRPr="000B5ED2">
        <w:t>previo a la Ley Orgánica 6/2007, de 24 de mayo</w:t>
      </w:r>
      <w:bookmarkEnd w:id="93"/>
      <w:bookmarkEnd w:id="94"/>
      <w:bookmarkEnd w:id="95"/>
    </w:p>
    <w:p w14:paraId="27F31E9C" w14:textId="3AE5BF5B" w:rsidR="004D0AA8" w:rsidRDefault="00927EB6" w:rsidP="00AA2BB1">
      <w:pPr>
        <w:pStyle w:val="texto"/>
        <w:ind w:firstLine="0"/>
        <w:rPr>
          <w:rFonts w:ascii="Times New Roman" w:hAnsi="Times New Roman"/>
          <w:szCs w:val="24"/>
        </w:rPr>
      </w:pPr>
      <w:r>
        <w:rPr>
          <w:rFonts w:ascii="Times New Roman" w:hAnsi="Times New Roman"/>
          <w:szCs w:val="24"/>
        </w:rPr>
        <w:t>La reforma efectuada por la LO 6/2007 centró su atención en la modificación del trámite de a</w:t>
      </w:r>
      <w:r w:rsidR="00527926">
        <w:rPr>
          <w:rFonts w:ascii="Times New Roman" w:hAnsi="Times New Roman"/>
          <w:szCs w:val="24"/>
        </w:rPr>
        <w:t>dmisión del recurso de amparo. Antes de estudiar el «nuevo» recurso de amparo resultar interesante recordar brevemente cómo era éste antes de la reforma de 2007 para así poder ver con más claridad dónde se ubicaban los problemas que dieron lugar al colapso del TC.</w:t>
      </w:r>
    </w:p>
    <w:p w14:paraId="06F42680" w14:textId="75E3DF22" w:rsidR="007116C6" w:rsidRDefault="007116C6" w:rsidP="00AA2BB1">
      <w:pPr>
        <w:pStyle w:val="texto"/>
        <w:ind w:firstLine="0"/>
        <w:rPr>
          <w:rFonts w:ascii="Times New Roman" w:hAnsi="Times New Roman"/>
          <w:szCs w:val="24"/>
        </w:rPr>
      </w:pPr>
      <w:r w:rsidRPr="007116C6">
        <w:rPr>
          <w:rFonts w:ascii="Times New Roman" w:hAnsi="Times New Roman"/>
          <w:szCs w:val="24"/>
        </w:rPr>
        <w:t xml:space="preserve">VILLAVERDE señala que el objeto del trámite previo de admisión es comprobar si en efecto se requiere el ejercicio de la jurisdicción de amparo. Por ello, el trámite de admisión es </w:t>
      </w:r>
      <w:r w:rsidRPr="007116C6">
        <w:rPr>
          <w:rFonts w:ascii="Times New Roman" w:hAnsi="Times New Roman"/>
          <w:i/>
          <w:szCs w:val="24"/>
        </w:rPr>
        <w:t>«la expresión primera del carácter funcional y materialmente limitado de la cognición del recurso de amparo. El carácter limitado de la jurisdicción constitucional de amparo ya perfila los términos justos de dicho trámite de admisión. Los límites de la jurisdicción constitucional de amparo son el meollo y fundamento del trámite de admisión de este recurso constitucional».</w:t>
      </w:r>
      <w:r w:rsidRPr="007116C6">
        <w:rPr>
          <w:rFonts w:ascii="Times New Roman" w:hAnsi="Times New Roman"/>
          <w:szCs w:val="24"/>
        </w:rPr>
        <w:t xml:space="preserve"> </w:t>
      </w:r>
      <w:r>
        <w:rPr>
          <w:rStyle w:val="Refdenotaalpie"/>
          <w:rFonts w:ascii="Times New Roman" w:hAnsi="Times New Roman"/>
          <w:szCs w:val="24"/>
        </w:rPr>
        <w:footnoteReference w:id="56"/>
      </w:r>
    </w:p>
    <w:p w14:paraId="2FE1E9EB" w14:textId="642CED60" w:rsidR="00B737BB" w:rsidRPr="00500DB3" w:rsidRDefault="00272445" w:rsidP="00AA2BB1">
      <w:pPr>
        <w:pStyle w:val="texto"/>
        <w:ind w:firstLine="0"/>
        <w:rPr>
          <w:rFonts w:ascii="Times New Roman" w:hAnsi="Times New Roman"/>
          <w:szCs w:val="24"/>
        </w:rPr>
      </w:pPr>
      <w:r>
        <w:rPr>
          <w:rFonts w:ascii="Times New Roman" w:hAnsi="Times New Roman"/>
          <w:szCs w:val="24"/>
        </w:rPr>
        <w:t>Pode</w:t>
      </w:r>
      <w:r w:rsidR="00EB6102">
        <w:rPr>
          <w:rFonts w:ascii="Times New Roman" w:hAnsi="Times New Roman"/>
          <w:szCs w:val="24"/>
        </w:rPr>
        <w:t xml:space="preserve">mos ver la exigencia de una </w:t>
      </w:r>
      <w:r w:rsidR="002C3D9D" w:rsidRPr="00500DB3">
        <w:rPr>
          <w:rFonts w:ascii="Times New Roman" w:hAnsi="Times New Roman"/>
          <w:szCs w:val="24"/>
        </w:rPr>
        <w:t>de requisitos para poder accionar este recurso, siendo estos requisitos una muestra patente del carácter subsidiario de este recurso</w:t>
      </w:r>
      <w:r w:rsidR="00421812">
        <w:rPr>
          <w:rFonts w:ascii="Times New Roman" w:hAnsi="Times New Roman"/>
          <w:szCs w:val="24"/>
        </w:rPr>
        <w:t>:</w:t>
      </w:r>
    </w:p>
    <w:p w14:paraId="779F8B9E" w14:textId="75D33588" w:rsidR="00421812" w:rsidRDefault="002C3D9D" w:rsidP="00AA2BB1">
      <w:pPr>
        <w:pStyle w:val="texto"/>
        <w:ind w:firstLine="0"/>
        <w:rPr>
          <w:rFonts w:ascii="Times New Roman" w:hAnsi="Times New Roman"/>
          <w:szCs w:val="24"/>
        </w:rPr>
      </w:pPr>
      <w:r w:rsidRPr="00500DB3">
        <w:rPr>
          <w:rFonts w:ascii="Times New Roman" w:hAnsi="Times New Roman"/>
          <w:szCs w:val="24"/>
        </w:rPr>
        <w:t>En primer lugar, sólo podremos acudir en amparo</w:t>
      </w:r>
      <w:r w:rsidR="00DD632B" w:rsidRPr="00500DB3">
        <w:rPr>
          <w:rFonts w:ascii="Times New Roman" w:hAnsi="Times New Roman"/>
          <w:szCs w:val="24"/>
        </w:rPr>
        <w:t xml:space="preserve"> ante el TC</w:t>
      </w:r>
      <w:r w:rsidRPr="00500DB3">
        <w:rPr>
          <w:rFonts w:ascii="Times New Roman" w:hAnsi="Times New Roman"/>
          <w:szCs w:val="24"/>
        </w:rPr>
        <w:t xml:space="preserve"> cuando se hayan agotado todos los instrumentos ordinarios de defensa de los derechos fundamentales (arts. 43.1 y 44.1 LOTC)</w:t>
      </w:r>
      <w:r w:rsidR="00E53146" w:rsidRPr="00500DB3">
        <w:rPr>
          <w:rFonts w:ascii="Times New Roman" w:hAnsi="Times New Roman"/>
          <w:szCs w:val="24"/>
        </w:rPr>
        <w:t>, muestra principal del carácter subsidiario del recurso de amparo</w:t>
      </w:r>
      <w:r w:rsidRPr="00500DB3">
        <w:rPr>
          <w:rFonts w:ascii="Times New Roman" w:hAnsi="Times New Roman"/>
          <w:szCs w:val="24"/>
        </w:rPr>
        <w:t xml:space="preserve">. </w:t>
      </w:r>
    </w:p>
    <w:p w14:paraId="36152D5F" w14:textId="62AA5753" w:rsidR="002E198A" w:rsidRPr="00500DB3" w:rsidRDefault="00F1749E" w:rsidP="00AA2BB1">
      <w:pPr>
        <w:pStyle w:val="texto"/>
        <w:ind w:firstLine="0"/>
        <w:rPr>
          <w:rFonts w:ascii="Times New Roman" w:hAnsi="Times New Roman"/>
          <w:szCs w:val="24"/>
        </w:rPr>
      </w:pPr>
      <w:r>
        <w:rPr>
          <w:rFonts w:ascii="Times New Roman" w:hAnsi="Times New Roman"/>
          <w:szCs w:val="24"/>
        </w:rPr>
        <w:t xml:space="preserve">Añadir </w:t>
      </w:r>
      <w:r w:rsidRPr="00500DB3">
        <w:rPr>
          <w:rFonts w:ascii="Times New Roman" w:hAnsi="Times New Roman"/>
          <w:szCs w:val="24"/>
        </w:rPr>
        <w:t>en</w:t>
      </w:r>
      <w:r w:rsidR="002E198A" w:rsidRPr="00500DB3">
        <w:rPr>
          <w:rFonts w:ascii="Times New Roman" w:hAnsi="Times New Roman"/>
          <w:szCs w:val="24"/>
        </w:rPr>
        <w:t xml:space="preserve"> este punto una nota muy importante. La exigencia del agotamiento de la vía ordinaria previa al recurso de amparo deriva también del hecho de que sólo quepa en el amparo constitucional la protección de actos procedentes de los po</w:t>
      </w:r>
      <w:r w:rsidR="002E198A">
        <w:rPr>
          <w:rFonts w:ascii="Times New Roman" w:hAnsi="Times New Roman"/>
          <w:szCs w:val="24"/>
        </w:rPr>
        <w:t>deres públicos (art. 44.2 LOTC). E</w:t>
      </w:r>
      <w:r w:rsidR="002E198A" w:rsidRPr="00500DB3">
        <w:rPr>
          <w:rFonts w:ascii="Times New Roman" w:hAnsi="Times New Roman"/>
          <w:szCs w:val="24"/>
        </w:rPr>
        <w:t xml:space="preserve">s por ello que al requerir que se agoten los recursos ordinarios previos podemos acudir al TC alegando, no que nuestro derecho haya sido vulnerado por un </w:t>
      </w:r>
      <w:r w:rsidR="002E198A" w:rsidRPr="00500DB3">
        <w:rPr>
          <w:rFonts w:ascii="Times New Roman" w:hAnsi="Times New Roman"/>
          <w:szCs w:val="24"/>
        </w:rPr>
        <w:lastRenderedPageBreak/>
        <w:t>particular, sino que éste ha sido vulnerado por el propio poder público al no haber reconocido la vul</w:t>
      </w:r>
      <w:r w:rsidR="002E198A">
        <w:rPr>
          <w:rFonts w:ascii="Times New Roman" w:hAnsi="Times New Roman"/>
          <w:szCs w:val="24"/>
        </w:rPr>
        <w:t>neración de un</w:t>
      </w:r>
      <w:r w:rsidR="002E198A" w:rsidRPr="00500DB3">
        <w:rPr>
          <w:rFonts w:ascii="Times New Roman" w:hAnsi="Times New Roman"/>
          <w:szCs w:val="24"/>
        </w:rPr>
        <w:t xml:space="preserve"> derecho. En otras palabras, aunque la vulneración haya sido provocada por un particular, para acudir al amparo constitucional debemos alegar que esta vulneración la ha provocado el Juez o Tribunal que resolviendo en asunto no la reconoció, de otro modo, no podríamos acudir a esta vía de amparo.</w:t>
      </w:r>
      <w:r w:rsidR="002E198A">
        <w:rPr>
          <w:rFonts w:ascii="Times New Roman" w:hAnsi="Times New Roman"/>
          <w:szCs w:val="24"/>
        </w:rPr>
        <w:t xml:space="preserve"> </w:t>
      </w:r>
    </w:p>
    <w:p w14:paraId="0E68AF6E" w14:textId="3EBC325F" w:rsidR="00421812" w:rsidRDefault="002C3D9D" w:rsidP="00AA2BB1">
      <w:pPr>
        <w:pStyle w:val="texto"/>
        <w:ind w:firstLine="0"/>
        <w:rPr>
          <w:rFonts w:ascii="Times New Roman" w:hAnsi="Times New Roman"/>
          <w:szCs w:val="24"/>
        </w:rPr>
      </w:pPr>
      <w:r w:rsidRPr="00500DB3">
        <w:rPr>
          <w:rFonts w:ascii="Times New Roman" w:hAnsi="Times New Roman"/>
          <w:szCs w:val="24"/>
        </w:rPr>
        <w:t xml:space="preserve">En segundo lugar, el art. 46.1 b) LOTC señala que para acudir en amparo ante el TC es necesario haber sido parte en el proceso judicial correspondiente. </w:t>
      </w:r>
    </w:p>
    <w:p w14:paraId="08D7A5A8" w14:textId="1BF2F10A" w:rsidR="002C3D9D" w:rsidRPr="00500DB3" w:rsidRDefault="002C3D9D" w:rsidP="00AA2BB1">
      <w:pPr>
        <w:pStyle w:val="texto"/>
        <w:ind w:firstLine="0"/>
        <w:rPr>
          <w:rFonts w:ascii="Times New Roman" w:hAnsi="Times New Roman"/>
          <w:szCs w:val="24"/>
        </w:rPr>
      </w:pPr>
      <w:r w:rsidRPr="00500DB3">
        <w:rPr>
          <w:rFonts w:ascii="Times New Roman" w:hAnsi="Times New Roman"/>
          <w:szCs w:val="24"/>
        </w:rPr>
        <w:t>En tercer y último lugar, se exige que se haya invocado previamente ante los órganos judiciales el derecho vulnerado (art. 44.1 c] LOTC</w:t>
      </w:r>
      <w:r w:rsidR="00AA2BB1">
        <w:rPr>
          <w:rFonts w:ascii="Times New Roman" w:hAnsi="Times New Roman"/>
          <w:szCs w:val="24"/>
        </w:rPr>
        <w:t>). Este requisito deriva, además</w:t>
      </w:r>
      <w:r w:rsidRPr="00500DB3">
        <w:rPr>
          <w:rFonts w:ascii="Times New Roman" w:hAnsi="Times New Roman"/>
          <w:szCs w:val="24"/>
        </w:rPr>
        <w:t xml:space="preserve"> del carácter subsidiario del recur</w:t>
      </w:r>
      <w:r w:rsidR="00E53146" w:rsidRPr="00500DB3">
        <w:rPr>
          <w:rFonts w:ascii="Times New Roman" w:hAnsi="Times New Roman"/>
          <w:szCs w:val="24"/>
        </w:rPr>
        <w:t>s</w:t>
      </w:r>
      <w:r w:rsidRPr="00500DB3">
        <w:rPr>
          <w:rFonts w:ascii="Times New Roman" w:hAnsi="Times New Roman"/>
          <w:szCs w:val="24"/>
        </w:rPr>
        <w:t xml:space="preserve">o, del hecho de que los garantes naturales de los derechos fundamentales </w:t>
      </w:r>
      <w:r w:rsidR="004D0AA8">
        <w:rPr>
          <w:rFonts w:ascii="Times New Roman" w:hAnsi="Times New Roman"/>
          <w:szCs w:val="24"/>
        </w:rPr>
        <w:t>son los juec</w:t>
      </w:r>
      <w:r w:rsidR="00E53146" w:rsidRPr="00500DB3">
        <w:rPr>
          <w:rFonts w:ascii="Times New Roman" w:hAnsi="Times New Roman"/>
          <w:szCs w:val="24"/>
        </w:rPr>
        <w:t>es y tribunales ordinarios.</w:t>
      </w:r>
    </w:p>
    <w:p w14:paraId="054B8AAD" w14:textId="2E3394DA" w:rsidR="00E53146" w:rsidRPr="00500DB3" w:rsidRDefault="00EB6102" w:rsidP="00AA2BB1">
      <w:pPr>
        <w:pStyle w:val="texto"/>
        <w:ind w:firstLine="0"/>
        <w:rPr>
          <w:rFonts w:ascii="Times New Roman" w:hAnsi="Times New Roman"/>
          <w:szCs w:val="24"/>
        </w:rPr>
      </w:pPr>
      <w:r>
        <w:rPr>
          <w:rFonts w:ascii="Times New Roman" w:hAnsi="Times New Roman"/>
          <w:szCs w:val="24"/>
        </w:rPr>
        <w:t>C</w:t>
      </w:r>
      <w:r w:rsidR="00E53146" w:rsidRPr="00500DB3">
        <w:rPr>
          <w:rFonts w:ascii="Times New Roman" w:hAnsi="Times New Roman"/>
          <w:szCs w:val="24"/>
        </w:rPr>
        <w:t>entrándonos ahora en el procedimiento</w:t>
      </w:r>
      <w:r w:rsidR="00E53146" w:rsidRPr="00500DB3">
        <w:rPr>
          <w:rStyle w:val="Refdenotaalpie"/>
          <w:rFonts w:ascii="Times New Roman" w:hAnsi="Times New Roman"/>
          <w:szCs w:val="24"/>
        </w:rPr>
        <w:footnoteReference w:id="57"/>
      </w:r>
      <w:r w:rsidR="00E53146" w:rsidRPr="00500DB3">
        <w:rPr>
          <w:rFonts w:ascii="Times New Roman" w:hAnsi="Times New Roman"/>
          <w:szCs w:val="24"/>
        </w:rPr>
        <w:t xml:space="preserve"> y sus efectos</w:t>
      </w:r>
      <w:r w:rsidR="00A13BE8" w:rsidRPr="00500DB3">
        <w:rPr>
          <w:rFonts w:ascii="Times New Roman" w:hAnsi="Times New Roman"/>
          <w:szCs w:val="24"/>
        </w:rPr>
        <w:t xml:space="preserve"> (</w:t>
      </w:r>
      <w:r>
        <w:rPr>
          <w:rFonts w:ascii="Times New Roman" w:hAnsi="Times New Roman"/>
          <w:szCs w:val="24"/>
        </w:rPr>
        <w:t xml:space="preserve">recordemos que </w:t>
      </w:r>
      <w:r w:rsidR="00A13BE8" w:rsidRPr="00500DB3">
        <w:rPr>
          <w:rFonts w:ascii="Times New Roman" w:hAnsi="Times New Roman"/>
          <w:szCs w:val="24"/>
        </w:rPr>
        <w:t>nos estamos refiriendo al procedimiento establecido en la LOTC antes de la reforma de la LO 6/2007, de 24 de mayo)</w:t>
      </w:r>
      <w:r w:rsidR="00272445">
        <w:rPr>
          <w:rFonts w:ascii="Times New Roman" w:hAnsi="Times New Roman"/>
          <w:szCs w:val="24"/>
        </w:rPr>
        <w:t>, señalar que éste se encontraba</w:t>
      </w:r>
      <w:r w:rsidR="00E53146" w:rsidRPr="00500DB3">
        <w:rPr>
          <w:rFonts w:ascii="Times New Roman" w:hAnsi="Times New Roman"/>
          <w:szCs w:val="24"/>
        </w:rPr>
        <w:t xml:space="preserve"> caracterizado por ciertos rasgos específicos que</w:t>
      </w:r>
      <w:r w:rsidR="00272445">
        <w:rPr>
          <w:rFonts w:ascii="Times New Roman" w:hAnsi="Times New Roman"/>
          <w:szCs w:val="24"/>
        </w:rPr>
        <w:t xml:space="preserve"> lo hacía</w:t>
      </w:r>
      <w:r w:rsidR="00E53146" w:rsidRPr="00500DB3">
        <w:rPr>
          <w:rFonts w:ascii="Times New Roman" w:hAnsi="Times New Roman"/>
          <w:szCs w:val="24"/>
        </w:rPr>
        <w:t xml:space="preserve"> diferente al resto de recursos ordinarios. </w:t>
      </w:r>
    </w:p>
    <w:p w14:paraId="148A261C" w14:textId="04185F13" w:rsidR="004D2D46" w:rsidRPr="00500DB3" w:rsidRDefault="0055120D" w:rsidP="00AA2BB1">
      <w:pPr>
        <w:pStyle w:val="texto"/>
        <w:ind w:firstLine="0"/>
        <w:rPr>
          <w:rFonts w:ascii="Times New Roman" w:hAnsi="Times New Roman"/>
          <w:szCs w:val="24"/>
        </w:rPr>
      </w:pPr>
      <w:r w:rsidRPr="00500DB3">
        <w:rPr>
          <w:rFonts w:ascii="Times New Roman" w:hAnsi="Times New Roman"/>
          <w:szCs w:val="24"/>
        </w:rPr>
        <w:t>El recurso de amparo consta</w:t>
      </w:r>
      <w:r w:rsidR="00272445">
        <w:rPr>
          <w:rFonts w:ascii="Times New Roman" w:hAnsi="Times New Roman"/>
          <w:szCs w:val="24"/>
        </w:rPr>
        <w:t>ba</w:t>
      </w:r>
      <w:r w:rsidRPr="00500DB3">
        <w:rPr>
          <w:rFonts w:ascii="Times New Roman" w:hAnsi="Times New Roman"/>
          <w:szCs w:val="24"/>
        </w:rPr>
        <w:t xml:space="preserve"> de un trámite previo </w:t>
      </w:r>
      <w:r w:rsidR="00272445">
        <w:rPr>
          <w:rFonts w:ascii="Times New Roman" w:hAnsi="Times New Roman"/>
          <w:szCs w:val="24"/>
        </w:rPr>
        <w:t xml:space="preserve">de admisión. Este trámite tenía </w:t>
      </w:r>
      <w:r w:rsidRPr="00500DB3">
        <w:rPr>
          <w:rFonts w:ascii="Times New Roman" w:hAnsi="Times New Roman"/>
          <w:szCs w:val="24"/>
        </w:rPr>
        <w:t>por objeto</w:t>
      </w:r>
      <w:r w:rsidR="00272445">
        <w:rPr>
          <w:rFonts w:ascii="Times New Roman" w:hAnsi="Times New Roman"/>
          <w:szCs w:val="24"/>
        </w:rPr>
        <w:t xml:space="preserve"> verificar que la demanda cumpliera</w:t>
      </w:r>
      <w:r w:rsidRPr="00500DB3">
        <w:rPr>
          <w:rFonts w:ascii="Times New Roman" w:hAnsi="Times New Roman"/>
          <w:szCs w:val="24"/>
        </w:rPr>
        <w:t xml:space="preserve"> los requisitos formales y de fondo. </w:t>
      </w:r>
      <w:r w:rsidR="00272445">
        <w:rPr>
          <w:rFonts w:ascii="Times New Roman" w:hAnsi="Times New Roman"/>
          <w:szCs w:val="24"/>
        </w:rPr>
        <w:t>En caso de que no los cumpliese</w:t>
      </w:r>
      <w:r w:rsidR="004D2D46" w:rsidRPr="00500DB3">
        <w:rPr>
          <w:rFonts w:ascii="Times New Roman" w:hAnsi="Times New Roman"/>
          <w:szCs w:val="24"/>
        </w:rPr>
        <w:t>, la demanda s</w:t>
      </w:r>
      <w:r w:rsidR="00272445">
        <w:rPr>
          <w:rFonts w:ascii="Times New Roman" w:hAnsi="Times New Roman"/>
          <w:szCs w:val="24"/>
        </w:rPr>
        <w:t>ería</w:t>
      </w:r>
      <w:r w:rsidR="004D2D46" w:rsidRPr="00500DB3">
        <w:rPr>
          <w:rFonts w:ascii="Times New Roman" w:hAnsi="Times New Roman"/>
          <w:szCs w:val="24"/>
        </w:rPr>
        <w:t xml:space="preserve"> inadmitida. </w:t>
      </w:r>
      <w:r w:rsidRPr="00500DB3">
        <w:rPr>
          <w:rFonts w:ascii="Times New Roman" w:hAnsi="Times New Roman"/>
          <w:szCs w:val="24"/>
        </w:rPr>
        <w:t xml:space="preserve">Pese a </w:t>
      </w:r>
      <w:r w:rsidR="00272445">
        <w:rPr>
          <w:rFonts w:ascii="Times New Roman" w:hAnsi="Times New Roman"/>
          <w:szCs w:val="24"/>
        </w:rPr>
        <w:t>ello, si el defecto se observaba</w:t>
      </w:r>
      <w:r w:rsidRPr="00500DB3">
        <w:rPr>
          <w:rFonts w:ascii="Times New Roman" w:hAnsi="Times New Roman"/>
          <w:szCs w:val="24"/>
        </w:rPr>
        <w:t xml:space="preserve"> en otro momento del proceso</w:t>
      </w:r>
      <w:r w:rsidR="00272445">
        <w:rPr>
          <w:rFonts w:ascii="Times New Roman" w:hAnsi="Times New Roman"/>
          <w:szCs w:val="24"/>
        </w:rPr>
        <w:t>,</w:t>
      </w:r>
      <w:r w:rsidRPr="00500DB3">
        <w:rPr>
          <w:rFonts w:ascii="Times New Roman" w:hAnsi="Times New Roman"/>
          <w:szCs w:val="24"/>
        </w:rPr>
        <w:t xml:space="preserve"> también se </w:t>
      </w:r>
      <w:r w:rsidR="00272445">
        <w:rPr>
          <w:rFonts w:ascii="Times New Roman" w:hAnsi="Times New Roman"/>
          <w:szCs w:val="24"/>
        </w:rPr>
        <w:t>podía proceder</w:t>
      </w:r>
      <w:r w:rsidRPr="00500DB3">
        <w:rPr>
          <w:rFonts w:ascii="Times New Roman" w:hAnsi="Times New Roman"/>
          <w:szCs w:val="24"/>
        </w:rPr>
        <w:t xml:space="preserve"> a su control y, en su</w:t>
      </w:r>
      <w:r w:rsidR="00272445">
        <w:rPr>
          <w:rFonts w:ascii="Times New Roman" w:hAnsi="Times New Roman"/>
          <w:szCs w:val="24"/>
        </w:rPr>
        <w:t xml:space="preserve"> caso, era</w:t>
      </w:r>
      <w:r w:rsidRPr="00500DB3">
        <w:rPr>
          <w:rFonts w:ascii="Times New Roman" w:hAnsi="Times New Roman"/>
          <w:szCs w:val="24"/>
        </w:rPr>
        <w:t xml:space="preserve"> motivo de desestimación. </w:t>
      </w:r>
      <w:r w:rsidR="00272445">
        <w:rPr>
          <w:rFonts w:ascii="Times New Roman" w:hAnsi="Times New Roman"/>
          <w:szCs w:val="24"/>
        </w:rPr>
        <w:t xml:space="preserve"> En caso de que los cumpliera, se admitía</w:t>
      </w:r>
      <w:r w:rsidR="006E5836" w:rsidRPr="00500DB3">
        <w:rPr>
          <w:rFonts w:ascii="Times New Roman" w:hAnsi="Times New Roman"/>
          <w:szCs w:val="24"/>
        </w:rPr>
        <w:t xml:space="preserve"> a trámite, entrando en la segunda fase de procedimiento. </w:t>
      </w:r>
    </w:p>
    <w:p w14:paraId="7F8B08D2" w14:textId="48140C7E" w:rsidR="00701280" w:rsidRPr="00500DB3" w:rsidRDefault="00607A6F" w:rsidP="00AA2BB1">
      <w:pPr>
        <w:pStyle w:val="texto"/>
        <w:ind w:firstLine="0"/>
        <w:rPr>
          <w:rFonts w:ascii="Times New Roman" w:hAnsi="Times New Roman"/>
          <w:i/>
          <w:szCs w:val="24"/>
        </w:rPr>
      </w:pPr>
      <w:r w:rsidRPr="00500DB3">
        <w:rPr>
          <w:rFonts w:ascii="Times New Roman" w:hAnsi="Times New Roman"/>
          <w:szCs w:val="24"/>
        </w:rPr>
        <w:t>Las causas de inadmisión</w:t>
      </w:r>
      <w:r w:rsidR="0055120D" w:rsidRPr="00500DB3">
        <w:rPr>
          <w:rStyle w:val="Refdenotaalpie"/>
          <w:rFonts w:ascii="Times New Roman" w:hAnsi="Times New Roman"/>
          <w:szCs w:val="24"/>
        </w:rPr>
        <w:footnoteReference w:id="58"/>
      </w:r>
      <w:r w:rsidR="00272445">
        <w:rPr>
          <w:rFonts w:ascii="Times New Roman" w:hAnsi="Times New Roman"/>
          <w:szCs w:val="24"/>
        </w:rPr>
        <w:t xml:space="preserve"> que permitía</w:t>
      </w:r>
      <w:r w:rsidRPr="00500DB3">
        <w:rPr>
          <w:rFonts w:ascii="Times New Roman" w:hAnsi="Times New Roman"/>
          <w:szCs w:val="24"/>
        </w:rPr>
        <w:t>n rechazar las demandas de amp</w:t>
      </w:r>
      <w:r w:rsidR="00272445">
        <w:rPr>
          <w:rFonts w:ascii="Times New Roman" w:hAnsi="Times New Roman"/>
          <w:szCs w:val="24"/>
        </w:rPr>
        <w:t>aro en esta primera fase aparecía</w:t>
      </w:r>
      <w:r w:rsidRPr="00500DB3">
        <w:rPr>
          <w:rFonts w:ascii="Times New Roman" w:hAnsi="Times New Roman"/>
          <w:szCs w:val="24"/>
        </w:rPr>
        <w:t>n recogidas en el artículo 50 de la LOTC</w:t>
      </w:r>
      <w:r w:rsidR="0055120D" w:rsidRPr="00500DB3">
        <w:rPr>
          <w:rFonts w:ascii="Times New Roman" w:hAnsi="Times New Roman"/>
          <w:szCs w:val="24"/>
        </w:rPr>
        <w:t xml:space="preserve">. </w:t>
      </w:r>
      <w:r w:rsidR="00701280" w:rsidRPr="00500DB3">
        <w:rPr>
          <w:rFonts w:ascii="Times New Roman" w:hAnsi="Times New Roman"/>
          <w:szCs w:val="24"/>
        </w:rPr>
        <w:t>Es importante destacar que este artículo su</w:t>
      </w:r>
      <w:r w:rsidR="0063386E">
        <w:rPr>
          <w:rFonts w:ascii="Times New Roman" w:hAnsi="Times New Roman"/>
          <w:szCs w:val="24"/>
        </w:rPr>
        <w:t>frió una importante reforma</w:t>
      </w:r>
      <w:r w:rsidR="00701280" w:rsidRPr="00500DB3">
        <w:rPr>
          <w:rFonts w:ascii="Times New Roman" w:hAnsi="Times New Roman"/>
          <w:szCs w:val="24"/>
        </w:rPr>
        <w:t xml:space="preserve"> anterior a la de 2007. Tanto el artículo 50</w:t>
      </w:r>
      <w:r w:rsidR="00272445">
        <w:rPr>
          <w:rFonts w:ascii="Times New Roman" w:hAnsi="Times New Roman"/>
          <w:szCs w:val="24"/>
        </w:rPr>
        <w:t xml:space="preserve"> como el artículo 86.1 fueron objeto</w:t>
      </w:r>
      <w:r w:rsidR="00701280" w:rsidRPr="00500DB3">
        <w:rPr>
          <w:rFonts w:ascii="Times New Roman" w:hAnsi="Times New Roman"/>
          <w:szCs w:val="24"/>
        </w:rPr>
        <w:t xml:space="preserve"> una gran modificación fruto de la Ley Orgánica 6/1988, de 9 de junio. Esta reforma consistió, en palabras de FERNÁNDEZ FARRERES, </w:t>
      </w:r>
      <w:r w:rsidR="00701280" w:rsidRPr="00500DB3">
        <w:rPr>
          <w:rFonts w:ascii="Times New Roman" w:hAnsi="Times New Roman"/>
          <w:i/>
          <w:szCs w:val="24"/>
        </w:rPr>
        <w:lastRenderedPageBreak/>
        <w:t xml:space="preserve">“en arbitrar un procedimiento más expeditivo para la inadmisión de los recursos de amparo en los que ocurra alguna de las causas de inadmisión que el propio artículo 50 prevé. En consecuencia, cuando en la correspondiente Sección hubiere unanimidad de sus miembros, el acuerdo de inadmisión se adoptará de plano, sin trámite previo alguno de audiencia al solicitante de amparo y al Ministerio Fiscal. La resolución tendrá la forma de providencia motivada, se notificará al solicitante de amparo y al Ministerio Fiscal y frente a la misma sólo podrá recurrir en súplica el Ministerio Fiscal, resolviéndose el recurso mediante auto </w:t>
      </w:r>
      <w:proofErr w:type="spellStart"/>
      <w:r w:rsidR="00701280" w:rsidRPr="00500DB3">
        <w:rPr>
          <w:rFonts w:ascii="Times New Roman" w:hAnsi="Times New Roman"/>
          <w:i/>
          <w:szCs w:val="24"/>
        </w:rPr>
        <w:t>in</w:t>
      </w:r>
      <w:r w:rsidR="00272445">
        <w:rPr>
          <w:rFonts w:ascii="Times New Roman" w:hAnsi="Times New Roman"/>
          <w:i/>
          <w:szCs w:val="24"/>
        </w:rPr>
        <w:t>susceptible</w:t>
      </w:r>
      <w:proofErr w:type="spellEnd"/>
      <w:r w:rsidR="00272445">
        <w:rPr>
          <w:rFonts w:ascii="Times New Roman" w:hAnsi="Times New Roman"/>
          <w:i/>
          <w:szCs w:val="24"/>
        </w:rPr>
        <w:t xml:space="preserve"> ya de recurso</w:t>
      </w:r>
      <w:r w:rsidR="00701280" w:rsidRPr="00500DB3">
        <w:rPr>
          <w:rFonts w:ascii="Times New Roman" w:hAnsi="Times New Roman"/>
          <w:i/>
          <w:szCs w:val="24"/>
        </w:rPr>
        <w:t xml:space="preserve"> alguno”</w:t>
      </w:r>
      <w:r w:rsidR="00272445">
        <w:rPr>
          <w:rFonts w:ascii="Times New Roman" w:hAnsi="Times New Roman"/>
          <w:i/>
          <w:szCs w:val="24"/>
        </w:rPr>
        <w:t>.</w:t>
      </w:r>
      <w:r w:rsidR="00272445" w:rsidRPr="00272445">
        <w:rPr>
          <w:rStyle w:val="Refdenotaalpie"/>
          <w:rFonts w:ascii="Times New Roman" w:hAnsi="Times New Roman"/>
          <w:i/>
          <w:szCs w:val="24"/>
        </w:rPr>
        <w:t xml:space="preserve"> </w:t>
      </w:r>
      <w:r w:rsidR="00272445" w:rsidRPr="00500DB3">
        <w:rPr>
          <w:rStyle w:val="Refdenotaalpie"/>
          <w:rFonts w:ascii="Times New Roman" w:hAnsi="Times New Roman"/>
          <w:i/>
          <w:szCs w:val="24"/>
        </w:rPr>
        <w:footnoteReference w:id="59"/>
      </w:r>
    </w:p>
    <w:p w14:paraId="15F81E48" w14:textId="489AF94B" w:rsidR="00ED7912" w:rsidRPr="00500DB3" w:rsidRDefault="00ED7912" w:rsidP="00AA2BB1">
      <w:pPr>
        <w:pStyle w:val="texto"/>
        <w:ind w:firstLine="0"/>
        <w:rPr>
          <w:rFonts w:ascii="Times New Roman" w:hAnsi="Times New Roman"/>
          <w:szCs w:val="24"/>
        </w:rPr>
      </w:pPr>
      <w:r w:rsidRPr="00500DB3">
        <w:rPr>
          <w:rFonts w:ascii="Times New Roman" w:hAnsi="Times New Roman"/>
          <w:szCs w:val="24"/>
        </w:rPr>
        <w:t>Se abrió desde ese momento la posibilidad de que las Secciones del TC, encargadas de decidir sobre la admisibilidad o inadmisibilidad de los recurso</w:t>
      </w:r>
      <w:r w:rsidR="0063386E">
        <w:rPr>
          <w:rFonts w:ascii="Times New Roman" w:hAnsi="Times New Roman"/>
          <w:szCs w:val="24"/>
        </w:rPr>
        <w:t>s, a no ser que las Salas recabara</w:t>
      </w:r>
      <w:r w:rsidRPr="00500DB3">
        <w:rPr>
          <w:rFonts w:ascii="Times New Roman" w:hAnsi="Times New Roman"/>
          <w:szCs w:val="24"/>
        </w:rPr>
        <w:t xml:space="preserve">n para sí la resolución, pudieran acordar de plano la inadmisión del recurso de amparo mediante una simple providencia, no necesitando por tanto la audiencia previa del solicitante de amparo ni del Ministerio Fiscal. </w:t>
      </w:r>
    </w:p>
    <w:p w14:paraId="44DF91E9" w14:textId="5A00DA30" w:rsidR="00ED7912" w:rsidRPr="00500DB3" w:rsidRDefault="00ED7912" w:rsidP="00AA2BB1">
      <w:pPr>
        <w:pStyle w:val="texto"/>
        <w:ind w:firstLine="0"/>
        <w:rPr>
          <w:rFonts w:ascii="Times New Roman" w:hAnsi="Times New Roman"/>
          <w:szCs w:val="24"/>
        </w:rPr>
      </w:pPr>
      <w:r w:rsidRPr="00500DB3">
        <w:rPr>
          <w:rFonts w:ascii="Times New Roman" w:hAnsi="Times New Roman"/>
          <w:szCs w:val="24"/>
        </w:rPr>
        <w:t xml:space="preserve">Podemos ver, por tanto, con esta reforma un intento previo al de </w:t>
      </w:r>
      <w:r w:rsidR="00F1749E" w:rsidRPr="00500DB3">
        <w:rPr>
          <w:rFonts w:ascii="Times New Roman" w:hAnsi="Times New Roman"/>
          <w:szCs w:val="24"/>
        </w:rPr>
        <w:t>la LO</w:t>
      </w:r>
      <w:r w:rsidRPr="00500DB3">
        <w:rPr>
          <w:rFonts w:ascii="Times New Roman" w:hAnsi="Times New Roman"/>
          <w:szCs w:val="24"/>
        </w:rPr>
        <w:t xml:space="preserve"> 6/2007 de descargar al TC de </w:t>
      </w:r>
      <w:r w:rsidR="00F1749E" w:rsidRPr="00500DB3">
        <w:rPr>
          <w:rFonts w:ascii="Times New Roman" w:hAnsi="Times New Roman"/>
          <w:szCs w:val="24"/>
        </w:rPr>
        <w:t>trabajo,</w:t>
      </w:r>
      <w:r w:rsidRPr="00500DB3">
        <w:rPr>
          <w:rFonts w:ascii="Times New Roman" w:hAnsi="Times New Roman"/>
          <w:szCs w:val="24"/>
        </w:rPr>
        <w:t xml:space="preserve"> así como acelerar el proceso, especialmente, en el trámite de admisión de las demandas de amparo.</w:t>
      </w:r>
    </w:p>
    <w:p w14:paraId="5810580A" w14:textId="5F55514F" w:rsidR="001B4ADA" w:rsidRDefault="00ED7912" w:rsidP="00AA2BB1">
      <w:pPr>
        <w:pStyle w:val="texto"/>
        <w:ind w:firstLine="0"/>
        <w:rPr>
          <w:rFonts w:ascii="Times New Roman" w:hAnsi="Times New Roman"/>
          <w:szCs w:val="24"/>
        </w:rPr>
      </w:pPr>
      <w:r w:rsidRPr="00500DB3">
        <w:rPr>
          <w:rFonts w:ascii="Times New Roman" w:hAnsi="Times New Roman"/>
          <w:szCs w:val="24"/>
        </w:rPr>
        <w:t xml:space="preserve">Como veremos más adelante, el artículo 50 </w:t>
      </w:r>
      <w:r w:rsidR="006249E6">
        <w:rPr>
          <w:rFonts w:ascii="Times New Roman" w:hAnsi="Times New Roman"/>
          <w:szCs w:val="24"/>
        </w:rPr>
        <w:t>fue</w:t>
      </w:r>
      <w:r w:rsidR="0055120D" w:rsidRPr="00500DB3">
        <w:rPr>
          <w:rFonts w:ascii="Times New Roman" w:hAnsi="Times New Roman"/>
          <w:szCs w:val="24"/>
        </w:rPr>
        <w:t xml:space="preserve"> uno de los artí</w:t>
      </w:r>
      <w:r w:rsidR="006249E6">
        <w:rPr>
          <w:rFonts w:ascii="Times New Roman" w:hAnsi="Times New Roman"/>
          <w:szCs w:val="24"/>
        </w:rPr>
        <w:t>culos de la LOTC que sufrieron</w:t>
      </w:r>
      <w:r w:rsidR="0055120D" w:rsidRPr="00500DB3">
        <w:rPr>
          <w:rFonts w:ascii="Times New Roman" w:hAnsi="Times New Roman"/>
          <w:szCs w:val="24"/>
        </w:rPr>
        <w:t xml:space="preserve"> una mayor modificación tras la reforma</w:t>
      </w:r>
      <w:r w:rsidR="006249E6">
        <w:rPr>
          <w:rFonts w:ascii="Times New Roman" w:hAnsi="Times New Roman"/>
          <w:szCs w:val="24"/>
        </w:rPr>
        <w:t xml:space="preserve"> de </w:t>
      </w:r>
      <w:r w:rsidR="00F1749E">
        <w:rPr>
          <w:rFonts w:ascii="Times New Roman" w:hAnsi="Times New Roman"/>
          <w:szCs w:val="24"/>
        </w:rPr>
        <w:t>la LO</w:t>
      </w:r>
      <w:r w:rsidR="006249E6">
        <w:rPr>
          <w:rFonts w:ascii="Times New Roman" w:hAnsi="Times New Roman"/>
          <w:szCs w:val="24"/>
        </w:rPr>
        <w:t xml:space="preserve"> 6/2007</w:t>
      </w:r>
      <w:r w:rsidR="00607A6F" w:rsidRPr="00500DB3">
        <w:rPr>
          <w:rFonts w:ascii="Times New Roman" w:hAnsi="Times New Roman"/>
          <w:szCs w:val="24"/>
        </w:rPr>
        <w:t>.</w:t>
      </w:r>
      <w:r w:rsidR="004453FC">
        <w:rPr>
          <w:rFonts w:ascii="Times New Roman" w:hAnsi="Times New Roman"/>
          <w:szCs w:val="24"/>
        </w:rPr>
        <w:t xml:space="preserve"> </w:t>
      </w:r>
      <w:r w:rsidR="006249E6">
        <w:rPr>
          <w:rFonts w:ascii="Times New Roman" w:hAnsi="Times New Roman"/>
          <w:szCs w:val="24"/>
        </w:rPr>
        <w:t>Este</w:t>
      </w:r>
      <w:r w:rsidR="004453FC" w:rsidRPr="004453FC">
        <w:rPr>
          <w:rFonts w:ascii="Times New Roman" w:hAnsi="Times New Roman"/>
          <w:szCs w:val="24"/>
        </w:rPr>
        <w:t xml:space="preserve"> precepto</w:t>
      </w:r>
      <w:r w:rsidR="006249E6">
        <w:rPr>
          <w:rFonts w:ascii="Times New Roman" w:hAnsi="Times New Roman"/>
          <w:szCs w:val="24"/>
        </w:rPr>
        <w:t>,</w:t>
      </w:r>
      <w:r w:rsidR="004453FC" w:rsidRPr="004453FC">
        <w:rPr>
          <w:rFonts w:ascii="Times New Roman" w:hAnsi="Times New Roman"/>
          <w:szCs w:val="24"/>
        </w:rPr>
        <w:t xml:space="preserve"> que regulaba la admisión en la L</w:t>
      </w:r>
      <w:r w:rsidR="004453FC">
        <w:rPr>
          <w:rFonts w:ascii="Times New Roman" w:hAnsi="Times New Roman"/>
          <w:szCs w:val="24"/>
        </w:rPr>
        <w:t>OTC previa a</w:t>
      </w:r>
      <w:r w:rsidR="006249E6">
        <w:rPr>
          <w:rFonts w:ascii="Times New Roman" w:hAnsi="Times New Roman"/>
          <w:szCs w:val="24"/>
        </w:rPr>
        <w:t xml:space="preserve"> la reforma de 2007, </w:t>
      </w:r>
      <w:r w:rsidR="004453FC" w:rsidRPr="004453FC">
        <w:rPr>
          <w:rFonts w:ascii="Times New Roman" w:hAnsi="Times New Roman"/>
          <w:szCs w:val="24"/>
        </w:rPr>
        <w:t>expresaba que la Sección del Tribunal podía</w:t>
      </w:r>
      <w:r w:rsidR="006249E6">
        <w:rPr>
          <w:rFonts w:ascii="Times New Roman" w:hAnsi="Times New Roman"/>
          <w:szCs w:val="24"/>
        </w:rPr>
        <w:t xml:space="preserve"> </w:t>
      </w:r>
      <w:r w:rsidR="004453FC" w:rsidRPr="004453FC">
        <w:rPr>
          <w:rFonts w:ascii="Times New Roman" w:hAnsi="Times New Roman"/>
          <w:szCs w:val="24"/>
        </w:rPr>
        <w:t>acordar la inadmisión cuando concurriera cualquiera de lo</w:t>
      </w:r>
      <w:r w:rsidR="006249E6">
        <w:rPr>
          <w:rFonts w:ascii="Times New Roman" w:hAnsi="Times New Roman"/>
          <w:szCs w:val="24"/>
        </w:rPr>
        <w:t>s requisitos señalados. A su vez</w:t>
      </w:r>
      <w:r w:rsidR="004453FC" w:rsidRPr="004453FC">
        <w:rPr>
          <w:rFonts w:ascii="Times New Roman" w:hAnsi="Times New Roman"/>
          <w:szCs w:val="24"/>
        </w:rPr>
        <w:t>,</w:t>
      </w:r>
      <w:r w:rsidR="006249E6">
        <w:rPr>
          <w:rFonts w:ascii="Times New Roman" w:hAnsi="Times New Roman"/>
          <w:szCs w:val="24"/>
        </w:rPr>
        <w:t xml:space="preserve"> </w:t>
      </w:r>
      <w:r w:rsidR="004453FC" w:rsidRPr="004453FC">
        <w:rPr>
          <w:rFonts w:ascii="Times New Roman" w:hAnsi="Times New Roman"/>
          <w:szCs w:val="24"/>
        </w:rPr>
        <w:t>los requisitos contenidos en el art. 50.1 LO</w:t>
      </w:r>
      <w:r w:rsidR="00CE19DE">
        <w:rPr>
          <w:rFonts w:ascii="Times New Roman" w:hAnsi="Times New Roman"/>
          <w:szCs w:val="24"/>
        </w:rPr>
        <w:t>TC</w:t>
      </w:r>
      <w:r w:rsidR="006249E6">
        <w:rPr>
          <w:rFonts w:ascii="Times New Roman" w:hAnsi="Times New Roman"/>
          <w:szCs w:val="24"/>
        </w:rPr>
        <w:t xml:space="preserve"> estaban expresados </w:t>
      </w:r>
      <w:r w:rsidR="004453FC" w:rsidRPr="004453FC">
        <w:rPr>
          <w:rFonts w:ascii="Times New Roman" w:hAnsi="Times New Roman"/>
          <w:szCs w:val="24"/>
        </w:rPr>
        <w:t>en términos negativos:</w:t>
      </w:r>
      <w:r w:rsidR="006249E6">
        <w:rPr>
          <w:rFonts w:ascii="Times New Roman" w:hAnsi="Times New Roman"/>
          <w:szCs w:val="24"/>
        </w:rPr>
        <w:t xml:space="preserve"> Que no se cumpliese</w:t>
      </w:r>
      <w:r w:rsidR="001B4ADA" w:rsidRPr="00500DB3">
        <w:rPr>
          <w:rFonts w:ascii="Times New Roman" w:hAnsi="Times New Roman"/>
          <w:szCs w:val="24"/>
        </w:rPr>
        <w:t xml:space="preserve">n algunos de los requisitos exigidos </w:t>
      </w:r>
      <w:r w:rsidR="006249E6" w:rsidRPr="006249E6">
        <w:rPr>
          <w:rFonts w:ascii="Times New Roman" w:hAnsi="Times New Roman"/>
          <w:szCs w:val="24"/>
        </w:rPr>
        <w:t>requisitos contenidos</w:t>
      </w:r>
      <w:r w:rsidR="006249E6">
        <w:rPr>
          <w:rFonts w:ascii="Times New Roman" w:hAnsi="Times New Roman"/>
          <w:szCs w:val="24"/>
        </w:rPr>
        <w:t xml:space="preserve"> </w:t>
      </w:r>
      <w:r w:rsidR="006249E6" w:rsidRPr="006249E6">
        <w:rPr>
          <w:rFonts w:ascii="Times New Roman" w:hAnsi="Times New Roman"/>
          <w:szCs w:val="24"/>
        </w:rPr>
        <w:t>en los arts. 41 a 46</w:t>
      </w:r>
      <w:r w:rsidR="006249E6">
        <w:rPr>
          <w:rFonts w:ascii="Times New Roman" w:hAnsi="Times New Roman"/>
          <w:szCs w:val="24"/>
        </w:rPr>
        <w:t xml:space="preserve"> (art. 50.1  </w:t>
      </w:r>
      <w:r w:rsidR="006249E6" w:rsidRPr="006249E6">
        <w:rPr>
          <w:rFonts w:ascii="Times New Roman" w:hAnsi="Times New Roman"/>
          <w:szCs w:val="24"/>
        </w:rPr>
        <w:t>a)</w:t>
      </w:r>
      <w:r w:rsidR="00CE19DE">
        <w:rPr>
          <w:rFonts w:ascii="Times New Roman" w:hAnsi="Times New Roman"/>
          <w:szCs w:val="24"/>
        </w:rPr>
        <w:t xml:space="preserve"> LOTC</w:t>
      </w:r>
      <w:r w:rsidR="006249E6">
        <w:rPr>
          <w:rFonts w:ascii="Times New Roman" w:hAnsi="Times New Roman"/>
          <w:szCs w:val="24"/>
        </w:rPr>
        <w:t xml:space="preserve">), </w:t>
      </w:r>
      <w:r w:rsidR="001B4ADA" w:rsidRPr="00500DB3">
        <w:rPr>
          <w:rFonts w:ascii="Times New Roman" w:hAnsi="Times New Roman"/>
          <w:szCs w:val="24"/>
        </w:rPr>
        <w:t>que el derecho cuya protección se invoca</w:t>
      </w:r>
      <w:r w:rsidR="006249E6">
        <w:rPr>
          <w:rFonts w:ascii="Times New Roman" w:hAnsi="Times New Roman"/>
          <w:szCs w:val="24"/>
        </w:rPr>
        <w:t>ba no fuese</w:t>
      </w:r>
      <w:r w:rsidR="001B4ADA" w:rsidRPr="00500DB3">
        <w:rPr>
          <w:rFonts w:ascii="Times New Roman" w:hAnsi="Times New Roman"/>
          <w:szCs w:val="24"/>
        </w:rPr>
        <w:t xml:space="preserve"> susceptible de amparo constitucional por no estar comprendido e</w:t>
      </w:r>
      <w:r w:rsidR="006249E6">
        <w:rPr>
          <w:rFonts w:ascii="Times New Roman" w:hAnsi="Times New Roman"/>
          <w:szCs w:val="24"/>
        </w:rPr>
        <w:t>n los artículo 14 a 30 de la CE (a</w:t>
      </w:r>
      <w:r w:rsidR="006249E6" w:rsidRPr="00500DB3">
        <w:rPr>
          <w:rFonts w:ascii="Times New Roman" w:hAnsi="Times New Roman"/>
          <w:szCs w:val="24"/>
        </w:rPr>
        <w:t>rt. 50.1 b) LOTC</w:t>
      </w:r>
      <w:r w:rsidR="006249E6">
        <w:rPr>
          <w:rFonts w:ascii="Times New Roman" w:hAnsi="Times New Roman"/>
          <w:szCs w:val="24"/>
        </w:rPr>
        <w:t>), que la demanda careciese</w:t>
      </w:r>
      <w:r w:rsidR="001B4ADA" w:rsidRPr="00500DB3">
        <w:rPr>
          <w:rFonts w:ascii="Times New Roman" w:hAnsi="Times New Roman"/>
          <w:szCs w:val="24"/>
        </w:rPr>
        <w:t xml:space="preserve"> de contenido</w:t>
      </w:r>
      <w:r w:rsidR="006249E6">
        <w:rPr>
          <w:rFonts w:ascii="Times New Roman" w:hAnsi="Times New Roman"/>
          <w:szCs w:val="24"/>
        </w:rPr>
        <w:t xml:space="preserve"> constitucional </w:t>
      </w:r>
      <w:r w:rsidR="006249E6" w:rsidRPr="006249E6">
        <w:rPr>
          <w:rFonts w:ascii="Times New Roman" w:hAnsi="Times New Roman"/>
          <w:szCs w:val="24"/>
        </w:rPr>
        <w:t>que justificara una decisión sobre el fondo (art. 50.1.c) LOTC</w:t>
      </w:r>
      <w:r w:rsidR="006249E6">
        <w:rPr>
          <w:rFonts w:ascii="Times New Roman" w:hAnsi="Times New Roman"/>
          <w:szCs w:val="24"/>
        </w:rPr>
        <w:t>) y q</w:t>
      </w:r>
      <w:r w:rsidR="001B4ADA" w:rsidRPr="00500DB3">
        <w:rPr>
          <w:rFonts w:ascii="Times New Roman" w:hAnsi="Times New Roman"/>
          <w:szCs w:val="24"/>
        </w:rPr>
        <w:t>ue previamente se hubiera desestimado en el fondo un</w:t>
      </w:r>
      <w:r w:rsidR="006249E6">
        <w:rPr>
          <w:rFonts w:ascii="Times New Roman" w:hAnsi="Times New Roman"/>
          <w:szCs w:val="24"/>
        </w:rPr>
        <w:t>a cuestión igual a la planteada (a</w:t>
      </w:r>
      <w:r w:rsidR="006249E6" w:rsidRPr="00500DB3">
        <w:rPr>
          <w:rFonts w:ascii="Times New Roman" w:hAnsi="Times New Roman"/>
          <w:szCs w:val="24"/>
        </w:rPr>
        <w:t>rt. 50.1 d) LOTC</w:t>
      </w:r>
      <w:r w:rsidR="006249E6">
        <w:rPr>
          <w:rFonts w:ascii="Times New Roman" w:hAnsi="Times New Roman"/>
          <w:szCs w:val="24"/>
        </w:rPr>
        <w:t>).</w:t>
      </w:r>
    </w:p>
    <w:p w14:paraId="699F1326" w14:textId="43209C15" w:rsidR="00C82D1B" w:rsidRPr="00500DB3" w:rsidRDefault="00CE19DE" w:rsidP="00AA2BB1">
      <w:pPr>
        <w:pStyle w:val="texto"/>
        <w:ind w:firstLine="0"/>
        <w:rPr>
          <w:rFonts w:ascii="Times New Roman" w:hAnsi="Times New Roman"/>
          <w:i/>
          <w:szCs w:val="24"/>
        </w:rPr>
      </w:pPr>
      <w:r>
        <w:rPr>
          <w:rFonts w:ascii="Times New Roman" w:hAnsi="Times New Roman"/>
          <w:szCs w:val="24"/>
        </w:rPr>
        <w:lastRenderedPageBreak/>
        <w:t>Si no se observaba la existencia de ninguna de las</w:t>
      </w:r>
      <w:r w:rsidR="004D2D46" w:rsidRPr="00500DB3">
        <w:rPr>
          <w:rFonts w:ascii="Times New Roman" w:hAnsi="Times New Roman"/>
          <w:szCs w:val="24"/>
        </w:rPr>
        <w:t xml:space="preserve"> causas de inadmisibilidad </w:t>
      </w:r>
      <w:r>
        <w:rPr>
          <w:rFonts w:ascii="Times New Roman" w:hAnsi="Times New Roman"/>
          <w:szCs w:val="24"/>
        </w:rPr>
        <w:t>del artículo 50.1 o, en su caso, ésta hubiese sido subsanada, se admitía</w:t>
      </w:r>
      <w:r w:rsidR="004D2D46" w:rsidRPr="00500DB3">
        <w:rPr>
          <w:rFonts w:ascii="Times New Roman" w:hAnsi="Times New Roman"/>
          <w:szCs w:val="24"/>
        </w:rPr>
        <w:t xml:space="preserve"> la demanda</w:t>
      </w:r>
      <w:r>
        <w:rPr>
          <w:rFonts w:ascii="Times New Roman" w:hAnsi="Times New Roman"/>
          <w:szCs w:val="24"/>
        </w:rPr>
        <w:t>. A</w:t>
      </w:r>
      <w:r w:rsidR="001567E3" w:rsidRPr="00500DB3">
        <w:rPr>
          <w:rFonts w:ascii="Times New Roman" w:hAnsi="Times New Roman"/>
          <w:szCs w:val="24"/>
        </w:rPr>
        <w:t xml:space="preserve">tendiendo al artículo 51.1 LOTC, </w:t>
      </w:r>
      <w:r w:rsidR="001567E3" w:rsidRPr="00500DB3">
        <w:rPr>
          <w:rFonts w:ascii="Times New Roman" w:hAnsi="Times New Roman"/>
          <w:i/>
          <w:szCs w:val="24"/>
        </w:rPr>
        <w:t>“admitida la demanda de amparo, la Sala requerirá con carácter urgente al órgano o a la autoridad de que dimane la decisión, el acto o el hecho, o al Juez o Tribunal que conoció del procedimiento precedente para que, en plazo que no podrá exceder de diez días, remita las ac</w:t>
      </w:r>
      <w:r>
        <w:rPr>
          <w:rFonts w:ascii="Times New Roman" w:hAnsi="Times New Roman"/>
          <w:i/>
          <w:szCs w:val="24"/>
        </w:rPr>
        <w:t>tuaciones o testimonio de ellas</w:t>
      </w:r>
      <w:r w:rsidR="001567E3" w:rsidRPr="00500DB3">
        <w:rPr>
          <w:rFonts w:ascii="Times New Roman" w:hAnsi="Times New Roman"/>
          <w:i/>
          <w:szCs w:val="24"/>
        </w:rPr>
        <w:t>”</w:t>
      </w:r>
      <w:r>
        <w:rPr>
          <w:rFonts w:ascii="Times New Roman" w:hAnsi="Times New Roman"/>
          <w:i/>
          <w:szCs w:val="24"/>
        </w:rPr>
        <w:t>.</w:t>
      </w:r>
    </w:p>
    <w:p w14:paraId="52AB2B6D" w14:textId="6401E9EB" w:rsidR="001567E3" w:rsidRPr="00500DB3" w:rsidRDefault="001567E3" w:rsidP="00AA2BB1">
      <w:pPr>
        <w:pStyle w:val="texto"/>
        <w:ind w:firstLine="0"/>
        <w:rPr>
          <w:rFonts w:ascii="Times New Roman" w:hAnsi="Times New Roman"/>
          <w:i/>
          <w:szCs w:val="24"/>
        </w:rPr>
      </w:pPr>
      <w:r w:rsidRPr="00500DB3">
        <w:rPr>
          <w:rFonts w:ascii="Times New Roman" w:hAnsi="Times New Roman"/>
          <w:szCs w:val="24"/>
        </w:rPr>
        <w:t>En lo que respecta al emplazamiento, el apar</w:t>
      </w:r>
      <w:r w:rsidR="00CE19DE">
        <w:rPr>
          <w:rFonts w:ascii="Times New Roman" w:hAnsi="Times New Roman"/>
          <w:szCs w:val="24"/>
        </w:rPr>
        <w:t>tado 2 del artículo 51 establecía</w:t>
      </w:r>
      <w:r w:rsidRPr="00500DB3">
        <w:rPr>
          <w:rFonts w:ascii="Times New Roman" w:hAnsi="Times New Roman"/>
          <w:szCs w:val="24"/>
        </w:rPr>
        <w:t xml:space="preserve"> que </w:t>
      </w:r>
      <w:r w:rsidRPr="00500DB3">
        <w:rPr>
          <w:rFonts w:ascii="Times New Roman" w:hAnsi="Times New Roman"/>
          <w:i/>
          <w:szCs w:val="24"/>
        </w:rPr>
        <w:t>“el órgano, autoridad, Juez o Tribunal acusará inmediato recibo del requerimiento, cumplimentará el envío dentro del plazo señalado y emplazará a quienes fueron parte en el procedimiento antecedente para que puedan comparecer en el proceso constituc</w:t>
      </w:r>
      <w:r w:rsidR="00CE19DE">
        <w:rPr>
          <w:rFonts w:ascii="Times New Roman" w:hAnsi="Times New Roman"/>
          <w:i/>
          <w:szCs w:val="24"/>
        </w:rPr>
        <w:t xml:space="preserve">ional en el plazo de diez </w:t>
      </w:r>
      <w:r w:rsidR="00F1749E">
        <w:rPr>
          <w:rFonts w:ascii="Times New Roman" w:hAnsi="Times New Roman"/>
          <w:i/>
          <w:szCs w:val="24"/>
        </w:rPr>
        <w:t>días</w:t>
      </w:r>
      <w:r w:rsidR="00F1749E" w:rsidRPr="00500DB3">
        <w:rPr>
          <w:rFonts w:ascii="Times New Roman" w:hAnsi="Times New Roman"/>
          <w:i/>
          <w:szCs w:val="24"/>
        </w:rPr>
        <w:t xml:space="preserve"> “</w:t>
      </w:r>
      <w:r w:rsidR="00CE19DE">
        <w:rPr>
          <w:rFonts w:ascii="Times New Roman" w:hAnsi="Times New Roman"/>
          <w:i/>
          <w:szCs w:val="24"/>
        </w:rPr>
        <w:t>.</w:t>
      </w:r>
    </w:p>
    <w:p w14:paraId="6AE5631A" w14:textId="1617F443" w:rsidR="001567E3" w:rsidRPr="00500DB3" w:rsidRDefault="0010042E" w:rsidP="00AA2BB1">
      <w:pPr>
        <w:pStyle w:val="texto"/>
        <w:ind w:firstLine="0"/>
        <w:rPr>
          <w:rFonts w:ascii="Times New Roman" w:hAnsi="Times New Roman"/>
          <w:szCs w:val="24"/>
        </w:rPr>
      </w:pPr>
      <w:r w:rsidRPr="00500DB3">
        <w:rPr>
          <w:rFonts w:ascii="Times New Roman" w:hAnsi="Times New Roman"/>
          <w:szCs w:val="24"/>
        </w:rPr>
        <w:t>Este emplazamien</w:t>
      </w:r>
      <w:r w:rsidR="00CE19DE">
        <w:rPr>
          <w:rFonts w:ascii="Times New Roman" w:hAnsi="Times New Roman"/>
          <w:szCs w:val="24"/>
        </w:rPr>
        <w:t>to estaba</w:t>
      </w:r>
      <w:r w:rsidRPr="00500DB3">
        <w:rPr>
          <w:rFonts w:ascii="Times New Roman" w:hAnsi="Times New Roman"/>
          <w:szCs w:val="24"/>
        </w:rPr>
        <w:t xml:space="preserve"> referido a aquellos que fueron parte en el procedimiento, sin embargo, los que no hubieran intervenido</w:t>
      </w:r>
      <w:r w:rsidR="00CE19DE">
        <w:rPr>
          <w:rFonts w:ascii="Times New Roman" w:hAnsi="Times New Roman"/>
          <w:szCs w:val="24"/>
        </w:rPr>
        <w:t xml:space="preserve"> también podía</w:t>
      </w:r>
      <w:r w:rsidRPr="00500DB3">
        <w:rPr>
          <w:rFonts w:ascii="Times New Roman" w:hAnsi="Times New Roman"/>
          <w:szCs w:val="24"/>
        </w:rPr>
        <w:t>n hacerlo en base al artículo 47.1 LOTC.</w:t>
      </w:r>
    </w:p>
    <w:p w14:paraId="7795E8F2" w14:textId="4FA1841D" w:rsidR="0010042E" w:rsidRPr="00500DB3" w:rsidRDefault="00CE19DE" w:rsidP="00AA2BB1">
      <w:pPr>
        <w:pStyle w:val="texto"/>
        <w:ind w:firstLine="0"/>
        <w:rPr>
          <w:rFonts w:ascii="Times New Roman" w:hAnsi="Times New Roman"/>
          <w:i/>
          <w:szCs w:val="24"/>
        </w:rPr>
      </w:pPr>
      <w:r>
        <w:rPr>
          <w:rFonts w:ascii="Times New Roman" w:hAnsi="Times New Roman"/>
          <w:szCs w:val="24"/>
        </w:rPr>
        <w:t>A continuación, tenía</w:t>
      </w:r>
      <w:r w:rsidR="0010042E" w:rsidRPr="00500DB3">
        <w:rPr>
          <w:rFonts w:ascii="Times New Roman" w:hAnsi="Times New Roman"/>
          <w:szCs w:val="24"/>
        </w:rPr>
        <w:t xml:space="preserve"> lugar la fase de alegaciones o vista oral. El artículo 52 de la LOTC</w:t>
      </w:r>
      <w:r>
        <w:rPr>
          <w:rFonts w:ascii="Times New Roman" w:hAnsi="Times New Roman"/>
          <w:szCs w:val="24"/>
        </w:rPr>
        <w:t xml:space="preserve"> disponía</w:t>
      </w:r>
      <w:r w:rsidR="00F13A74" w:rsidRPr="00500DB3">
        <w:rPr>
          <w:rFonts w:ascii="Times New Roman" w:hAnsi="Times New Roman"/>
          <w:szCs w:val="24"/>
        </w:rPr>
        <w:t xml:space="preserve"> que </w:t>
      </w:r>
      <w:r w:rsidR="00F13A74" w:rsidRPr="00500DB3">
        <w:rPr>
          <w:rFonts w:ascii="Times New Roman" w:hAnsi="Times New Roman"/>
          <w:i/>
          <w:szCs w:val="24"/>
        </w:rPr>
        <w:t>“recibidas las actuaciones y transcurrido el tiempo de emplazamiento, la Sala dará vista de las mismas a quien promovió el amparo, a los personados en el proceso, al Abogado del Estado, si estuviera interesada la Administración Pública y al Ministerio Fiscal. La vista será por plazo común que no podrá exceder de veinte días, y durante él podrán presenta</w:t>
      </w:r>
      <w:r>
        <w:rPr>
          <w:rFonts w:ascii="Times New Roman" w:hAnsi="Times New Roman"/>
          <w:i/>
          <w:szCs w:val="24"/>
        </w:rPr>
        <w:t>rse las alegaciones procedentes</w:t>
      </w:r>
      <w:r w:rsidR="00F13A74" w:rsidRPr="00500DB3">
        <w:rPr>
          <w:rFonts w:ascii="Times New Roman" w:hAnsi="Times New Roman"/>
          <w:i/>
          <w:szCs w:val="24"/>
        </w:rPr>
        <w:t>”</w:t>
      </w:r>
      <w:r>
        <w:rPr>
          <w:rFonts w:ascii="Times New Roman" w:hAnsi="Times New Roman"/>
          <w:i/>
          <w:szCs w:val="24"/>
        </w:rPr>
        <w:t>.</w:t>
      </w:r>
    </w:p>
    <w:p w14:paraId="3A2386E0" w14:textId="41DCD75A" w:rsidR="00F13A74" w:rsidRPr="00500DB3" w:rsidRDefault="00CE19DE" w:rsidP="00AA2BB1">
      <w:pPr>
        <w:pStyle w:val="texto"/>
        <w:ind w:firstLine="0"/>
        <w:rPr>
          <w:rFonts w:ascii="Times New Roman" w:hAnsi="Times New Roman"/>
          <w:szCs w:val="24"/>
        </w:rPr>
      </w:pPr>
      <w:r>
        <w:rPr>
          <w:rFonts w:ascii="Times New Roman" w:hAnsi="Times New Roman"/>
          <w:szCs w:val="24"/>
        </w:rPr>
        <w:t>Este era</w:t>
      </w:r>
      <w:r w:rsidR="00F13A74" w:rsidRPr="00500DB3">
        <w:rPr>
          <w:rFonts w:ascii="Times New Roman" w:hAnsi="Times New Roman"/>
          <w:szCs w:val="24"/>
        </w:rPr>
        <w:t xml:space="preserve"> el momento pr</w:t>
      </w:r>
      <w:r>
        <w:rPr>
          <w:rFonts w:ascii="Times New Roman" w:hAnsi="Times New Roman"/>
          <w:szCs w:val="24"/>
        </w:rPr>
        <w:t>ocesal para que el actor realizase</w:t>
      </w:r>
      <w:r w:rsidR="00F13A74" w:rsidRPr="00500DB3">
        <w:rPr>
          <w:rFonts w:ascii="Times New Roman" w:hAnsi="Times New Roman"/>
          <w:szCs w:val="24"/>
        </w:rPr>
        <w:t xml:space="preserve"> aquellas precisiones que, no modificando la pretensión, desarrol</w:t>
      </w:r>
      <w:r>
        <w:rPr>
          <w:rFonts w:ascii="Times New Roman" w:hAnsi="Times New Roman"/>
          <w:szCs w:val="24"/>
        </w:rPr>
        <w:t>laran o complementaran la demanda de amparo.</w:t>
      </w:r>
    </w:p>
    <w:p w14:paraId="50976CDF" w14:textId="45E84CE5" w:rsidR="00F13A74" w:rsidRPr="00500DB3" w:rsidRDefault="00F13A74" w:rsidP="00AA2BB1">
      <w:pPr>
        <w:pStyle w:val="texto"/>
        <w:ind w:firstLine="0"/>
        <w:rPr>
          <w:rFonts w:ascii="Times New Roman" w:hAnsi="Times New Roman"/>
          <w:szCs w:val="24"/>
        </w:rPr>
      </w:pPr>
      <w:r w:rsidRPr="00500DB3">
        <w:rPr>
          <w:rFonts w:ascii="Times New Roman" w:hAnsi="Times New Roman"/>
          <w:szCs w:val="24"/>
        </w:rPr>
        <w:t>En e</w:t>
      </w:r>
      <w:r w:rsidR="00CE19DE">
        <w:rPr>
          <w:rFonts w:ascii="Times New Roman" w:hAnsi="Times New Roman"/>
          <w:szCs w:val="24"/>
        </w:rPr>
        <w:t>l caso del demandado, éste podía formular sus alegaciones. Podía</w:t>
      </w:r>
      <w:r w:rsidRPr="00500DB3">
        <w:rPr>
          <w:rFonts w:ascii="Times New Roman" w:hAnsi="Times New Roman"/>
          <w:szCs w:val="24"/>
        </w:rPr>
        <w:t xml:space="preserve"> alegar tanto cuestiones de fondo como excepciones relativas a la admisión del recurso de amparo.</w:t>
      </w:r>
    </w:p>
    <w:p w14:paraId="72A425E2" w14:textId="74E7E42C" w:rsidR="00F13A74" w:rsidRPr="00500DB3" w:rsidRDefault="00F13A74" w:rsidP="00AA2BB1">
      <w:pPr>
        <w:pStyle w:val="texto"/>
        <w:ind w:firstLine="0"/>
        <w:rPr>
          <w:rFonts w:ascii="Times New Roman" w:hAnsi="Times New Roman"/>
          <w:szCs w:val="24"/>
        </w:rPr>
      </w:pPr>
      <w:r w:rsidRPr="00500DB3">
        <w:rPr>
          <w:rFonts w:ascii="Times New Roman" w:hAnsi="Times New Roman"/>
          <w:szCs w:val="24"/>
        </w:rPr>
        <w:t>Conforme al artículo 52.3 LOTC la Sala, o en su caso la Se</w:t>
      </w:r>
      <w:r w:rsidR="00CE19DE">
        <w:rPr>
          <w:rFonts w:ascii="Times New Roman" w:hAnsi="Times New Roman"/>
          <w:szCs w:val="24"/>
        </w:rPr>
        <w:t>cción, pronunciaba la sentencia que procediese</w:t>
      </w:r>
      <w:r w:rsidRPr="00500DB3">
        <w:rPr>
          <w:rFonts w:ascii="Times New Roman" w:hAnsi="Times New Roman"/>
          <w:szCs w:val="24"/>
        </w:rPr>
        <w:t xml:space="preserve"> en el plazo de 10 días a partir del día señalado para la vista o deliberación.</w:t>
      </w:r>
    </w:p>
    <w:p w14:paraId="4D1670D8" w14:textId="05B6775E" w:rsidR="0010042E" w:rsidRDefault="00F13A74" w:rsidP="00AA2BB1">
      <w:pPr>
        <w:pStyle w:val="texto"/>
        <w:ind w:firstLine="0"/>
        <w:rPr>
          <w:rFonts w:ascii="Times New Roman" w:hAnsi="Times New Roman"/>
          <w:szCs w:val="24"/>
        </w:rPr>
      </w:pPr>
      <w:r w:rsidRPr="00500DB3">
        <w:rPr>
          <w:rFonts w:ascii="Times New Roman" w:hAnsi="Times New Roman"/>
          <w:szCs w:val="24"/>
        </w:rPr>
        <w:lastRenderedPageBreak/>
        <w:t xml:space="preserve">Respecto a la sentencia de amparo, </w:t>
      </w:r>
      <w:r w:rsidR="00CE19DE">
        <w:rPr>
          <w:rFonts w:ascii="Times New Roman" w:hAnsi="Times New Roman"/>
          <w:szCs w:val="24"/>
        </w:rPr>
        <w:t>ésta podía</w:t>
      </w:r>
      <w:r w:rsidRPr="00500DB3">
        <w:rPr>
          <w:rFonts w:ascii="Times New Roman" w:hAnsi="Times New Roman"/>
          <w:szCs w:val="24"/>
        </w:rPr>
        <w:t xml:space="preserve"> tener un doble contenido, desestimación de la demanda o estimación</w:t>
      </w:r>
      <w:r w:rsidR="00701280" w:rsidRPr="00500DB3">
        <w:rPr>
          <w:rStyle w:val="Refdenotaalpie"/>
          <w:rFonts w:ascii="Times New Roman" w:hAnsi="Times New Roman"/>
          <w:szCs w:val="24"/>
        </w:rPr>
        <w:footnoteReference w:id="60"/>
      </w:r>
      <w:r w:rsidRPr="00500DB3">
        <w:rPr>
          <w:rFonts w:ascii="Times New Roman" w:hAnsi="Times New Roman"/>
          <w:szCs w:val="24"/>
        </w:rPr>
        <w:t xml:space="preserve"> total o parcial de la misma.</w:t>
      </w:r>
      <w:r w:rsidR="00CE19DE">
        <w:rPr>
          <w:rFonts w:ascii="Times New Roman" w:hAnsi="Times New Roman"/>
          <w:szCs w:val="24"/>
        </w:rPr>
        <w:t xml:space="preserve"> El artículo 55 de la LOTC preveía</w:t>
      </w:r>
      <w:r w:rsidRPr="00500DB3">
        <w:rPr>
          <w:rFonts w:ascii="Times New Roman" w:hAnsi="Times New Roman"/>
          <w:szCs w:val="24"/>
        </w:rPr>
        <w:t xml:space="preserve"> un posible triple efecto de su estimación: declaración de nulidad del acto o resolución impugnada, reconocimiento del derecho o libertad vulnerado y restablecimiento del recurrente en la integridad del derecho, con las medidas necesarias para ello.</w:t>
      </w:r>
    </w:p>
    <w:p w14:paraId="58D4D83C" w14:textId="412D2646" w:rsidR="00724957" w:rsidRDefault="00724957" w:rsidP="00AA2BB1">
      <w:pPr>
        <w:pStyle w:val="texto"/>
        <w:ind w:firstLine="0"/>
        <w:rPr>
          <w:rFonts w:ascii="Times New Roman" w:hAnsi="Times New Roman"/>
          <w:szCs w:val="24"/>
        </w:rPr>
      </w:pPr>
      <w:r>
        <w:rPr>
          <w:rFonts w:ascii="Times New Roman" w:hAnsi="Times New Roman"/>
          <w:szCs w:val="24"/>
        </w:rPr>
        <w:t xml:space="preserve">A </w:t>
      </w:r>
      <w:r w:rsidR="00F1749E">
        <w:rPr>
          <w:rFonts w:ascii="Times New Roman" w:hAnsi="Times New Roman"/>
          <w:szCs w:val="24"/>
        </w:rPr>
        <w:t>continuación,</w:t>
      </w:r>
      <w:r>
        <w:rPr>
          <w:rFonts w:ascii="Times New Roman" w:hAnsi="Times New Roman"/>
          <w:szCs w:val="24"/>
        </w:rPr>
        <w:t xml:space="preserve"> nos centraremos en la problemática que rodeó al recurso de amparo y que dio lugar a la reforma de 2007. </w:t>
      </w:r>
    </w:p>
    <w:p w14:paraId="11CBAA1E" w14:textId="7669A7A1" w:rsidR="009B2AE0" w:rsidRDefault="00AA2BB1" w:rsidP="00AA2BB1">
      <w:pPr>
        <w:pStyle w:val="Ttulo2"/>
      </w:pPr>
      <w:bookmarkStart w:id="96" w:name="_Toc400017050"/>
      <w:bookmarkStart w:id="97" w:name="_Toc400644278"/>
      <w:bookmarkStart w:id="98" w:name="_Toc401009634"/>
      <w:bookmarkStart w:id="99" w:name="_Toc462935762"/>
      <w:bookmarkStart w:id="100" w:name="_Toc468382146"/>
      <w:bookmarkStart w:id="101" w:name="_Toc530596840"/>
      <w:bookmarkStart w:id="102" w:name="_Toc49423604"/>
      <w:bookmarkStart w:id="103" w:name="_Toc49708559"/>
      <w:bookmarkStart w:id="104" w:name="_Toc49790245"/>
      <w:bookmarkStart w:id="105" w:name="_Toc49866481"/>
      <w:bookmarkStart w:id="106" w:name="_Toc50373135"/>
      <w:r>
        <w:t>P</w:t>
      </w:r>
      <w:r w:rsidRPr="00500DB3">
        <w:t>roblemática del recurso de amparo</w:t>
      </w:r>
      <w:bookmarkEnd w:id="96"/>
      <w:bookmarkEnd w:id="97"/>
      <w:bookmarkEnd w:id="98"/>
      <w:bookmarkEnd w:id="99"/>
      <w:bookmarkEnd w:id="100"/>
      <w:r>
        <w:t xml:space="preserve"> y crisis funcional del Tribunal Constitucional</w:t>
      </w:r>
      <w:bookmarkEnd w:id="101"/>
      <w:bookmarkEnd w:id="102"/>
      <w:bookmarkEnd w:id="103"/>
      <w:bookmarkEnd w:id="104"/>
      <w:bookmarkEnd w:id="105"/>
      <w:bookmarkEnd w:id="106"/>
    </w:p>
    <w:p w14:paraId="2A394CA7" w14:textId="20A85B7C" w:rsidR="009B2AE0" w:rsidRPr="00500DB3" w:rsidRDefault="00724957" w:rsidP="001A4310">
      <w:pPr>
        <w:pStyle w:val="Ttulo3"/>
        <w:numPr>
          <w:ilvl w:val="0"/>
          <w:numId w:val="39"/>
        </w:numPr>
      </w:pPr>
      <w:bookmarkStart w:id="107" w:name="_Toc530596841"/>
      <w:bookmarkStart w:id="108" w:name="_Toc49423605"/>
      <w:bookmarkStart w:id="109" w:name="_Toc49708560"/>
      <w:bookmarkStart w:id="110" w:name="_Toc49790246"/>
      <w:bookmarkStart w:id="111" w:name="_Toc49866482"/>
      <w:bookmarkStart w:id="112" w:name="_Toc50373136"/>
      <w:r>
        <w:t>Estado de la cuestión</w:t>
      </w:r>
      <w:bookmarkEnd w:id="107"/>
      <w:bookmarkEnd w:id="108"/>
      <w:bookmarkEnd w:id="109"/>
      <w:bookmarkEnd w:id="110"/>
      <w:bookmarkEnd w:id="111"/>
      <w:bookmarkEnd w:id="112"/>
    </w:p>
    <w:p w14:paraId="733E5A30" w14:textId="46DD1170" w:rsidR="00357A28" w:rsidRPr="00500DB3" w:rsidRDefault="00357A28" w:rsidP="00AA2BB1">
      <w:pPr>
        <w:pStyle w:val="texto"/>
        <w:ind w:firstLine="0"/>
        <w:rPr>
          <w:rFonts w:ascii="Times New Roman" w:hAnsi="Times New Roman"/>
          <w:szCs w:val="24"/>
        </w:rPr>
      </w:pPr>
      <w:r w:rsidRPr="00500DB3">
        <w:rPr>
          <w:rFonts w:ascii="Times New Roman" w:hAnsi="Times New Roman"/>
          <w:szCs w:val="24"/>
        </w:rPr>
        <w:t>Entre las diversas tareas encomen</w:t>
      </w:r>
      <w:r w:rsidR="00DD632B" w:rsidRPr="00500DB3">
        <w:rPr>
          <w:rFonts w:ascii="Times New Roman" w:hAnsi="Times New Roman"/>
          <w:szCs w:val="24"/>
        </w:rPr>
        <w:t>dadas al TC</w:t>
      </w:r>
      <w:r w:rsidRPr="00500DB3">
        <w:rPr>
          <w:rFonts w:ascii="Times New Roman" w:hAnsi="Times New Roman"/>
          <w:szCs w:val="24"/>
        </w:rPr>
        <w:t xml:space="preserve"> podemos encontrar la de velar por el respeto de nuestra </w:t>
      </w:r>
      <w:r w:rsidR="00F1749E" w:rsidRPr="00500DB3">
        <w:rPr>
          <w:rFonts w:ascii="Times New Roman" w:hAnsi="Times New Roman"/>
          <w:szCs w:val="24"/>
        </w:rPr>
        <w:t>Constitución,</w:t>
      </w:r>
      <w:r w:rsidRPr="00500DB3">
        <w:rPr>
          <w:rFonts w:ascii="Times New Roman" w:hAnsi="Times New Roman"/>
          <w:szCs w:val="24"/>
        </w:rPr>
        <w:t xml:space="preserve"> así como por la defensa de los derechos fundamentales en la aplicación de la legislación ordinaria y en la actuación cotidiana de los poderes públicos y ser el máximo intérprete de nuestro texto constitucional.</w:t>
      </w:r>
    </w:p>
    <w:p w14:paraId="3A16D421" w14:textId="3E62A68D" w:rsidR="00DF7786" w:rsidRPr="00500DB3" w:rsidRDefault="00F65ECC" w:rsidP="00AA2BB1">
      <w:pPr>
        <w:pStyle w:val="texto"/>
        <w:ind w:firstLine="0"/>
        <w:rPr>
          <w:rFonts w:ascii="Times New Roman" w:hAnsi="Times New Roman"/>
          <w:szCs w:val="24"/>
        </w:rPr>
      </w:pPr>
      <w:r w:rsidRPr="00500DB3">
        <w:rPr>
          <w:rFonts w:ascii="Times New Roman" w:hAnsi="Times New Roman"/>
          <w:szCs w:val="24"/>
        </w:rPr>
        <w:t>Derivadas de estas tareas, podemos definir como funciones principales de este Tribunal el efectivo</w:t>
      </w:r>
      <w:r w:rsidR="00DF7786" w:rsidRPr="00500DB3">
        <w:rPr>
          <w:rFonts w:ascii="Times New Roman" w:hAnsi="Times New Roman"/>
          <w:szCs w:val="24"/>
        </w:rPr>
        <w:t xml:space="preserve"> desarrollo del ordenamiento jurídico constitucional y </w:t>
      </w:r>
      <w:r w:rsidRPr="00500DB3">
        <w:rPr>
          <w:rFonts w:ascii="Times New Roman" w:hAnsi="Times New Roman"/>
          <w:szCs w:val="24"/>
        </w:rPr>
        <w:t>la tutela de los derechos</w:t>
      </w:r>
      <w:r w:rsidR="00DF7786" w:rsidRPr="00500DB3">
        <w:rPr>
          <w:rFonts w:ascii="Times New Roman" w:hAnsi="Times New Roman"/>
          <w:szCs w:val="24"/>
        </w:rPr>
        <w:t xml:space="preserve"> de los ciudadanos. </w:t>
      </w:r>
    </w:p>
    <w:p w14:paraId="18D4D706" w14:textId="539779C5" w:rsidR="000E6558" w:rsidRDefault="000E6558" w:rsidP="00AA2BB1">
      <w:pPr>
        <w:pStyle w:val="texto"/>
        <w:ind w:firstLine="0"/>
        <w:rPr>
          <w:rFonts w:ascii="Times New Roman" w:hAnsi="Times New Roman"/>
          <w:szCs w:val="24"/>
        </w:rPr>
      </w:pPr>
      <w:r w:rsidRPr="00500DB3">
        <w:rPr>
          <w:rFonts w:ascii="Times New Roman" w:hAnsi="Times New Roman"/>
          <w:szCs w:val="24"/>
        </w:rPr>
        <w:t>A lo largo de los años, el TC ha realizado una gran labor al llenar de contenido lo que en la CE eran meros conceptos abstractos, abiertos e indefinidos. Gracias a esta labor hoy conocemos el contenido de cada derecho fundamental reconocido en la CE porque puede decirse que de ninguno de ellos falta una determinación o fijación realizada por el TC a través de la jurisprudencia</w:t>
      </w:r>
      <w:r w:rsidR="00F23D4F">
        <w:rPr>
          <w:rFonts w:ascii="Times New Roman" w:hAnsi="Times New Roman"/>
          <w:szCs w:val="24"/>
        </w:rPr>
        <w:t>.</w:t>
      </w:r>
      <w:r w:rsidR="00F23D4F" w:rsidRPr="00500DB3">
        <w:rPr>
          <w:rStyle w:val="Refdenotaalpie"/>
          <w:szCs w:val="24"/>
        </w:rPr>
        <w:footnoteReference w:id="61"/>
      </w:r>
    </w:p>
    <w:p w14:paraId="699C3BB9" w14:textId="3E57379E" w:rsidR="00282E39" w:rsidRPr="00500DB3" w:rsidRDefault="00282E39" w:rsidP="00AA2BB1">
      <w:pPr>
        <w:pStyle w:val="texto"/>
        <w:ind w:firstLine="0"/>
        <w:rPr>
          <w:rFonts w:ascii="Times New Roman" w:hAnsi="Times New Roman"/>
          <w:szCs w:val="24"/>
        </w:rPr>
      </w:pPr>
      <w:r>
        <w:rPr>
          <w:rFonts w:ascii="Times New Roman" w:hAnsi="Times New Roman"/>
          <w:szCs w:val="24"/>
        </w:rPr>
        <w:lastRenderedPageBreak/>
        <w:t xml:space="preserve">Gracias a esta labor del TC protegiendo los derechos fundamentales y llenándolos de contenido a través de su jurisprudencia, nuestra CE se ha fortalecido y se ha consagrado como la Norma Suprema de nuestro ordenamiento.  </w:t>
      </w:r>
    </w:p>
    <w:p w14:paraId="3849BD46" w14:textId="5ED2B6BB" w:rsidR="00FE445F" w:rsidRPr="00500DB3" w:rsidRDefault="00F65ECC" w:rsidP="00AA2BB1">
      <w:pPr>
        <w:pStyle w:val="texto"/>
        <w:ind w:firstLine="0"/>
        <w:rPr>
          <w:rFonts w:ascii="Times New Roman" w:hAnsi="Times New Roman"/>
          <w:szCs w:val="24"/>
        </w:rPr>
      </w:pPr>
      <w:r w:rsidRPr="00500DB3">
        <w:rPr>
          <w:rFonts w:ascii="Times New Roman" w:hAnsi="Times New Roman"/>
          <w:szCs w:val="24"/>
        </w:rPr>
        <w:t>Sin embargo, la aceptación por parte de los ciudadanos de esta labor del Tribunal como</w:t>
      </w:r>
      <w:r w:rsidR="00F23D4F">
        <w:rPr>
          <w:rFonts w:ascii="Times New Roman" w:hAnsi="Times New Roman"/>
          <w:szCs w:val="24"/>
        </w:rPr>
        <w:t xml:space="preserve"> garante de los derechos dio</w:t>
      </w:r>
      <w:r w:rsidRPr="00500DB3">
        <w:rPr>
          <w:rFonts w:ascii="Times New Roman" w:hAnsi="Times New Roman"/>
          <w:szCs w:val="24"/>
        </w:rPr>
        <w:t xml:space="preserve"> lugar a una masiva utilización del recurso de amparo constitucional como medio de tutela</w:t>
      </w:r>
      <w:r w:rsidR="00F23D4F">
        <w:rPr>
          <w:rFonts w:ascii="Times New Roman" w:hAnsi="Times New Roman"/>
          <w:szCs w:val="24"/>
        </w:rPr>
        <w:t xml:space="preserve"> de sus derechos fundamentales y, consecuentemente, </w:t>
      </w:r>
      <w:r w:rsidRPr="00500DB3">
        <w:rPr>
          <w:rFonts w:ascii="Times New Roman" w:hAnsi="Times New Roman"/>
          <w:szCs w:val="24"/>
        </w:rPr>
        <w:t>una s</w:t>
      </w:r>
      <w:r w:rsidR="00FE445F" w:rsidRPr="00500DB3">
        <w:rPr>
          <w:rFonts w:ascii="Times New Roman" w:hAnsi="Times New Roman"/>
          <w:szCs w:val="24"/>
        </w:rPr>
        <w:t>ituación insostenible d</w:t>
      </w:r>
      <w:r w:rsidRPr="00500DB3">
        <w:rPr>
          <w:rFonts w:ascii="Times New Roman" w:hAnsi="Times New Roman"/>
          <w:szCs w:val="24"/>
        </w:rPr>
        <w:t>u</w:t>
      </w:r>
      <w:r w:rsidR="00F23D4F">
        <w:rPr>
          <w:rFonts w:ascii="Times New Roman" w:hAnsi="Times New Roman"/>
          <w:szCs w:val="24"/>
        </w:rPr>
        <w:t>rante</w:t>
      </w:r>
      <w:r w:rsidRPr="00500DB3">
        <w:rPr>
          <w:rFonts w:ascii="Times New Roman" w:hAnsi="Times New Roman"/>
          <w:szCs w:val="24"/>
        </w:rPr>
        <w:t xml:space="preserve"> </w:t>
      </w:r>
      <w:r w:rsidR="00BE0796">
        <w:rPr>
          <w:rFonts w:ascii="Times New Roman" w:hAnsi="Times New Roman"/>
          <w:szCs w:val="24"/>
        </w:rPr>
        <w:t>años para</w:t>
      </w:r>
      <w:r w:rsidR="00A14119" w:rsidRPr="00500DB3">
        <w:rPr>
          <w:rFonts w:ascii="Times New Roman" w:hAnsi="Times New Roman"/>
          <w:szCs w:val="24"/>
        </w:rPr>
        <w:t xml:space="preserve"> nuestro</w:t>
      </w:r>
      <w:r w:rsidR="00FE445F" w:rsidRPr="00500DB3">
        <w:rPr>
          <w:rFonts w:ascii="Times New Roman" w:hAnsi="Times New Roman"/>
          <w:szCs w:val="24"/>
        </w:rPr>
        <w:t xml:space="preserve"> TC.</w:t>
      </w:r>
    </w:p>
    <w:p w14:paraId="7FEEF3D4" w14:textId="15896174" w:rsidR="00FE445F" w:rsidRPr="00500DB3" w:rsidRDefault="00BE0796" w:rsidP="00AA2BB1">
      <w:pPr>
        <w:pStyle w:val="texto"/>
        <w:ind w:firstLine="0"/>
        <w:rPr>
          <w:rFonts w:ascii="Times New Roman" w:hAnsi="Times New Roman"/>
          <w:szCs w:val="24"/>
        </w:rPr>
      </w:pPr>
      <w:r>
        <w:rPr>
          <w:rFonts w:ascii="Times New Roman" w:hAnsi="Times New Roman"/>
          <w:szCs w:val="24"/>
        </w:rPr>
        <w:t>Pudimos</w:t>
      </w:r>
      <w:r w:rsidR="00A14119" w:rsidRPr="00500DB3">
        <w:rPr>
          <w:rFonts w:ascii="Times New Roman" w:hAnsi="Times New Roman"/>
          <w:szCs w:val="24"/>
        </w:rPr>
        <w:t xml:space="preserve"> ver año tras año una a</w:t>
      </w:r>
      <w:r w:rsidR="009B2AE0" w:rsidRPr="00500DB3">
        <w:rPr>
          <w:rFonts w:ascii="Times New Roman" w:hAnsi="Times New Roman"/>
          <w:szCs w:val="24"/>
        </w:rPr>
        <w:t>valancha creciente e imparable de recursos de amparo</w:t>
      </w:r>
      <w:r w:rsidR="00A14119" w:rsidRPr="00500DB3">
        <w:rPr>
          <w:rFonts w:ascii="Times New Roman" w:hAnsi="Times New Roman"/>
          <w:szCs w:val="24"/>
        </w:rPr>
        <w:t>. Como consecuencia de ello, la e</w:t>
      </w:r>
      <w:r w:rsidR="009B2AE0" w:rsidRPr="00500DB3">
        <w:rPr>
          <w:rFonts w:ascii="Times New Roman" w:hAnsi="Times New Roman"/>
          <w:szCs w:val="24"/>
        </w:rPr>
        <w:t xml:space="preserve">ntrada de recursos </w:t>
      </w:r>
      <w:r>
        <w:rPr>
          <w:rFonts w:ascii="Times New Roman" w:hAnsi="Times New Roman"/>
          <w:szCs w:val="24"/>
        </w:rPr>
        <w:t>en el Tribunal fue</w:t>
      </w:r>
      <w:r w:rsidR="00A14119" w:rsidRPr="00500DB3">
        <w:rPr>
          <w:rFonts w:ascii="Times New Roman" w:hAnsi="Times New Roman"/>
          <w:szCs w:val="24"/>
        </w:rPr>
        <w:t xml:space="preserve"> </w:t>
      </w:r>
      <w:r w:rsidR="009B2AE0" w:rsidRPr="00500DB3">
        <w:rPr>
          <w:rFonts w:ascii="Times New Roman" w:hAnsi="Times New Roman"/>
          <w:szCs w:val="24"/>
        </w:rPr>
        <w:t>muy superior a</w:t>
      </w:r>
      <w:r w:rsidR="00A14119" w:rsidRPr="00500DB3">
        <w:rPr>
          <w:rFonts w:ascii="Times New Roman" w:hAnsi="Times New Roman"/>
          <w:szCs w:val="24"/>
        </w:rPr>
        <w:t xml:space="preserve">l número de </w:t>
      </w:r>
      <w:r w:rsidR="009B2AE0" w:rsidRPr="00500DB3">
        <w:rPr>
          <w:rFonts w:ascii="Times New Roman" w:hAnsi="Times New Roman"/>
          <w:szCs w:val="24"/>
        </w:rPr>
        <w:t>resoluciones</w:t>
      </w:r>
      <w:r w:rsidR="00F23D4F">
        <w:rPr>
          <w:rFonts w:ascii="Times New Roman" w:hAnsi="Times New Roman"/>
          <w:szCs w:val="24"/>
        </w:rPr>
        <w:t xml:space="preserve"> dictadas por parte de éste, produciéndose así </w:t>
      </w:r>
      <w:r w:rsidR="00A14119" w:rsidRPr="00500DB3">
        <w:rPr>
          <w:rFonts w:ascii="Times New Roman" w:hAnsi="Times New Roman"/>
          <w:szCs w:val="24"/>
        </w:rPr>
        <w:t>una a</w:t>
      </w:r>
      <w:r w:rsidR="00FE445F" w:rsidRPr="00500DB3">
        <w:rPr>
          <w:rFonts w:ascii="Times New Roman" w:hAnsi="Times New Roman"/>
          <w:szCs w:val="24"/>
        </w:rPr>
        <w:t>cumulación y pendencia de asuntos cada vez mayor</w:t>
      </w:r>
      <w:r w:rsidR="00F23D4F">
        <w:rPr>
          <w:rFonts w:ascii="Times New Roman" w:hAnsi="Times New Roman"/>
          <w:szCs w:val="24"/>
        </w:rPr>
        <w:t xml:space="preserve">. Esto </w:t>
      </w:r>
      <w:r>
        <w:rPr>
          <w:rFonts w:ascii="Times New Roman" w:hAnsi="Times New Roman"/>
          <w:szCs w:val="24"/>
        </w:rPr>
        <w:t>provocó un</w:t>
      </w:r>
      <w:r w:rsidR="00F23D4F">
        <w:rPr>
          <w:rFonts w:ascii="Times New Roman" w:hAnsi="Times New Roman"/>
          <w:szCs w:val="24"/>
        </w:rPr>
        <w:t xml:space="preserve"> </w:t>
      </w:r>
      <w:r w:rsidR="00FE445F" w:rsidRPr="00500DB3">
        <w:rPr>
          <w:rFonts w:ascii="Times New Roman" w:hAnsi="Times New Roman"/>
          <w:szCs w:val="24"/>
        </w:rPr>
        <w:t>inaceptable retraso en la reso</w:t>
      </w:r>
      <w:r>
        <w:rPr>
          <w:rFonts w:ascii="Times New Roman" w:hAnsi="Times New Roman"/>
          <w:szCs w:val="24"/>
        </w:rPr>
        <w:t>lución de recursos que cuestionó</w:t>
      </w:r>
      <w:r w:rsidR="00FE445F" w:rsidRPr="00500DB3">
        <w:rPr>
          <w:rFonts w:ascii="Times New Roman" w:hAnsi="Times New Roman"/>
          <w:szCs w:val="24"/>
        </w:rPr>
        <w:t xml:space="preserve"> seriamente la efectividad de la misma CE.</w:t>
      </w:r>
      <w:r w:rsidR="00282E39">
        <w:rPr>
          <w:rFonts w:ascii="Times New Roman" w:hAnsi="Times New Roman"/>
          <w:szCs w:val="24"/>
        </w:rPr>
        <w:t xml:space="preserve"> Hasta la reforma de 2007, la duración media de un recurso de amparo era de 3 a 5 años mientras que, la de un recurso de inconstitucionalidad de 6 a 8 años.</w:t>
      </w:r>
    </w:p>
    <w:p w14:paraId="0D0CFE36" w14:textId="7ECFE591" w:rsidR="00185BF6" w:rsidRPr="00500DB3" w:rsidRDefault="00BE0796" w:rsidP="00AA2BB1">
      <w:pPr>
        <w:pStyle w:val="texto"/>
        <w:ind w:firstLine="0"/>
        <w:rPr>
          <w:rFonts w:ascii="Times New Roman" w:hAnsi="Times New Roman"/>
          <w:szCs w:val="24"/>
        </w:rPr>
      </w:pPr>
      <w:r>
        <w:rPr>
          <w:rFonts w:ascii="Times New Roman" w:hAnsi="Times New Roman"/>
          <w:szCs w:val="24"/>
        </w:rPr>
        <w:t>Esta situación llevó</w:t>
      </w:r>
      <w:r w:rsidRPr="00BE0796">
        <w:rPr>
          <w:rFonts w:ascii="Times New Roman" w:hAnsi="Times New Roman"/>
          <w:szCs w:val="24"/>
        </w:rPr>
        <w:t>, en palabras de Cruz Villalón, a una</w:t>
      </w:r>
      <w:r>
        <w:rPr>
          <w:rFonts w:ascii="Times New Roman" w:hAnsi="Times New Roman"/>
          <w:szCs w:val="24"/>
        </w:rPr>
        <w:t xml:space="preserve"> </w:t>
      </w:r>
      <w:r w:rsidRPr="00BE0796">
        <w:rPr>
          <w:rFonts w:ascii="Times New Roman" w:hAnsi="Times New Roman"/>
          <w:szCs w:val="24"/>
        </w:rPr>
        <w:t>“crisis f</w:t>
      </w:r>
      <w:r>
        <w:rPr>
          <w:rFonts w:ascii="Times New Roman" w:hAnsi="Times New Roman"/>
          <w:szCs w:val="24"/>
        </w:rPr>
        <w:t>uncional” del recurso de amparo</w:t>
      </w:r>
      <w:r w:rsidRPr="00BE0796">
        <w:rPr>
          <w:rFonts w:ascii="Times New Roman" w:hAnsi="Times New Roman"/>
          <w:szCs w:val="24"/>
        </w:rPr>
        <w:t xml:space="preserve"> y, en consecuencia, del Tribunal Constitucional</w:t>
      </w:r>
      <w:r>
        <w:rPr>
          <w:rFonts w:ascii="Times New Roman" w:hAnsi="Times New Roman"/>
          <w:szCs w:val="24"/>
        </w:rPr>
        <w:t>.</w:t>
      </w:r>
      <w:r>
        <w:rPr>
          <w:rStyle w:val="Refdenotaalpie"/>
          <w:rFonts w:ascii="Times New Roman" w:hAnsi="Times New Roman"/>
          <w:szCs w:val="24"/>
        </w:rPr>
        <w:footnoteReference w:id="62"/>
      </w:r>
      <w:r w:rsidR="001A3E20">
        <w:rPr>
          <w:rFonts w:ascii="Times New Roman" w:hAnsi="Times New Roman"/>
          <w:szCs w:val="24"/>
        </w:rPr>
        <w:t xml:space="preserve"> Diversos autores manifestaron</w:t>
      </w:r>
      <w:r w:rsidR="008907DD">
        <w:rPr>
          <w:rFonts w:ascii="Times New Roman" w:hAnsi="Times New Roman"/>
          <w:szCs w:val="24"/>
        </w:rPr>
        <w:t xml:space="preserve"> su preocupación</w:t>
      </w:r>
      <w:r w:rsidR="00346A34" w:rsidRPr="00500DB3">
        <w:rPr>
          <w:rFonts w:ascii="Times New Roman" w:hAnsi="Times New Roman"/>
          <w:szCs w:val="24"/>
        </w:rPr>
        <w:t xml:space="preserve"> durante muchos años </w:t>
      </w:r>
      <w:r w:rsidR="008907DD">
        <w:rPr>
          <w:rFonts w:ascii="Times New Roman" w:hAnsi="Times New Roman"/>
          <w:szCs w:val="24"/>
        </w:rPr>
        <w:t>por esta situación.</w:t>
      </w:r>
      <w:r w:rsidR="008907DD" w:rsidRPr="008907DD">
        <w:rPr>
          <w:rStyle w:val="Refdenotaalpie"/>
          <w:rFonts w:ascii="Times New Roman" w:hAnsi="Times New Roman"/>
          <w:szCs w:val="24"/>
        </w:rPr>
        <w:t xml:space="preserve"> </w:t>
      </w:r>
      <w:r w:rsidR="008907DD" w:rsidRPr="00500DB3">
        <w:rPr>
          <w:rStyle w:val="Refdenotaalpie"/>
          <w:rFonts w:ascii="Times New Roman" w:hAnsi="Times New Roman"/>
          <w:szCs w:val="24"/>
        </w:rPr>
        <w:footnoteReference w:id="63"/>
      </w:r>
    </w:p>
    <w:p w14:paraId="46810A33" w14:textId="27754D7D" w:rsidR="00E70AE0" w:rsidRPr="00500DB3" w:rsidRDefault="001A3E20" w:rsidP="00AA2BB1">
      <w:pPr>
        <w:pStyle w:val="texto"/>
        <w:ind w:firstLine="0"/>
        <w:rPr>
          <w:rFonts w:ascii="Times New Roman" w:hAnsi="Times New Roman"/>
          <w:szCs w:val="24"/>
        </w:rPr>
      </w:pPr>
      <w:r>
        <w:rPr>
          <w:rFonts w:ascii="Times New Roman" w:hAnsi="Times New Roman"/>
          <w:szCs w:val="24"/>
        </w:rPr>
        <w:lastRenderedPageBreak/>
        <w:t>Y es que e</w:t>
      </w:r>
      <w:r w:rsidR="000E6558" w:rsidRPr="00500DB3">
        <w:rPr>
          <w:rFonts w:ascii="Times New Roman" w:hAnsi="Times New Roman"/>
          <w:szCs w:val="24"/>
        </w:rPr>
        <w:t>ste</w:t>
      </w:r>
      <w:r w:rsidR="002E198A">
        <w:rPr>
          <w:rFonts w:ascii="Times New Roman" w:hAnsi="Times New Roman"/>
          <w:szCs w:val="24"/>
        </w:rPr>
        <w:t xml:space="preserve"> abuso del recurso de amparo hizo que éste corriese</w:t>
      </w:r>
      <w:r w:rsidR="0019303A" w:rsidRPr="00500DB3">
        <w:rPr>
          <w:rFonts w:ascii="Times New Roman" w:hAnsi="Times New Roman"/>
          <w:szCs w:val="24"/>
        </w:rPr>
        <w:t xml:space="preserve"> el riesgo de desnaturalizarse,</w:t>
      </w:r>
      <w:r w:rsidR="0002307F" w:rsidRPr="00500DB3">
        <w:rPr>
          <w:rFonts w:ascii="Times New Roman" w:hAnsi="Times New Roman"/>
          <w:szCs w:val="24"/>
        </w:rPr>
        <w:t xml:space="preserve"> desviándose de su función original de fijación y defensa</w:t>
      </w:r>
      <w:r w:rsidR="000E6558" w:rsidRPr="00500DB3">
        <w:rPr>
          <w:rFonts w:ascii="Times New Roman" w:hAnsi="Times New Roman"/>
          <w:szCs w:val="24"/>
        </w:rPr>
        <w:t xml:space="preserve"> de los derechos fundamentales</w:t>
      </w:r>
      <w:r w:rsidR="002E198A">
        <w:rPr>
          <w:rFonts w:ascii="Times New Roman" w:hAnsi="Times New Roman"/>
          <w:szCs w:val="24"/>
        </w:rPr>
        <w:t>. De esta forma, pasó</w:t>
      </w:r>
      <w:r w:rsidR="0019303A" w:rsidRPr="00500DB3">
        <w:rPr>
          <w:rFonts w:ascii="Times New Roman" w:hAnsi="Times New Roman"/>
          <w:szCs w:val="24"/>
        </w:rPr>
        <w:t xml:space="preserve"> a convertirse</w:t>
      </w:r>
      <w:r w:rsidR="000E6558" w:rsidRPr="00500DB3">
        <w:rPr>
          <w:rFonts w:ascii="Times New Roman" w:hAnsi="Times New Roman"/>
          <w:szCs w:val="24"/>
        </w:rPr>
        <w:t xml:space="preserve"> en un recurso má</w:t>
      </w:r>
      <w:r w:rsidR="0002307F" w:rsidRPr="00500DB3">
        <w:rPr>
          <w:rFonts w:ascii="Times New Roman" w:hAnsi="Times New Roman"/>
          <w:szCs w:val="24"/>
        </w:rPr>
        <w:t>s dentro de la cadena de recursos frente a las sentencias y resolucione</w:t>
      </w:r>
      <w:r w:rsidR="002E198A">
        <w:rPr>
          <w:rFonts w:ascii="Times New Roman" w:hAnsi="Times New Roman"/>
          <w:szCs w:val="24"/>
        </w:rPr>
        <w:t>s judiciales en las que no solía</w:t>
      </w:r>
      <w:r w:rsidR="0002307F" w:rsidRPr="00500DB3">
        <w:rPr>
          <w:rFonts w:ascii="Times New Roman" w:hAnsi="Times New Roman"/>
          <w:szCs w:val="24"/>
        </w:rPr>
        <w:t xml:space="preserve"> plantearse ningún problema de índole o relevancia cons</w:t>
      </w:r>
      <w:r w:rsidR="00E70AE0" w:rsidRPr="00500DB3">
        <w:rPr>
          <w:rFonts w:ascii="Times New Roman" w:hAnsi="Times New Roman"/>
          <w:szCs w:val="24"/>
        </w:rPr>
        <w:t>titucional, sino simples discr</w:t>
      </w:r>
      <w:r w:rsidR="000E6558" w:rsidRPr="00500DB3">
        <w:rPr>
          <w:rFonts w:ascii="Times New Roman" w:hAnsi="Times New Roman"/>
          <w:szCs w:val="24"/>
        </w:rPr>
        <w:t>e</w:t>
      </w:r>
      <w:r w:rsidR="00E70AE0" w:rsidRPr="00500DB3">
        <w:rPr>
          <w:rFonts w:ascii="Times New Roman" w:hAnsi="Times New Roman"/>
          <w:szCs w:val="24"/>
        </w:rPr>
        <w:t>pa</w:t>
      </w:r>
      <w:r w:rsidR="000E6558" w:rsidRPr="00500DB3">
        <w:rPr>
          <w:rFonts w:ascii="Times New Roman" w:hAnsi="Times New Roman"/>
          <w:szCs w:val="24"/>
        </w:rPr>
        <w:t>n</w:t>
      </w:r>
      <w:r w:rsidR="00E70AE0" w:rsidRPr="00500DB3">
        <w:rPr>
          <w:rFonts w:ascii="Times New Roman" w:hAnsi="Times New Roman"/>
          <w:szCs w:val="24"/>
        </w:rPr>
        <w:t xml:space="preserve">cias entre recurrentes con la aplicación e </w:t>
      </w:r>
      <w:r w:rsidR="000E6558" w:rsidRPr="00500DB3">
        <w:rPr>
          <w:rFonts w:ascii="Times New Roman" w:hAnsi="Times New Roman"/>
          <w:szCs w:val="24"/>
        </w:rPr>
        <w:t>interpretación</w:t>
      </w:r>
      <w:r w:rsidR="00E70AE0" w:rsidRPr="00500DB3">
        <w:rPr>
          <w:rFonts w:ascii="Times New Roman" w:hAnsi="Times New Roman"/>
          <w:szCs w:val="24"/>
        </w:rPr>
        <w:t xml:space="preserve"> de las leyes que realiza</w:t>
      </w:r>
      <w:r w:rsidR="002E198A">
        <w:rPr>
          <w:rFonts w:ascii="Times New Roman" w:hAnsi="Times New Roman"/>
          <w:szCs w:val="24"/>
        </w:rPr>
        <w:t>ba</w:t>
      </w:r>
      <w:r w:rsidR="00E70AE0" w:rsidRPr="00500DB3">
        <w:rPr>
          <w:rFonts w:ascii="Times New Roman" w:hAnsi="Times New Roman"/>
          <w:szCs w:val="24"/>
        </w:rPr>
        <w:t xml:space="preserve"> la jurisdicción ordinaria.</w:t>
      </w:r>
    </w:p>
    <w:p w14:paraId="6876B00E" w14:textId="7ADE9903" w:rsidR="00A12EDF" w:rsidRDefault="00A12EDF" w:rsidP="00AA2BB1">
      <w:pPr>
        <w:pStyle w:val="texto"/>
        <w:ind w:firstLine="0"/>
        <w:rPr>
          <w:rFonts w:ascii="Times New Roman" w:hAnsi="Times New Roman"/>
          <w:szCs w:val="24"/>
        </w:rPr>
      </w:pPr>
      <w:r>
        <w:rPr>
          <w:rFonts w:ascii="Times New Roman" w:hAnsi="Times New Roman"/>
          <w:szCs w:val="24"/>
        </w:rPr>
        <w:t>L</w:t>
      </w:r>
      <w:r w:rsidR="00A909F0" w:rsidRPr="00500DB3">
        <w:rPr>
          <w:rFonts w:ascii="Times New Roman" w:hAnsi="Times New Roman"/>
          <w:szCs w:val="24"/>
        </w:rPr>
        <w:t xml:space="preserve">a situación del </w:t>
      </w:r>
      <w:r w:rsidR="005E6135" w:rsidRPr="00500DB3">
        <w:rPr>
          <w:rFonts w:ascii="Times New Roman" w:hAnsi="Times New Roman"/>
          <w:szCs w:val="24"/>
        </w:rPr>
        <w:t>T</w:t>
      </w:r>
      <w:r>
        <w:rPr>
          <w:rFonts w:ascii="Times New Roman" w:hAnsi="Times New Roman"/>
          <w:szCs w:val="24"/>
        </w:rPr>
        <w:t>C se fue agravando año tras año. Debemos destacar la existencia de dos hechos como los causantes de esta situación: de un lado, e</w:t>
      </w:r>
      <w:r w:rsidR="005E6135" w:rsidRPr="00500DB3">
        <w:rPr>
          <w:rFonts w:ascii="Times New Roman" w:hAnsi="Times New Roman"/>
          <w:szCs w:val="24"/>
        </w:rPr>
        <w:t xml:space="preserve">l </w:t>
      </w:r>
      <w:r w:rsidR="00F16271" w:rsidRPr="00500DB3">
        <w:rPr>
          <w:rFonts w:ascii="Times New Roman" w:hAnsi="Times New Roman"/>
          <w:szCs w:val="24"/>
        </w:rPr>
        <w:t>esfuerzo y el tiempo que el TC dedica</w:t>
      </w:r>
      <w:r w:rsidR="005E6135" w:rsidRPr="00500DB3">
        <w:rPr>
          <w:rFonts w:ascii="Times New Roman" w:hAnsi="Times New Roman"/>
          <w:szCs w:val="24"/>
        </w:rPr>
        <w:t>ba</w:t>
      </w:r>
      <w:r w:rsidR="00F16271" w:rsidRPr="00500DB3">
        <w:rPr>
          <w:rFonts w:ascii="Times New Roman" w:hAnsi="Times New Roman"/>
          <w:szCs w:val="24"/>
        </w:rPr>
        <w:t xml:space="preserve"> a la inadmi</w:t>
      </w:r>
      <w:r>
        <w:rPr>
          <w:rFonts w:ascii="Times New Roman" w:hAnsi="Times New Roman"/>
          <w:szCs w:val="24"/>
        </w:rPr>
        <w:t>sión de los recursos de amparo y, de otro, el ya mencionado abuso del recurso de amparo en sí mismo.</w:t>
      </w:r>
    </w:p>
    <w:p w14:paraId="744028E3" w14:textId="34C8BB53" w:rsidR="006F3544" w:rsidRDefault="00A12EDF" w:rsidP="00AA2BB1">
      <w:pPr>
        <w:pStyle w:val="texto"/>
        <w:ind w:firstLine="0"/>
        <w:rPr>
          <w:rFonts w:ascii="Times New Roman" w:hAnsi="Times New Roman"/>
          <w:szCs w:val="24"/>
        </w:rPr>
      </w:pPr>
      <w:r>
        <w:rPr>
          <w:rFonts w:ascii="Times New Roman" w:hAnsi="Times New Roman"/>
          <w:szCs w:val="24"/>
        </w:rPr>
        <w:t xml:space="preserve">Hasta ahora nos hemos centrado en comentar el creciente </w:t>
      </w:r>
      <w:r w:rsidR="006F3544">
        <w:rPr>
          <w:rFonts w:ascii="Times New Roman" w:hAnsi="Times New Roman"/>
          <w:szCs w:val="24"/>
        </w:rPr>
        <w:t>número</w:t>
      </w:r>
      <w:r>
        <w:rPr>
          <w:rFonts w:ascii="Times New Roman" w:hAnsi="Times New Roman"/>
          <w:szCs w:val="24"/>
        </w:rPr>
        <w:t xml:space="preserve"> de demandas de amparo que año tras años entraban en el TC. Sin </w:t>
      </w:r>
      <w:r w:rsidR="00F1749E">
        <w:rPr>
          <w:rFonts w:ascii="Times New Roman" w:hAnsi="Times New Roman"/>
          <w:szCs w:val="24"/>
        </w:rPr>
        <w:t>embargo,</w:t>
      </w:r>
      <w:r>
        <w:rPr>
          <w:rFonts w:ascii="Times New Roman" w:hAnsi="Times New Roman"/>
          <w:szCs w:val="24"/>
        </w:rPr>
        <w:t xml:space="preserve"> es interesante también hacer mención al tiempo invertido en la admisión de las mismas. Y es que, pese a que la inmensa mayoría de las demandas fuesen inadmitidas, este hecho también conllevaba un </w:t>
      </w:r>
      <w:r w:rsidR="006F3544">
        <w:rPr>
          <w:rFonts w:ascii="Times New Roman" w:hAnsi="Times New Roman"/>
          <w:szCs w:val="24"/>
        </w:rPr>
        <w:t xml:space="preserve">gran esfuerzo y tiempo por parte del TC, </w:t>
      </w:r>
      <w:r w:rsidR="00F65ECC" w:rsidRPr="00500DB3">
        <w:rPr>
          <w:rFonts w:ascii="Times New Roman" w:hAnsi="Times New Roman"/>
          <w:szCs w:val="24"/>
        </w:rPr>
        <w:t>excesivos teniendo en cuenta la enorme ca</w:t>
      </w:r>
      <w:r w:rsidR="006F3544">
        <w:rPr>
          <w:rFonts w:ascii="Times New Roman" w:hAnsi="Times New Roman"/>
          <w:szCs w:val="24"/>
        </w:rPr>
        <w:t>rga de trabajo de este. Recordemos que la posibilidad de no motivación de las providencias de inadmisión se enco</w:t>
      </w:r>
      <w:r w:rsidR="006F3544" w:rsidRPr="006F3544">
        <w:rPr>
          <w:rFonts w:ascii="Times New Roman" w:hAnsi="Times New Roman"/>
          <w:szCs w:val="24"/>
        </w:rPr>
        <w:t>ntra</w:t>
      </w:r>
      <w:r w:rsidR="006F3544">
        <w:rPr>
          <w:rFonts w:ascii="Times New Roman" w:hAnsi="Times New Roman"/>
          <w:szCs w:val="24"/>
        </w:rPr>
        <w:t xml:space="preserve">ba </w:t>
      </w:r>
      <w:r w:rsidR="006F3544" w:rsidRPr="006F3544">
        <w:rPr>
          <w:rFonts w:ascii="Times New Roman" w:hAnsi="Times New Roman"/>
          <w:szCs w:val="24"/>
        </w:rPr>
        <w:t>disponible desde que se aprobara la Ley Orgánica 6/1988, de 9 de junio, por la</w:t>
      </w:r>
      <w:r w:rsidR="006F3544">
        <w:rPr>
          <w:rFonts w:ascii="Times New Roman" w:hAnsi="Times New Roman"/>
          <w:szCs w:val="24"/>
        </w:rPr>
        <w:t xml:space="preserve"> que se modificaron</w:t>
      </w:r>
      <w:r w:rsidR="006F3544" w:rsidRPr="006F3544">
        <w:rPr>
          <w:rFonts w:ascii="Times New Roman" w:hAnsi="Times New Roman"/>
          <w:szCs w:val="24"/>
        </w:rPr>
        <w:t xml:space="preserve"> los artículos</w:t>
      </w:r>
      <w:r w:rsidR="006F3544">
        <w:rPr>
          <w:rFonts w:ascii="Times New Roman" w:hAnsi="Times New Roman"/>
          <w:szCs w:val="24"/>
        </w:rPr>
        <w:t xml:space="preserve"> </w:t>
      </w:r>
      <w:r w:rsidR="006F3544" w:rsidRPr="006F3544">
        <w:rPr>
          <w:rFonts w:ascii="Times New Roman" w:hAnsi="Times New Roman"/>
          <w:szCs w:val="24"/>
        </w:rPr>
        <w:t xml:space="preserve">50 y 96 de la </w:t>
      </w:r>
      <w:r w:rsidR="006F3544">
        <w:rPr>
          <w:rFonts w:ascii="Times New Roman" w:hAnsi="Times New Roman"/>
          <w:szCs w:val="24"/>
        </w:rPr>
        <w:t xml:space="preserve">LOTC. </w:t>
      </w:r>
      <w:r w:rsidR="006F3544" w:rsidRPr="006F3544">
        <w:rPr>
          <w:rFonts w:ascii="Times New Roman" w:hAnsi="Times New Roman"/>
          <w:szCs w:val="24"/>
        </w:rPr>
        <w:t>El artículo</w:t>
      </w:r>
      <w:r w:rsidR="006F3544">
        <w:rPr>
          <w:rFonts w:ascii="Times New Roman" w:hAnsi="Times New Roman"/>
          <w:szCs w:val="24"/>
        </w:rPr>
        <w:t xml:space="preserve"> </w:t>
      </w:r>
      <w:r w:rsidR="006F3544" w:rsidRPr="006F3544">
        <w:rPr>
          <w:rFonts w:ascii="Times New Roman" w:hAnsi="Times New Roman"/>
          <w:szCs w:val="24"/>
        </w:rPr>
        <w:t xml:space="preserve">50.2 LOTC rezaba, entonces, que </w:t>
      </w:r>
      <w:r w:rsidR="006F3544" w:rsidRPr="006F3544">
        <w:rPr>
          <w:rFonts w:ascii="Times New Roman" w:hAnsi="Times New Roman"/>
          <w:i/>
          <w:szCs w:val="24"/>
        </w:rPr>
        <w:t>«La providencia a que se refiere el apartado anterior» «indicará el supuesto [de inadmisión] en el que se encuentra el recurso».</w:t>
      </w:r>
      <w:r w:rsidR="006F3544" w:rsidRPr="006F3544">
        <w:rPr>
          <w:rFonts w:ascii="Times New Roman" w:hAnsi="Times New Roman"/>
          <w:szCs w:val="24"/>
        </w:rPr>
        <w:t xml:space="preserve"> Sin em</w:t>
      </w:r>
      <w:r w:rsidR="006F3544">
        <w:rPr>
          <w:rFonts w:ascii="Times New Roman" w:hAnsi="Times New Roman"/>
          <w:szCs w:val="24"/>
        </w:rPr>
        <w:t>bargo, lo habitual en este momento era que las providencias ofreciesen</w:t>
      </w:r>
      <w:r w:rsidR="006F3544" w:rsidRPr="006F3544">
        <w:rPr>
          <w:rFonts w:ascii="Times New Roman" w:hAnsi="Times New Roman"/>
          <w:szCs w:val="24"/>
        </w:rPr>
        <w:t xml:space="preserve"> la imprescindible información al </w:t>
      </w:r>
      <w:r w:rsidR="006F3544" w:rsidRPr="006F3544">
        <w:rPr>
          <w:rFonts w:ascii="Times New Roman" w:hAnsi="Times New Roman"/>
          <w:szCs w:val="24"/>
        </w:rPr>
        <w:lastRenderedPageBreak/>
        <w:t>recurrente de</w:t>
      </w:r>
      <w:r w:rsidR="006F3544">
        <w:rPr>
          <w:rFonts w:ascii="Times New Roman" w:hAnsi="Times New Roman"/>
          <w:szCs w:val="24"/>
        </w:rPr>
        <w:t xml:space="preserve"> </w:t>
      </w:r>
      <w:r w:rsidR="006F3544" w:rsidRPr="006F3544">
        <w:rPr>
          <w:rFonts w:ascii="Times New Roman" w:hAnsi="Times New Roman"/>
          <w:szCs w:val="24"/>
        </w:rPr>
        <w:t>la argumentación por la que se considera incumplido un determinado requisito</w:t>
      </w:r>
      <w:r w:rsidR="006F3544">
        <w:rPr>
          <w:rFonts w:ascii="Times New Roman" w:hAnsi="Times New Roman"/>
          <w:szCs w:val="24"/>
        </w:rPr>
        <w:t xml:space="preserve"> </w:t>
      </w:r>
      <w:r w:rsidR="006F3544" w:rsidRPr="006F3544">
        <w:rPr>
          <w:rFonts w:ascii="Times New Roman" w:hAnsi="Times New Roman"/>
          <w:szCs w:val="24"/>
        </w:rPr>
        <w:t xml:space="preserve">de admisión de amparo. </w:t>
      </w:r>
      <w:r w:rsidR="006F3544">
        <w:rPr>
          <w:rStyle w:val="Refdenotaalpie"/>
          <w:rFonts w:ascii="Times New Roman" w:hAnsi="Times New Roman"/>
          <w:szCs w:val="24"/>
        </w:rPr>
        <w:footnoteReference w:id="64"/>
      </w:r>
    </w:p>
    <w:p w14:paraId="77FE42C1" w14:textId="27E1E31A" w:rsidR="00606E90" w:rsidRDefault="00606E90" w:rsidP="00AA2BB1">
      <w:pPr>
        <w:pStyle w:val="texto"/>
        <w:ind w:firstLine="0"/>
        <w:rPr>
          <w:rFonts w:ascii="Times New Roman" w:hAnsi="Times New Roman"/>
          <w:szCs w:val="24"/>
        </w:rPr>
      </w:pPr>
      <w:r>
        <w:rPr>
          <w:rFonts w:ascii="Times New Roman" w:hAnsi="Times New Roman"/>
          <w:szCs w:val="24"/>
        </w:rPr>
        <w:t xml:space="preserve">La propia Exposición de Motivos de la LO 6/2007 afirmaba que </w:t>
      </w:r>
      <w:r w:rsidRPr="00606E90">
        <w:rPr>
          <w:rFonts w:ascii="Times New Roman" w:hAnsi="Times New Roman"/>
          <w:i/>
          <w:szCs w:val="24"/>
        </w:rPr>
        <w:t>“(.</w:t>
      </w:r>
      <w:r>
        <w:rPr>
          <w:rFonts w:ascii="Times New Roman" w:hAnsi="Times New Roman"/>
          <w:i/>
          <w:szCs w:val="24"/>
        </w:rPr>
        <w:t>.</w:t>
      </w:r>
      <w:r w:rsidRPr="00606E90">
        <w:rPr>
          <w:rFonts w:ascii="Times New Roman" w:hAnsi="Times New Roman"/>
          <w:i/>
          <w:szCs w:val="24"/>
        </w:rPr>
        <w:t>.) Entre ellas destaca, por un lado, el crecimiento del número de recursos de amparo hasta el punto de ocupar casi todo el tiempo y los medios materiales y personales del Tribunal. Por otro lado, la realidad de los hechos ha permitido también constatar la lentitud de los procedimientos que se desarrollan ante este Alto Tribunal, cuestiones todas ellas respecto de las que es el momento de dar respuesta legislativa”.</w:t>
      </w:r>
    </w:p>
    <w:p w14:paraId="1263A2C8" w14:textId="7B49B204" w:rsidR="0002307F" w:rsidRPr="00500DB3" w:rsidRDefault="006F3544" w:rsidP="00AA2BB1">
      <w:pPr>
        <w:pStyle w:val="texto"/>
        <w:ind w:firstLine="0"/>
        <w:rPr>
          <w:rFonts w:ascii="Times New Roman" w:hAnsi="Times New Roman"/>
          <w:szCs w:val="24"/>
        </w:rPr>
      </w:pPr>
      <w:r>
        <w:rPr>
          <w:rFonts w:ascii="Times New Roman" w:hAnsi="Times New Roman"/>
          <w:szCs w:val="24"/>
        </w:rPr>
        <w:t>Este hecho hacía q</w:t>
      </w:r>
      <w:r w:rsidR="00F65ECC" w:rsidRPr="00500DB3">
        <w:rPr>
          <w:rFonts w:ascii="Times New Roman" w:hAnsi="Times New Roman"/>
          <w:szCs w:val="24"/>
        </w:rPr>
        <w:t>ue el número</w:t>
      </w:r>
      <w:r>
        <w:rPr>
          <w:rFonts w:ascii="Times New Roman" w:hAnsi="Times New Roman"/>
          <w:szCs w:val="24"/>
        </w:rPr>
        <w:t xml:space="preserve"> de asuntos de los que se ocupaba fuese</w:t>
      </w:r>
      <w:r w:rsidR="00F65ECC" w:rsidRPr="00500DB3">
        <w:rPr>
          <w:rFonts w:ascii="Times New Roman" w:hAnsi="Times New Roman"/>
          <w:szCs w:val="24"/>
        </w:rPr>
        <w:t xml:space="preserve"> considerablemente menor</w:t>
      </w:r>
      <w:r>
        <w:rPr>
          <w:rFonts w:ascii="Times New Roman" w:hAnsi="Times New Roman"/>
          <w:szCs w:val="24"/>
        </w:rPr>
        <w:t xml:space="preserve">, teniendo en cuenta que </w:t>
      </w:r>
      <w:r w:rsidR="0010776B">
        <w:rPr>
          <w:rFonts w:ascii="Times New Roman" w:hAnsi="Times New Roman"/>
          <w:szCs w:val="24"/>
        </w:rPr>
        <w:t>año tras años el número de demandas de amparo presentadas ante el TC crecía</w:t>
      </w:r>
      <w:r w:rsidR="00F65ECC" w:rsidRPr="00500DB3">
        <w:rPr>
          <w:rFonts w:ascii="Times New Roman" w:hAnsi="Times New Roman"/>
          <w:szCs w:val="24"/>
        </w:rPr>
        <w:t>. De esta forma, aunque aceptemos que la inadmisión de los mismos sea parte de su labor de tutela, se puede considerar que ésta no sea del todo efectiva si tenemos en cuenta la lentitud y tardanza que ello conlleva.</w:t>
      </w:r>
    </w:p>
    <w:p w14:paraId="13687E6B" w14:textId="77777777" w:rsidR="00743369" w:rsidRPr="00500DB3" w:rsidRDefault="000E6558" w:rsidP="00AA2BB1">
      <w:pPr>
        <w:pStyle w:val="texto"/>
        <w:ind w:firstLine="0"/>
        <w:rPr>
          <w:rFonts w:ascii="Times New Roman" w:hAnsi="Times New Roman"/>
          <w:szCs w:val="24"/>
        </w:rPr>
      </w:pPr>
      <w:r w:rsidRPr="00500DB3">
        <w:rPr>
          <w:rFonts w:ascii="Times New Roman" w:hAnsi="Times New Roman"/>
          <w:szCs w:val="24"/>
        </w:rPr>
        <w:t xml:space="preserve">Debemos destacar que este problema </w:t>
      </w:r>
      <w:r w:rsidR="00C14395" w:rsidRPr="00500DB3">
        <w:rPr>
          <w:rFonts w:ascii="Times New Roman" w:hAnsi="Times New Roman"/>
          <w:szCs w:val="24"/>
        </w:rPr>
        <w:t xml:space="preserve">de funcionamiento en el </w:t>
      </w:r>
      <w:r w:rsidR="00376B3E" w:rsidRPr="00500DB3">
        <w:rPr>
          <w:rFonts w:ascii="Times New Roman" w:hAnsi="Times New Roman"/>
          <w:szCs w:val="24"/>
        </w:rPr>
        <w:t>TC</w:t>
      </w:r>
      <w:r w:rsidR="00C14395" w:rsidRPr="00500DB3">
        <w:rPr>
          <w:rFonts w:ascii="Times New Roman" w:hAnsi="Times New Roman"/>
          <w:szCs w:val="24"/>
        </w:rPr>
        <w:t xml:space="preserve"> relativo a la sobrecarga y consecuente tardanza en la resolución de recursos </w:t>
      </w:r>
      <w:r w:rsidRPr="00500DB3">
        <w:rPr>
          <w:rFonts w:ascii="Times New Roman" w:hAnsi="Times New Roman"/>
          <w:szCs w:val="24"/>
        </w:rPr>
        <w:t xml:space="preserve">que se nos plantea no </w:t>
      </w:r>
      <w:r w:rsidR="00743369" w:rsidRPr="00500DB3">
        <w:rPr>
          <w:rFonts w:ascii="Times New Roman" w:hAnsi="Times New Roman"/>
          <w:szCs w:val="24"/>
        </w:rPr>
        <w:t>es un p</w:t>
      </w:r>
      <w:r w:rsidR="00C14395" w:rsidRPr="00500DB3">
        <w:rPr>
          <w:rFonts w:ascii="Times New Roman" w:hAnsi="Times New Roman"/>
          <w:szCs w:val="24"/>
        </w:rPr>
        <w:t xml:space="preserve">roblema exclusivo de nuestro país. Podemos apreciar situaciones similares </w:t>
      </w:r>
      <w:r w:rsidR="00743369" w:rsidRPr="00500DB3">
        <w:rPr>
          <w:rFonts w:ascii="Times New Roman" w:hAnsi="Times New Roman"/>
          <w:szCs w:val="24"/>
        </w:rPr>
        <w:t>en</w:t>
      </w:r>
      <w:r w:rsidR="00376B3E" w:rsidRPr="00500DB3">
        <w:rPr>
          <w:rFonts w:ascii="Times New Roman" w:hAnsi="Times New Roman"/>
          <w:szCs w:val="24"/>
        </w:rPr>
        <w:t xml:space="preserve"> otros tribunales</w:t>
      </w:r>
      <w:r w:rsidR="00743369" w:rsidRPr="00500DB3">
        <w:rPr>
          <w:rFonts w:ascii="Times New Roman" w:hAnsi="Times New Roman"/>
          <w:szCs w:val="24"/>
        </w:rPr>
        <w:t xml:space="preserve"> competentes para c</w:t>
      </w:r>
      <w:r w:rsidR="00376B3E" w:rsidRPr="00500DB3">
        <w:rPr>
          <w:rFonts w:ascii="Times New Roman" w:hAnsi="Times New Roman"/>
          <w:szCs w:val="24"/>
        </w:rPr>
        <w:t>ontrolar el cumplimiento de las</w:t>
      </w:r>
      <w:r w:rsidR="00924F86" w:rsidRPr="00500DB3">
        <w:rPr>
          <w:rFonts w:ascii="Times New Roman" w:hAnsi="Times New Roman"/>
          <w:szCs w:val="24"/>
        </w:rPr>
        <w:t xml:space="preserve"> constituciones en sus</w:t>
      </w:r>
      <w:r w:rsidR="00C14395" w:rsidRPr="00500DB3">
        <w:rPr>
          <w:rFonts w:ascii="Times New Roman" w:hAnsi="Times New Roman"/>
          <w:szCs w:val="24"/>
        </w:rPr>
        <w:t xml:space="preserve"> respectivos Estados.</w:t>
      </w:r>
      <w:r w:rsidR="00743369" w:rsidRPr="00500DB3">
        <w:rPr>
          <w:rFonts w:ascii="Times New Roman" w:hAnsi="Times New Roman"/>
          <w:szCs w:val="24"/>
        </w:rPr>
        <w:t xml:space="preserve"> </w:t>
      </w:r>
    </w:p>
    <w:p w14:paraId="2AC68558" w14:textId="77777777" w:rsidR="00644513" w:rsidRPr="00500DB3" w:rsidRDefault="00376B3E" w:rsidP="00AA2BB1">
      <w:pPr>
        <w:pStyle w:val="texto"/>
        <w:ind w:firstLine="0"/>
        <w:rPr>
          <w:rFonts w:ascii="Times New Roman" w:hAnsi="Times New Roman"/>
          <w:szCs w:val="24"/>
        </w:rPr>
      </w:pPr>
      <w:r w:rsidRPr="00500DB3">
        <w:rPr>
          <w:rFonts w:ascii="Times New Roman" w:hAnsi="Times New Roman"/>
          <w:szCs w:val="24"/>
        </w:rPr>
        <w:t xml:space="preserve">Un ejemplo de ello sería </w:t>
      </w:r>
      <w:r w:rsidR="002F3700" w:rsidRPr="00500DB3">
        <w:rPr>
          <w:rFonts w:ascii="Times New Roman" w:hAnsi="Times New Roman"/>
          <w:szCs w:val="24"/>
        </w:rPr>
        <w:t>e</w:t>
      </w:r>
      <w:r w:rsidR="00743369" w:rsidRPr="00500DB3">
        <w:rPr>
          <w:rFonts w:ascii="Times New Roman" w:hAnsi="Times New Roman"/>
          <w:szCs w:val="24"/>
        </w:rPr>
        <w:t xml:space="preserve">l Tribunal </w:t>
      </w:r>
      <w:r w:rsidR="000E6558" w:rsidRPr="00500DB3">
        <w:rPr>
          <w:rFonts w:ascii="Times New Roman" w:hAnsi="Times New Roman"/>
          <w:szCs w:val="24"/>
        </w:rPr>
        <w:t>Supremo Federal de los Estado Unidos</w:t>
      </w:r>
      <w:r w:rsidR="00743369" w:rsidRPr="00500DB3">
        <w:rPr>
          <w:rFonts w:ascii="Times New Roman" w:hAnsi="Times New Roman"/>
          <w:szCs w:val="24"/>
        </w:rPr>
        <w:t xml:space="preserve"> de </w:t>
      </w:r>
      <w:r w:rsidR="000E6558" w:rsidRPr="00500DB3">
        <w:rPr>
          <w:rFonts w:ascii="Times New Roman" w:hAnsi="Times New Roman"/>
          <w:szCs w:val="24"/>
        </w:rPr>
        <w:t>América</w:t>
      </w:r>
      <w:r w:rsidR="00743369" w:rsidRPr="00500DB3">
        <w:rPr>
          <w:rFonts w:ascii="Times New Roman" w:hAnsi="Times New Roman"/>
          <w:color w:val="C00000"/>
          <w:szCs w:val="24"/>
        </w:rPr>
        <w:t xml:space="preserve"> </w:t>
      </w:r>
      <w:r w:rsidR="00743369" w:rsidRPr="00500DB3">
        <w:rPr>
          <w:rFonts w:ascii="Times New Roman" w:hAnsi="Times New Roman"/>
          <w:szCs w:val="24"/>
        </w:rPr>
        <w:t>y el Tribunal Constitucional Federal alemán</w:t>
      </w:r>
      <w:r w:rsidRPr="00500DB3">
        <w:rPr>
          <w:rFonts w:ascii="Times New Roman" w:hAnsi="Times New Roman"/>
          <w:szCs w:val="24"/>
        </w:rPr>
        <w:t xml:space="preserve">. Ambos </w:t>
      </w:r>
      <w:r w:rsidR="00B65EDB" w:rsidRPr="00500DB3">
        <w:rPr>
          <w:rFonts w:ascii="Times New Roman" w:hAnsi="Times New Roman"/>
          <w:szCs w:val="24"/>
        </w:rPr>
        <w:t xml:space="preserve">Tribunales </w:t>
      </w:r>
      <w:r w:rsidRPr="00500DB3">
        <w:rPr>
          <w:rFonts w:ascii="Times New Roman" w:hAnsi="Times New Roman"/>
          <w:szCs w:val="24"/>
        </w:rPr>
        <w:t>ha</w:t>
      </w:r>
      <w:r w:rsidR="00B65EDB" w:rsidRPr="00500DB3">
        <w:rPr>
          <w:rFonts w:ascii="Times New Roman" w:hAnsi="Times New Roman"/>
          <w:szCs w:val="24"/>
        </w:rPr>
        <w:t xml:space="preserve">n sufrido situaciones </w:t>
      </w:r>
      <w:r w:rsidRPr="00500DB3">
        <w:rPr>
          <w:rFonts w:ascii="Times New Roman" w:hAnsi="Times New Roman"/>
          <w:szCs w:val="24"/>
        </w:rPr>
        <w:t xml:space="preserve">de sobrecarga </w:t>
      </w:r>
      <w:r w:rsidR="00B65EDB" w:rsidRPr="00500DB3">
        <w:rPr>
          <w:rFonts w:ascii="Times New Roman" w:hAnsi="Times New Roman"/>
          <w:szCs w:val="24"/>
        </w:rPr>
        <w:t xml:space="preserve">similares a la de nuestro TC </w:t>
      </w:r>
      <w:r w:rsidRPr="00500DB3">
        <w:rPr>
          <w:rFonts w:ascii="Times New Roman" w:hAnsi="Times New Roman"/>
          <w:szCs w:val="24"/>
        </w:rPr>
        <w:t>que hicieron qu</w:t>
      </w:r>
      <w:r w:rsidR="001C566E" w:rsidRPr="00500DB3">
        <w:rPr>
          <w:rFonts w:ascii="Times New Roman" w:hAnsi="Times New Roman"/>
          <w:szCs w:val="24"/>
        </w:rPr>
        <w:t>e se planteasen</w:t>
      </w:r>
      <w:r w:rsidR="00B65EDB" w:rsidRPr="00500DB3">
        <w:rPr>
          <w:rFonts w:ascii="Times New Roman" w:hAnsi="Times New Roman"/>
          <w:szCs w:val="24"/>
        </w:rPr>
        <w:t xml:space="preserve"> en su momento</w:t>
      </w:r>
      <w:r w:rsidR="001C566E" w:rsidRPr="00500DB3">
        <w:rPr>
          <w:rFonts w:ascii="Times New Roman" w:hAnsi="Times New Roman"/>
          <w:szCs w:val="24"/>
        </w:rPr>
        <w:t xml:space="preserve"> una reforma en</w:t>
      </w:r>
      <w:r w:rsidRPr="00500DB3">
        <w:rPr>
          <w:rFonts w:ascii="Times New Roman" w:hAnsi="Times New Roman"/>
          <w:szCs w:val="24"/>
        </w:rPr>
        <w:t xml:space="preserve"> estos órganos para as</w:t>
      </w:r>
      <w:r w:rsidR="001C566E" w:rsidRPr="00500DB3">
        <w:rPr>
          <w:rFonts w:ascii="Times New Roman" w:hAnsi="Times New Roman"/>
          <w:szCs w:val="24"/>
        </w:rPr>
        <w:t>í solventar</w:t>
      </w:r>
      <w:r w:rsidRPr="00500DB3">
        <w:rPr>
          <w:rFonts w:ascii="Times New Roman" w:hAnsi="Times New Roman"/>
          <w:szCs w:val="24"/>
        </w:rPr>
        <w:t xml:space="preserve"> este problema</w:t>
      </w:r>
      <w:r w:rsidR="00743369" w:rsidRPr="00500DB3">
        <w:rPr>
          <w:rFonts w:ascii="Times New Roman" w:hAnsi="Times New Roman"/>
          <w:szCs w:val="24"/>
        </w:rPr>
        <w:t>.</w:t>
      </w:r>
      <w:r w:rsidR="00712EE3" w:rsidRPr="00500DB3">
        <w:rPr>
          <w:rFonts w:ascii="Times New Roman" w:hAnsi="Times New Roman"/>
          <w:szCs w:val="24"/>
        </w:rPr>
        <w:t xml:space="preserve"> </w:t>
      </w:r>
    </w:p>
    <w:p w14:paraId="1CF65CD5" w14:textId="394BA445" w:rsidR="000F1E87" w:rsidRPr="00500DB3" w:rsidRDefault="00644513" w:rsidP="00AA2BB1">
      <w:pPr>
        <w:pStyle w:val="texto"/>
        <w:ind w:firstLine="0"/>
        <w:rPr>
          <w:rFonts w:ascii="Times New Roman" w:hAnsi="Times New Roman"/>
          <w:szCs w:val="24"/>
        </w:rPr>
      </w:pPr>
      <w:r w:rsidRPr="00500DB3">
        <w:rPr>
          <w:rFonts w:ascii="Times New Roman" w:hAnsi="Times New Roman"/>
          <w:szCs w:val="24"/>
        </w:rPr>
        <w:t xml:space="preserve">Recordemos que </w:t>
      </w:r>
      <w:r w:rsidR="001C566E" w:rsidRPr="00500DB3">
        <w:rPr>
          <w:rFonts w:ascii="Times New Roman" w:hAnsi="Times New Roman"/>
          <w:szCs w:val="24"/>
        </w:rPr>
        <w:t xml:space="preserve">el modelo existente en Estados Unidos es el modelo </w:t>
      </w:r>
      <w:r w:rsidR="000F1E87" w:rsidRPr="00500DB3">
        <w:rPr>
          <w:rFonts w:ascii="Times New Roman" w:hAnsi="Times New Roman"/>
          <w:szCs w:val="24"/>
        </w:rPr>
        <w:t>denominado</w:t>
      </w:r>
      <w:r w:rsidRPr="00500DB3">
        <w:rPr>
          <w:rFonts w:ascii="Times New Roman" w:hAnsi="Times New Roman"/>
          <w:szCs w:val="24"/>
        </w:rPr>
        <w:t xml:space="preserve"> </w:t>
      </w:r>
      <w:r w:rsidRPr="00500DB3">
        <w:rPr>
          <w:rFonts w:ascii="Times New Roman" w:hAnsi="Times New Roman"/>
          <w:i/>
          <w:szCs w:val="24"/>
        </w:rPr>
        <w:t xml:space="preserve">judicial </w:t>
      </w:r>
      <w:proofErr w:type="spellStart"/>
      <w:r w:rsidRPr="00500DB3">
        <w:rPr>
          <w:rFonts w:ascii="Times New Roman" w:hAnsi="Times New Roman"/>
          <w:i/>
          <w:szCs w:val="24"/>
        </w:rPr>
        <w:t>review</w:t>
      </w:r>
      <w:proofErr w:type="spellEnd"/>
      <w:r w:rsidR="001C566E" w:rsidRPr="00500DB3">
        <w:rPr>
          <w:rFonts w:ascii="Times New Roman" w:hAnsi="Times New Roman"/>
          <w:szCs w:val="24"/>
        </w:rPr>
        <w:t xml:space="preserve">, mientras que el modelo existente en Alemania es el </w:t>
      </w:r>
      <w:r w:rsidRPr="00500DB3">
        <w:rPr>
          <w:rFonts w:ascii="Times New Roman" w:hAnsi="Times New Roman"/>
          <w:szCs w:val="24"/>
        </w:rPr>
        <w:t xml:space="preserve">conocido como </w:t>
      </w:r>
      <w:proofErr w:type="spellStart"/>
      <w:r w:rsidRPr="00500DB3">
        <w:rPr>
          <w:rFonts w:ascii="Times New Roman" w:hAnsi="Times New Roman"/>
          <w:i/>
          <w:szCs w:val="24"/>
        </w:rPr>
        <w:t>Verfassungsgerichtsbarkeit</w:t>
      </w:r>
      <w:proofErr w:type="spellEnd"/>
      <w:r w:rsidRPr="00500DB3">
        <w:rPr>
          <w:rFonts w:ascii="Times New Roman" w:hAnsi="Times New Roman"/>
          <w:szCs w:val="24"/>
        </w:rPr>
        <w:t>, de inspiración kelseniana</w:t>
      </w:r>
      <w:r w:rsidR="0010776B">
        <w:rPr>
          <w:rFonts w:ascii="Times New Roman" w:hAnsi="Times New Roman"/>
          <w:szCs w:val="24"/>
        </w:rPr>
        <w:t>.</w:t>
      </w:r>
      <w:r w:rsidR="00873B5E" w:rsidRPr="00500DB3">
        <w:rPr>
          <w:rStyle w:val="Refdenotaalpie"/>
          <w:rFonts w:ascii="Times New Roman" w:hAnsi="Times New Roman"/>
          <w:szCs w:val="24"/>
        </w:rPr>
        <w:footnoteReference w:id="65"/>
      </w:r>
      <w:r w:rsidR="0010776B">
        <w:rPr>
          <w:rFonts w:ascii="Times New Roman" w:hAnsi="Times New Roman"/>
          <w:szCs w:val="24"/>
        </w:rPr>
        <w:t xml:space="preserve"> </w:t>
      </w:r>
      <w:r w:rsidR="00B65EDB" w:rsidRPr="00500DB3">
        <w:rPr>
          <w:rFonts w:ascii="Times New Roman" w:hAnsi="Times New Roman"/>
          <w:szCs w:val="24"/>
        </w:rPr>
        <w:t xml:space="preserve">Nuestro modelo constitucional </w:t>
      </w:r>
      <w:r w:rsidR="00B65EDB" w:rsidRPr="00500DB3">
        <w:rPr>
          <w:rFonts w:ascii="Times New Roman" w:hAnsi="Times New Roman"/>
          <w:szCs w:val="24"/>
        </w:rPr>
        <w:lastRenderedPageBreak/>
        <w:t>est</w:t>
      </w:r>
      <w:r w:rsidR="000F1E87" w:rsidRPr="00500DB3">
        <w:rPr>
          <w:rFonts w:ascii="Times New Roman" w:hAnsi="Times New Roman"/>
          <w:szCs w:val="24"/>
        </w:rPr>
        <w:t>á  basado, al igual que el alemán</w:t>
      </w:r>
      <w:r w:rsidR="00B65EDB" w:rsidRPr="00500DB3">
        <w:rPr>
          <w:rFonts w:ascii="Times New Roman" w:hAnsi="Times New Roman"/>
          <w:szCs w:val="24"/>
        </w:rPr>
        <w:t xml:space="preserve">, en el modelo kelseniano. Este se basa en la existencia de un </w:t>
      </w:r>
      <w:r w:rsidR="000F1E87" w:rsidRPr="00500DB3">
        <w:rPr>
          <w:rFonts w:ascii="Times New Roman" w:hAnsi="Times New Roman"/>
          <w:szCs w:val="24"/>
        </w:rPr>
        <w:t>órgano no perteneciente al Poder Judicial, el Tribunal Constitucional, encargado de controlar la constitucionalidad de las leyes. Este tribunal tiene incluso el poder de expulsar del Ordenamiento Jurídico aquellas leyes que no se ajusten a los mandatos constitucionales, es decir, actuaría a modo de legislador negativo.</w:t>
      </w:r>
    </w:p>
    <w:p w14:paraId="32542561" w14:textId="72B61537" w:rsidR="00743369" w:rsidRPr="00500DB3" w:rsidRDefault="00C14395" w:rsidP="00AA2BB1">
      <w:pPr>
        <w:pStyle w:val="texto"/>
        <w:ind w:firstLine="0"/>
        <w:rPr>
          <w:rFonts w:ascii="Times New Roman" w:hAnsi="Times New Roman"/>
          <w:szCs w:val="24"/>
        </w:rPr>
      </w:pPr>
      <w:r w:rsidRPr="00500DB3">
        <w:rPr>
          <w:rFonts w:ascii="Times New Roman" w:hAnsi="Times New Roman"/>
          <w:szCs w:val="24"/>
        </w:rPr>
        <w:t>P</w:t>
      </w:r>
      <w:r w:rsidR="0010776B">
        <w:rPr>
          <w:rFonts w:ascii="Times New Roman" w:hAnsi="Times New Roman"/>
          <w:szCs w:val="24"/>
        </w:rPr>
        <w:t>ara solucionar esta situación, e</w:t>
      </w:r>
      <w:r w:rsidRPr="00500DB3">
        <w:rPr>
          <w:rFonts w:ascii="Times New Roman" w:hAnsi="Times New Roman"/>
          <w:szCs w:val="24"/>
        </w:rPr>
        <w:t xml:space="preserve">stos </w:t>
      </w:r>
      <w:r w:rsidR="0010776B">
        <w:rPr>
          <w:rFonts w:ascii="Times New Roman" w:hAnsi="Times New Roman"/>
          <w:szCs w:val="24"/>
        </w:rPr>
        <w:t>Estados llevaron</w:t>
      </w:r>
      <w:r w:rsidR="000F1E87" w:rsidRPr="00500DB3">
        <w:rPr>
          <w:rFonts w:ascii="Times New Roman" w:hAnsi="Times New Roman"/>
          <w:szCs w:val="24"/>
        </w:rPr>
        <w:t xml:space="preserve"> a cabo una reflexión acerca de </w:t>
      </w:r>
      <w:r w:rsidR="00ED06E3" w:rsidRPr="00500DB3">
        <w:rPr>
          <w:rFonts w:ascii="Times New Roman" w:hAnsi="Times New Roman"/>
          <w:szCs w:val="24"/>
        </w:rPr>
        <w:t xml:space="preserve">las funciones que desempeñan </w:t>
      </w:r>
      <w:r w:rsidR="000F1E87" w:rsidRPr="00500DB3">
        <w:rPr>
          <w:rFonts w:ascii="Times New Roman" w:hAnsi="Times New Roman"/>
          <w:szCs w:val="24"/>
        </w:rPr>
        <w:t xml:space="preserve">estos tribunales </w:t>
      </w:r>
      <w:r w:rsidR="00ED06E3" w:rsidRPr="00500DB3">
        <w:rPr>
          <w:rFonts w:ascii="Times New Roman" w:hAnsi="Times New Roman"/>
          <w:szCs w:val="24"/>
        </w:rPr>
        <w:t>dentro del sistema jurídico y judicial de su país. Para determinar estas funciones</w:t>
      </w:r>
      <w:r w:rsidR="0010776B">
        <w:rPr>
          <w:rFonts w:ascii="Times New Roman" w:hAnsi="Times New Roman"/>
          <w:szCs w:val="24"/>
        </w:rPr>
        <w:t>, fue</w:t>
      </w:r>
      <w:r w:rsidR="00ED06E3" w:rsidRPr="00500DB3">
        <w:rPr>
          <w:rFonts w:ascii="Times New Roman" w:hAnsi="Times New Roman"/>
          <w:szCs w:val="24"/>
        </w:rPr>
        <w:t xml:space="preserve"> preciso definir con precisión los sistemas de admisión de los recursos, pues éstos suponen un mecanismo clave para la </w:t>
      </w:r>
      <w:r w:rsidR="000E6558" w:rsidRPr="00500DB3">
        <w:rPr>
          <w:rFonts w:ascii="Times New Roman" w:hAnsi="Times New Roman"/>
          <w:szCs w:val="24"/>
        </w:rPr>
        <w:t>configuración</w:t>
      </w:r>
      <w:r w:rsidR="00ED06E3" w:rsidRPr="00500DB3">
        <w:rPr>
          <w:rFonts w:ascii="Times New Roman" w:hAnsi="Times New Roman"/>
          <w:szCs w:val="24"/>
        </w:rPr>
        <w:t xml:space="preserve"> de las funciones de cada tribunal.</w:t>
      </w:r>
      <w:r w:rsidR="00712EE3" w:rsidRPr="00500DB3">
        <w:rPr>
          <w:rFonts w:ascii="Times New Roman" w:hAnsi="Times New Roman"/>
          <w:szCs w:val="24"/>
        </w:rPr>
        <w:t xml:space="preserve"> El objetivo a conseguir fue que la última instancia judicial pudiese desempeñar sus funciones correctamente.</w:t>
      </w:r>
    </w:p>
    <w:p w14:paraId="612AD773" w14:textId="56FCF816" w:rsidR="00712EE3" w:rsidRPr="00500DB3" w:rsidRDefault="00712EE3" w:rsidP="00AA2BB1">
      <w:pPr>
        <w:pStyle w:val="texto"/>
        <w:ind w:firstLine="0"/>
        <w:rPr>
          <w:rFonts w:ascii="Times New Roman" w:hAnsi="Times New Roman"/>
          <w:szCs w:val="24"/>
        </w:rPr>
      </w:pPr>
      <w:r w:rsidRPr="00500DB3">
        <w:rPr>
          <w:rFonts w:ascii="Times New Roman" w:hAnsi="Times New Roman"/>
          <w:szCs w:val="24"/>
        </w:rPr>
        <w:t>Sin embargo, la acumulac</w:t>
      </w:r>
      <w:r w:rsidR="0010776B">
        <w:rPr>
          <w:rFonts w:ascii="Times New Roman" w:hAnsi="Times New Roman"/>
          <w:szCs w:val="24"/>
        </w:rPr>
        <w:t>ión de asuntos del TC español fue</w:t>
      </w:r>
      <w:r w:rsidRPr="00500DB3">
        <w:rPr>
          <w:rFonts w:ascii="Times New Roman" w:hAnsi="Times New Roman"/>
          <w:szCs w:val="24"/>
        </w:rPr>
        <w:t xml:space="preserve"> más grave que la de su homólogo alemán, siendo po</w:t>
      </w:r>
      <w:r w:rsidR="0010776B">
        <w:rPr>
          <w:rFonts w:ascii="Times New Roman" w:hAnsi="Times New Roman"/>
          <w:szCs w:val="24"/>
        </w:rPr>
        <w:t>r esto que nuestro Tribunal estaba</w:t>
      </w:r>
      <w:r w:rsidRPr="00500DB3">
        <w:rPr>
          <w:rFonts w:ascii="Times New Roman" w:hAnsi="Times New Roman"/>
          <w:szCs w:val="24"/>
        </w:rPr>
        <w:t xml:space="preserve"> abocado a una reforma más dr</w:t>
      </w:r>
      <w:r w:rsidR="00D63484" w:rsidRPr="00500DB3">
        <w:rPr>
          <w:rFonts w:ascii="Times New Roman" w:hAnsi="Times New Roman"/>
          <w:szCs w:val="24"/>
        </w:rPr>
        <w:t>ást</w:t>
      </w:r>
      <w:r w:rsidR="00156228" w:rsidRPr="00500DB3">
        <w:rPr>
          <w:rFonts w:ascii="Times New Roman" w:hAnsi="Times New Roman"/>
          <w:szCs w:val="24"/>
        </w:rPr>
        <w:t>ica que la que tuvo lu</w:t>
      </w:r>
      <w:r w:rsidR="00D63484" w:rsidRPr="00500DB3">
        <w:rPr>
          <w:rFonts w:ascii="Times New Roman" w:hAnsi="Times New Roman"/>
          <w:szCs w:val="24"/>
        </w:rPr>
        <w:t>gar en Alemania.</w:t>
      </w:r>
      <w:r w:rsidRPr="00500DB3">
        <w:rPr>
          <w:rFonts w:ascii="Times New Roman" w:hAnsi="Times New Roman"/>
          <w:szCs w:val="24"/>
        </w:rPr>
        <w:t xml:space="preserve"> </w:t>
      </w:r>
      <w:r w:rsidR="00D63484" w:rsidRPr="00500DB3">
        <w:rPr>
          <w:rFonts w:ascii="Times New Roman" w:hAnsi="Times New Roman"/>
          <w:szCs w:val="24"/>
        </w:rPr>
        <w:t>Además, al ser el recorrido de nuestro Tribunal más corto y estar su cultura jurídica e institucional</w:t>
      </w:r>
      <w:r w:rsidR="0010776B">
        <w:rPr>
          <w:rFonts w:ascii="Times New Roman" w:hAnsi="Times New Roman"/>
          <w:szCs w:val="24"/>
        </w:rPr>
        <w:t xml:space="preserve"> menos madura</w:t>
      </w:r>
      <w:r w:rsidR="00156228" w:rsidRPr="00500DB3">
        <w:rPr>
          <w:rFonts w:ascii="Times New Roman" w:hAnsi="Times New Roman"/>
          <w:szCs w:val="24"/>
        </w:rPr>
        <w:t xml:space="preserve"> que la estadounidense y la alemana, </w:t>
      </w:r>
      <w:r w:rsidR="0010776B">
        <w:rPr>
          <w:rFonts w:ascii="Times New Roman" w:hAnsi="Times New Roman"/>
          <w:szCs w:val="24"/>
        </w:rPr>
        <w:t xml:space="preserve">la encrucijada a la que se </w:t>
      </w:r>
      <w:r w:rsidR="00F1749E">
        <w:rPr>
          <w:rFonts w:ascii="Times New Roman" w:hAnsi="Times New Roman"/>
          <w:szCs w:val="24"/>
        </w:rPr>
        <w:t>vio</w:t>
      </w:r>
      <w:r w:rsidRPr="00500DB3">
        <w:rPr>
          <w:rFonts w:ascii="Times New Roman" w:hAnsi="Times New Roman"/>
          <w:szCs w:val="24"/>
        </w:rPr>
        <w:t xml:space="preserve"> enfrentado para lograr un mejor desemp</w:t>
      </w:r>
      <w:r w:rsidR="00156228" w:rsidRPr="00500DB3">
        <w:rPr>
          <w:rFonts w:ascii="Times New Roman" w:hAnsi="Times New Roman"/>
          <w:szCs w:val="24"/>
        </w:rPr>
        <w:t xml:space="preserve">eño de sus funciones no </w:t>
      </w:r>
      <w:r w:rsidR="0010776B">
        <w:rPr>
          <w:rFonts w:ascii="Times New Roman" w:hAnsi="Times New Roman"/>
          <w:szCs w:val="24"/>
        </w:rPr>
        <w:t>tuvo</w:t>
      </w:r>
      <w:r w:rsidR="00156228" w:rsidRPr="00500DB3">
        <w:rPr>
          <w:rFonts w:ascii="Times New Roman" w:hAnsi="Times New Roman"/>
          <w:szCs w:val="24"/>
        </w:rPr>
        <w:t xml:space="preserve"> como núcleo central la admisión discrecional de los recursos, sino la cuestión de qué importancia conceder a la función subjetiva del recurso de amparo y qué peso a la objetiva, concediendo así un amplio </w:t>
      </w:r>
      <w:r w:rsidR="000E6558" w:rsidRPr="00500DB3">
        <w:rPr>
          <w:rFonts w:ascii="Times New Roman" w:hAnsi="Times New Roman"/>
          <w:szCs w:val="24"/>
        </w:rPr>
        <w:t>margen</w:t>
      </w:r>
      <w:r w:rsidR="00156228" w:rsidRPr="00500DB3">
        <w:rPr>
          <w:rFonts w:ascii="Times New Roman" w:hAnsi="Times New Roman"/>
          <w:szCs w:val="24"/>
        </w:rPr>
        <w:t xml:space="preserve"> de apreciación al Tribunal.</w:t>
      </w:r>
    </w:p>
    <w:p w14:paraId="43982F1E" w14:textId="6140D19D" w:rsidR="00156228" w:rsidRPr="00500DB3" w:rsidRDefault="00156228" w:rsidP="00AA2BB1">
      <w:pPr>
        <w:pStyle w:val="texto"/>
        <w:ind w:firstLine="0"/>
        <w:rPr>
          <w:rFonts w:ascii="Times New Roman" w:hAnsi="Times New Roman"/>
          <w:szCs w:val="24"/>
        </w:rPr>
      </w:pPr>
      <w:r w:rsidRPr="00500DB3">
        <w:rPr>
          <w:rFonts w:ascii="Times New Roman" w:hAnsi="Times New Roman"/>
          <w:szCs w:val="24"/>
        </w:rPr>
        <w:t>Esta</w:t>
      </w:r>
      <w:r w:rsidR="0010776B">
        <w:rPr>
          <w:rFonts w:ascii="Times New Roman" w:hAnsi="Times New Roman"/>
          <w:szCs w:val="24"/>
        </w:rPr>
        <w:t xml:space="preserve"> disyuntiva sería</w:t>
      </w:r>
      <w:r w:rsidRPr="00500DB3">
        <w:rPr>
          <w:rFonts w:ascii="Times New Roman" w:hAnsi="Times New Roman"/>
          <w:szCs w:val="24"/>
        </w:rPr>
        <w:t xml:space="preserve"> resuelta por el legislador mediante la creación de la LO 6/2007, de 24 de mayo, de reforma de la LOTC, determinando como principal criterio de admisión de los recursos de amparo la importancia objetiva que estos tendrán para el desarrollo </w:t>
      </w:r>
      <w:r w:rsidR="0010776B">
        <w:rPr>
          <w:rFonts w:ascii="Times New Roman" w:hAnsi="Times New Roman"/>
          <w:szCs w:val="24"/>
        </w:rPr>
        <w:t xml:space="preserve">del Derecho Constitucional y </w:t>
      </w:r>
      <w:r w:rsidRPr="00500DB3">
        <w:rPr>
          <w:rFonts w:ascii="Times New Roman" w:hAnsi="Times New Roman"/>
          <w:szCs w:val="24"/>
        </w:rPr>
        <w:t>los derecho</w:t>
      </w:r>
      <w:r w:rsidR="0010776B">
        <w:rPr>
          <w:rFonts w:ascii="Times New Roman" w:hAnsi="Times New Roman"/>
          <w:szCs w:val="24"/>
        </w:rPr>
        <w:t>s fundamentales, eliminando</w:t>
      </w:r>
      <w:r w:rsidRPr="00500DB3">
        <w:rPr>
          <w:rFonts w:ascii="Times New Roman" w:hAnsi="Times New Roman"/>
          <w:szCs w:val="24"/>
        </w:rPr>
        <w:t xml:space="preserve"> la función subjetiva de este recurso como criterio de admisión.</w:t>
      </w:r>
      <w:r w:rsidR="005876E5" w:rsidRPr="00500DB3">
        <w:rPr>
          <w:rFonts w:ascii="Times New Roman" w:hAnsi="Times New Roman"/>
          <w:szCs w:val="24"/>
        </w:rPr>
        <w:t xml:space="preserve"> </w:t>
      </w:r>
      <w:r w:rsidR="0010776B">
        <w:rPr>
          <w:rFonts w:ascii="Times New Roman" w:hAnsi="Times New Roman"/>
          <w:szCs w:val="24"/>
        </w:rPr>
        <w:t>E</w:t>
      </w:r>
      <w:r w:rsidR="005876E5" w:rsidRPr="00500DB3">
        <w:rPr>
          <w:rFonts w:ascii="Times New Roman" w:hAnsi="Times New Roman"/>
          <w:szCs w:val="24"/>
        </w:rPr>
        <w:t>l TC se consolidaría exclusivamente como máximo intérprete de la Constitución y de los derechos fundamentales</w:t>
      </w:r>
      <w:r w:rsidR="0010776B">
        <w:rPr>
          <w:rFonts w:ascii="Times New Roman" w:hAnsi="Times New Roman"/>
          <w:szCs w:val="24"/>
        </w:rPr>
        <w:t>, abandonando</w:t>
      </w:r>
      <w:r w:rsidR="00325D1F" w:rsidRPr="00500DB3">
        <w:rPr>
          <w:rFonts w:ascii="Times New Roman" w:hAnsi="Times New Roman"/>
          <w:szCs w:val="24"/>
        </w:rPr>
        <w:t>,</w:t>
      </w:r>
      <w:r w:rsidR="00325D1F" w:rsidRPr="00500DB3">
        <w:rPr>
          <w:rFonts w:ascii="Times New Roman" w:hAnsi="Times New Roman"/>
          <w:color w:val="C00000"/>
          <w:szCs w:val="24"/>
        </w:rPr>
        <w:t xml:space="preserve"> </w:t>
      </w:r>
      <w:r w:rsidR="005876E5" w:rsidRPr="00500DB3">
        <w:rPr>
          <w:rFonts w:ascii="Times New Roman" w:hAnsi="Times New Roman"/>
          <w:szCs w:val="24"/>
        </w:rPr>
        <w:t>sin embargo, todo lo referido a la tut</w:t>
      </w:r>
      <w:r w:rsidR="0010776B">
        <w:rPr>
          <w:rFonts w:ascii="Times New Roman" w:hAnsi="Times New Roman"/>
          <w:szCs w:val="24"/>
        </w:rPr>
        <w:t>ela subjetiva de estos derechos y</w:t>
      </w:r>
      <w:r w:rsidR="005876E5" w:rsidRPr="00500DB3">
        <w:rPr>
          <w:rFonts w:ascii="Times New Roman" w:hAnsi="Times New Roman"/>
          <w:szCs w:val="24"/>
        </w:rPr>
        <w:t xml:space="preserve"> rompiendo </w:t>
      </w:r>
      <w:r w:rsidR="0010776B">
        <w:rPr>
          <w:rFonts w:ascii="Times New Roman" w:hAnsi="Times New Roman"/>
          <w:szCs w:val="24"/>
        </w:rPr>
        <w:t>c</w:t>
      </w:r>
      <w:r w:rsidR="005876E5" w:rsidRPr="00500DB3">
        <w:rPr>
          <w:rFonts w:ascii="Times New Roman" w:hAnsi="Times New Roman"/>
          <w:szCs w:val="24"/>
        </w:rPr>
        <w:t xml:space="preserve">on la </w:t>
      </w:r>
      <w:r w:rsidR="005876E5" w:rsidRPr="00500DB3">
        <w:rPr>
          <w:rFonts w:ascii="Times New Roman" w:hAnsi="Times New Roman"/>
          <w:szCs w:val="24"/>
        </w:rPr>
        <w:lastRenderedPageBreak/>
        <w:t xml:space="preserve">configuración del recurso de </w:t>
      </w:r>
      <w:r w:rsidR="00FC7415" w:rsidRPr="00500DB3">
        <w:rPr>
          <w:rFonts w:ascii="Times New Roman" w:hAnsi="Times New Roman"/>
          <w:szCs w:val="24"/>
        </w:rPr>
        <w:t>amparo</w:t>
      </w:r>
      <w:r w:rsidR="0010776B">
        <w:rPr>
          <w:rFonts w:ascii="Times New Roman" w:hAnsi="Times New Roman"/>
          <w:szCs w:val="24"/>
        </w:rPr>
        <w:t xml:space="preserve"> hasta entonces</w:t>
      </w:r>
      <w:r w:rsidR="005876E5" w:rsidRPr="00500DB3">
        <w:rPr>
          <w:rFonts w:ascii="Times New Roman" w:hAnsi="Times New Roman"/>
          <w:szCs w:val="24"/>
        </w:rPr>
        <w:t xml:space="preserve"> mantenida. No obstante, no debemos olv</w:t>
      </w:r>
      <w:r w:rsidR="0010776B">
        <w:rPr>
          <w:rFonts w:ascii="Times New Roman" w:hAnsi="Times New Roman"/>
          <w:szCs w:val="24"/>
        </w:rPr>
        <w:t>idar que esta afirmación quedaría</w:t>
      </w:r>
      <w:r w:rsidR="005876E5" w:rsidRPr="00500DB3">
        <w:rPr>
          <w:rFonts w:ascii="Times New Roman" w:hAnsi="Times New Roman"/>
          <w:szCs w:val="24"/>
        </w:rPr>
        <w:t xml:space="preserve"> condicionada a la forma en la</w:t>
      </w:r>
      <w:r w:rsidR="0010776B">
        <w:rPr>
          <w:rFonts w:ascii="Times New Roman" w:hAnsi="Times New Roman"/>
          <w:szCs w:val="24"/>
        </w:rPr>
        <w:t xml:space="preserve"> que el TC aplicase</w:t>
      </w:r>
      <w:r w:rsidR="00FC7415" w:rsidRPr="00500DB3">
        <w:rPr>
          <w:rFonts w:ascii="Times New Roman" w:hAnsi="Times New Roman"/>
          <w:szCs w:val="24"/>
        </w:rPr>
        <w:t xml:space="preserve"> esta reforma.</w:t>
      </w:r>
      <w:r w:rsidRPr="00500DB3">
        <w:rPr>
          <w:rFonts w:ascii="Times New Roman" w:hAnsi="Times New Roman"/>
          <w:szCs w:val="24"/>
        </w:rPr>
        <w:t xml:space="preserve"> </w:t>
      </w:r>
    </w:p>
    <w:p w14:paraId="405471A8" w14:textId="69004329" w:rsidR="00FC7415" w:rsidRDefault="00FC7415" w:rsidP="00AA2BB1">
      <w:pPr>
        <w:pStyle w:val="texto"/>
        <w:ind w:firstLine="0"/>
        <w:rPr>
          <w:rFonts w:ascii="Times New Roman" w:hAnsi="Times New Roman"/>
          <w:szCs w:val="24"/>
        </w:rPr>
      </w:pPr>
      <w:r w:rsidRPr="00500DB3">
        <w:rPr>
          <w:rFonts w:ascii="Times New Roman" w:hAnsi="Times New Roman"/>
          <w:szCs w:val="24"/>
        </w:rPr>
        <w:t xml:space="preserve">Antes de entrar de lleno en el estudio de esta </w:t>
      </w:r>
      <w:r w:rsidR="00F1749E" w:rsidRPr="00500DB3">
        <w:rPr>
          <w:rFonts w:ascii="Times New Roman" w:hAnsi="Times New Roman"/>
          <w:szCs w:val="24"/>
        </w:rPr>
        <w:t>Ley,</w:t>
      </w:r>
      <w:r w:rsidRPr="00500DB3">
        <w:rPr>
          <w:rFonts w:ascii="Times New Roman" w:hAnsi="Times New Roman"/>
          <w:szCs w:val="24"/>
        </w:rPr>
        <w:t xml:space="preserve"> así como en la </w:t>
      </w:r>
      <w:r w:rsidR="0010776B">
        <w:rPr>
          <w:rFonts w:ascii="Times New Roman" w:hAnsi="Times New Roman"/>
          <w:szCs w:val="24"/>
        </w:rPr>
        <w:t>nueva configuración que se le dio</w:t>
      </w:r>
      <w:r w:rsidRPr="00500DB3">
        <w:rPr>
          <w:rFonts w:ascii="Times New Roman" w:hAnsi="Times New Roman"/>
          <w:szCs w:val="24"/>
        </w:rPr>
        <w:t xml:space="preserve"> al recurso de amparo, </w:t>
      </w:r>
      <w:r w:rsidR="00B6123F" w:rsidRPr="00500DB3">
        <w:rPr>
          <w:rFonts w:ascii="Times New Roman" w:hAnsi="Times New Roman"/>
          <w:szCs w:val="24"/>
        </w:rPr>
        <w:t>debemos detenern</w:t>
      </w:r>
      <w:r w:rsidR="0010776B">
        <w:rPr>
          <w:rFonts w:ascii="Times New Roman" w:hAnsi="Times New Roman"/>
          <w:szCs w:val="24"/>
        </w:rPr>
        <w:t>os a observar las cifras que dieron</w:t>
      </w:r>
      <w:r w:rsidR="00B6123F" w:rsidRPr="00500DB3">
        <w:rPr>
          <w:rFonts w:ascii="Times New Roman" w:hAnsi="Times New Roman"/>
          <w:szCs w:val="24"/>
        </w:rPr>
        <w:t xml:space="preserve"> lugar a esta situación de desbordamiento de nuestro TC</w:t>
      </w:r>
      <w:r w:rsidRPr="00500DB3">
        <w:rPr>
          <w:rFonts w:ascii="Times New Roman" w:hAnsi="Times New Roman"/>
          <w:szCs w:val="24"/>
        </w:rPr>
        <w:t>.</w:t>
      </w:r>
      <w:r w:rsidR="003B06EB" w:rsidRPr="00500DB3">
        <w:rPr>
          <w:rFonts w:ascii="Times New Roman" w:hAnsi="Times New Roman"/>
          <w:szCs w:val="24"/>
        </w:rPr>
        <w:t xml:space="preserve"> E</w:t>
      </w:r>
      <w:r w:rsidR="0010776B">
        <w:rPr>
          <w:rFonts w:ascii="Times New Roman" w:hAnsi="Times New Roman"/>
          <w:szCs w:val="24"/>
        </w:rPr>
        <w:t>n e</w:t>
      </w:r>
      <w:r w:rsidR="003B06EB" w:rsidRPr="00500DB3">
        <w:rPr>
          <w:rFonts w:ascii="Times New Roman" w:hAnsi="Times New Roman"/>
          <w:szCs w:val="24"/>
        </w:rPr>
        <w:t>l</w:t>
      </w:r>
      <w:r w:rsidR="00B6123F" w:rsidRPr="00500DB3">
        <w:rPr>
          <w:rFonts w:ascii="Times New Roman" w:hAnsi="Times New Roman"/>
          <w:szCs w:val="24"/>
        </w:rPr>
        <w:t xml:space="preserve"> siguiente apartado podemos apreciar estos datos.</w:t>
      </w:r>
    </w:p>
    <w:p w14:paraId="46655AA1" w14:textId="0584912C" w:rsidR="00D22533" w:rsidRPr="00500DB3" w:rsidRDefault="008A78F7" w:rsidP="00AA2BB1">
      <w:pPr>
        <w:pStyle w:val="Ttulo3"/>
      </w:pPr>
      <w:bookmarkStart w:id="113" w:name="_Toc530596842"/>
      <w:bookmarkStart w:id="114" w:name="_Toc49423606"/>
      <w:bookmarkStart w:id="115" w:name="_Toc49708561"/>
      <w:bookmarkStart w:id="116" w:name="_Toc49790247"/>
      <w:bookmarkStart w:id="117" w:name="_Toc49866483"/>
      <w:bookmarkStart w:id="118" w:name="_Toc50373137"/>
      <w:r>
        <w:t>Cifras anteriores</w:t>
      </w:r>
      <w:bookmarkEnd w:id="113"/>
      <w:bookmarkEnd w:id="114"/>
      <w:r w:rsidR="00AA2BB1">
        <w:t xml:space="preserve"> a la reforma de 2007</w:t>
      </w:r>
      <w:bookmarkEnd w:id="115"/>
      <w:bookmarkEnd w:id="116"/>
      <w:bookmarkEnd w:id="117"/>
      <w:bookmarkEnd w:id="118"/>
    </w:p>
    <w:p w14:paraId="72C8E04A" w14:textId="36406148" w:rsidR="004B2775" w:rsidRDefault="00E97EBA" w:rsidP="00AA2BB1">
      <w:pPr>
        <w:pStyle w:val="texto"/>
        <w:ind w:firstLine="0"/>
        <w:rPr>
          <w:rFonts w:ascii="Times New Roman" w:hAnsi="Times New Roman"/>
          <w:szCs w:val="24"/>
        </w:rPr>
      </w:pPr>
      <w:r w:rsidRPr="00500DB3">
        <w:rPr>
          <w:rFonts w:ascii="Times New Roman" w:hAnsi="Times New Roman"/>
          <w:szCs w:val="24"/>
        </w:rPr>
        <w:t>Desde su creación con la Ley Orgánica 2/1979, de 3 de octubre,</w:t>
      </w:r>
      <w:r w:rsidR="00DD632B" w:rsidRPr="00500DB3">
        <w:rPr>
          <w:rFonts w:ascii="Times New Roman" w:hAnsi="Times New Roman"/>
          <w:szCs w:val="24"/>
        </w:rPr>
        <w:t xml:space="preserve"> nuestro </w:t>
      </w:r>
      <w:r w:rsidR="00F1749E" w:rsidRPr="00500DB3">
        <w:rPr>
          <w:rFonts w:ascii="Times New Roman" w:hAnsi="Times New Roman"/>
          <w:szCs w:val="24"/>
        </w:rPr>
        <w:t>TC ingresó</w:t>
      </w:r>
      <w:r w:rsidRPr="00500DB3">
        <w:rPr>
          <w:rFonts w:ascii="Times New Roman" w:hAnsi="Times New Roman"/>
          <w:szCs w:val="24"/>
        </w:rPr>
        <w:t xml:space="preserve"> </w:t>
      </w:r>
      <w:r w:rsidR="00474EB7" w:rsidRPr="00500DB3">
        <w:rPr>
          <w:rFonts w:ascii="Times New Roman" w:hAnsi="Times New Roman"/>
          <w:szCs w:val="24"/>
        </w:rPr>
        <w:t>año tras año</w:t>
      </w:r>
      <w:r w:rsidRPr="00500DB3">
        <w:rPr>
          <w:rFonts w:ascii="Times New Roman" w:hAnsi="Times New Roman"/>
          <w:szCs w:val="24"/>
        </w:rPr>
        <w:t xml:space="preserve"> de forma creciente miles de demandas</w:t>
      </w:r>
      <w:r w:rsidR="004B2775">
        <w:rPr>
          <w:rFonts w:ascii="Times New Roman" w:hAnsi="Times New Roman"/>
          <w:szCs w:val="24"/>
        </w:rPr>
        <w:t xml:space="preserve"> de amparo</w:t>
      </w:r>
      <w:r w:rsidRPr="00500DB3">
        <w:rPr>
          <w:rFonts w:ascii="Times New Roman" w:hAnsi="Times New Roman"/>
          <w:szCs w:val="24"/>
        </w:rPr>
        <w:t>.</w:t>
      </w:r>
      <w:r w:rsidR="0047399D" w:rsidRPr="00500DB3">
        <w:rPr>
          <w:rFonts w:ascii="Times New Roman" w:hAnsi="Times New Roman"/>
          <w:szCs w:val="24"/>
        </w:rPr>
        <w:t xml:space="preserve"> </w:t>
      </w:r>
      <w:r w:rsidR="00E46008" w:rsidRPr="00500DB3">
        <w:rPr>
          <w:rFonts w:ascii="Times New Roman" w:hAnsi="Times New Roman"/>
          <w:szCs w:val="24"/>
        </w:rPr>
        <w:t xml:space="preserve">Basándonos en los </w:t>
      </w:r>
      <w:r w:rsidR="004B2775">
        <w:rPr>
          <w:rFonts w:ascii="Times New Roman" w:hAnsi="Times New Roman"/>
          <w:szCs w:val="24"/>
        </w:rPr>
        <w:t>datos publicados en sus memorias y cuadros estadísticos</w:t>
      </w:r>
      <w:r w:rsidR="00D06059">
        <w:rPr>
          <w:rFonts w:ascii="Times New Roman" w:hAnsi="Times New Roman"/>
          <w:szCs w:val="24"/>
        </w:rPr>
        <w:t>,</w:t>
      </w:r>
      <w:r w:rsidR="004B2775">
        <w:rPr>
          <w:rStyle w:val="Refdenotaalpie"/>
          <w:rFonts w:ascii="Times New Roman" w:hAnsi="Times New Roman"/>
          <w:szCs w:val="24"/>
        </w:rPr>
        <w:footnoteReference w:id="66"/>
      </w:r>
      <w:r w:rsidR="00E46008" w:rsidRPr="00500DB3">
        <w:rPr>
          <w:rFonts w:ascii="Times New Roman" w:hAnsi="Times New Roman"/>
          <w:szCs w:val="24"/>
        </w:rPr>
        <w:t xml:space="preserve"> </w:t>
      </w:r>
      <w:r w:rsidR="00DE6CAB" w:rsidRPr="00500DB3">
        <w:rPr>
          <w:rFonts w:ascii="Times New Roman" w:hAnsi="Times New Roman"/>
          <w:szCs w:val="24"/>
        </w:rPr>
        <w:t xml:space="preserve">nuestro Tribunal </w:t>
      </w:r>
      <w:r w:rsidR="004B2775">
        <w:rPr>
          <w:rFonts w:ascii="Times New Roman" w:hAnsi="Times New Roman"/>
          <w:szCs w:val="24"/>
        </w:rPr>
        <w:t xml:space="preserve">recibió </w:t>
      </w:r>
      <w:r w:rsidR="00E46008" w:rsidRPr="00500DB3">
        <w:rPr>
          <w:rFonts w:ascii="Times New Roman" w:hAnsi="Times New Roman"/>
          <w:szCs w:val="24"/>
        </w:rPr>
        <w:t>durante su prim</w:t>
      </w:r>
      <w:r w:rsidR="004B2775">
        <w:rPr>
          <w:rFonts w:ascii="Times New Roman" w:hAnsi="Times New Roman"/>
          <w:szCs w:val="24"/>
        </w:rPr>
        <w:t xml:space="preserve">er año de funcionamiento, 1981, </w:t>
      </w:r>
      <w:r w:rsidR="00E46008" w:rsidRPr="00500DB3">
        <w:rPr>
          <w:rFonts w:ascii="Times New Roman" w:hAnsi="Times New Roman"/>
          <w:szCs w:val="24"/>
        </w:rPr>
        <w:t xml:space="preserve">423 recursos. </w:t>
      </w:r>
      <w:r w:rsidR="00D06059">
        <w:rPr>
          <w:rFonts w:ascii="Times New Roman" w:hAnsi="Times New Roman"/>
          <w:szCs w:val="24"/>
        </w:rPr>
        <w:t>Año tras año é</w:t>
      </w:r>
      <w:r w:rsidR="00AE07D6">
        <w:rPr>
          <w:rFonts w:ascii="Times New Roman" w:hAnsi="Times New Roman"/>
          <w:szCs w:val="24"/>
        </w:rPr>
        <w:t>stos fueron aumentando: 532 en 1982, 904 en 1983, 931 en 1984, 1226 en 1985, 1443 en 1986, 1797 en 1987, 2268 en 1988, 2722 en 1989 y, 3019 en 1990.</w:t>
      </w:r>
    </w:p>
    <w:p w14:paraId="20CD19CE" w14:textId="0C612D25" w:rsidR="00AE07D6" w:rsidRDefault="00AE07D6" w:rsidP="00AA2BB1">
      <w:pPr>
        <w:pStyle w:val="texto"/>
        <w:ind w:firstLine="0"/>
        <w:rPr>
          <w:rFonts w:ascii="Times New Roman" w:hAnsi="Times New Roman"/>
          <w:szCs w:val="24"/>
        </w:rPr>
      </w:pPr>
      <w:r w:rsidRPr="00500DB3">
        <w:rPr>
          <w:rFonts w:ascii="Times New Roman" w:hAnsi="Times New Roman"/>
          <w:szCs w:val="24"/>
        </w:rPr>
        <w:t xml:space="preserve">Viendo este enorme aumento no es difícil apreciar que un Tribunal no puede soportar un ritmo de crecimiento semejante, por lo que corre </w:t>
      </w:r>
      <w:r>
        <w:rPr>
          <w:rFonts w:ascii="Times New Roman" w:hAnsi="Times New Roman"/>
          <w:szCs w:val="24"/>
        </w:rPr>
        <w:t xml:space="preserve">el riesgo de colapsarse. En esta fecha, el propio Tomás y Valiente, el entonces </w:t>
      </w:r>
      <w:proofErr w:type="gramStart"/>
      <w:r>
        <w:rPr>
          <w:rFonts w:ascii="Times New Roman" w:hAnsi="Times New Roman"/>
          <w:szCs w:val="24"/>
        </w:rPr>
        <w:t>Presidente</w:t>
      </w:r>
      <w:proofErr w:type="gramEnd"/>
      <w:r>
        <w:rPr>
          <w:rFonts w:ascii="Times New Roman" w:hAnsi="Times New Roman"/>
          <w:szCs w:val="24"/>
        </w:rPr>
        <w:t xml:space="preserve"> del TC, sentenció lo siguiente: </w:t>
      </w:r>
      <w:r w:rsidRPr="00AE07D6">
        <w:rPr>
          <w:rFonts w:ascii="Times New Roman" w:hAnsi="Times New Roman"/>
          <w:i/>
          <w:szCs w:val="24"/>
        </w:rPr>
        <w:t>“no hay Tribunal que aguante un ritmo de crecimiento de asuntos a raíz o a razón de un veinte por ciento cada año más que el anterior cumulativa. Eso no hay institución que lo soporte. O disminuye y baja la curva de ascenso de asuntos, o el Tribunal se puede colapsar.”</w:t>
      </w:r>
      <w:r>
        <w:rPr>
          <w:rStyle w:val="Refdenotaalpie"/>
          <w:rFonts w:ascii="Times New Roman" w:hAnsi="Times New Roman"/>
          <w:i/>
          <w:szCs w:val="24"/>
        </w:rPr>
        <w:footnoteReference w:id="67"/>
      </w:r>
    </w:p>
    <w:p w14:paraId="33B8EA3E" w14:textId="2E92AF2B" w:rsidR="00F1072B" w:rsidRPr="00500DB3" w:rsidRDefault="00F1072B" w:rsidP="00AA2BB1">
      <w:pPr>
        <w:pStyle w:val="texto"/>
        <w:ind w:firstLine="0"/>
        <w:rPr>
          <w:rFonts w:ascii="Times New Roman" w:hAnsi="Times New Roman"/>
          <w:szCs w:val="24"/>
        </w:rPr>
      </w:pPr>
      <w:r w:rsidRPr="00500DB3">
        <w:rPr>
          <w:rFonts w:ascii="Times New Roman" w:hAnsi="Times New Roman"/>
          <w:szCs w:val="24"/>
        </w:rPr>
        <w:t>Desde el punto de vista de su funcionamiento práctico, el gran</w:t>
      </w:r>
      <w:r w:rsidR="00474EB7" w:rsidRPr="00500DB3">
        <w:rPr>
          <w:rFonts w:ascii="Times New Roman" w:hAnsi="Times New Roman"/>
          <w:szCs w:val="24"/>
        </w:rPr>
        <w:t xml:space="preserve"> problema del TC español fue</w:t>
      </w:r>
      <w:r w:rsidRPr="00500DB3">
        <w:rPr>
          <w:rFonts w:ascii="Times New Roman" w:hAnsi="Times New Roman"/>
          <w:szCs w:val="24"/>
        </w:rPr>
        <w:t xml:space="preserve"> </w:t>
      </w:r>
      <w:r w:rsidR="00744AE8" w:rsidRPr="00500DB3">
        <w:rPr>
          <w:rFonts w:ascii="Times New Roman" w:hAnsi="Times New Roman"/>
          <w:szCs w:val="24"/>
        </w:rPr>
        <w:t xml:space="preserve">el amparo. En cifras absolutas </w:t>
      </w:r>
      <w:r w:rsidR="00623107" w:rsidRPr="00500DB3">
        <w:rPr>
          <w:rFonts w:ascii="Times New Roman" w:hAnsi="Times New Roman"/>
          <w:szCs w:val="24"/>
        </w:rPr>
        <w:t xml:space="preserve">referidas a los diez primeros años naturales de funcionamiento del Tribunal (1981 – 1991), éste ingresó 17.767 asuntos, de los cuales </w:t>
      </w:r>
      <w:r w:rsidR="00623107" w:rsidRPr="00500DB3">
        <w:rPr>
          <w:rFonts w:ascii="Times New Roman" w:hAnsi="Times New Roman"/>
          <w:szCs w:val="24"/>
        </w:rPr>
        <w:lastRenderedPageBreak/>
        <w:t xml:space="preserve">16.393 fueron recursos de amparo. Es decir, </w:t>
      </w:r>
      <w:r w:rsidR="00474EB7" w:rsidRPr="00500DB3">
        <w:rPr>
          <w:rFonts w:ascii="Times New Roman" w:hAnsi="Times New Roman"/>
          <w:szCs w:val="24"/>
        </w:rPr>
        <w:t xml:space="preserve">el </w:t>
      </w:r>
      <w:r w:rsidR="00623107" w:rsidRPr="00500DB3">
        <w:rPr>
          <w:rFonts w:ascii="Times New Roman" w:hAnsi="Times New Roman"/>
          <w:szCs w:val="24"/>
        </w:rPr>
        <w:t>95’64 % de los asuntos que llegaron al TC durante ese tiempo fueron pretensiones de amparo</w:t>
      </w:r>
      <w:r w:rsidR="00AE07D6">
        <w:rPr>
          <w:rFonts w:ascii="Times New Roman" w:hAnsi="Times New Roman"/>
          <w:szCs w:val="24"/>
        </w:rPr>
        <w:t>.</w:t>
      </w:r>
      <w:r w:rsidR="00623107" w:rsidRPr="00500DB3">
        <w:rPr>
          <w:rStyle w:val="Refdenotaalpie"/>
          <w:rFonts w:ascii="Times New Roman" w:hAnsi="Times New Roman"/>
          <w:szCs w:val="24"/>
        </w:rPr>
        <w:footnoteReference w:id="68"/>
      </w:r>
    </w:p>
    <w:p w14:paraId="365BDC27" w14:textId="5BE721D8" w:rsidR="00DE6CAB" w:rsidRPr="00500DB3" w:rsidRDefault="00DE6CAB" w:rsidP="00AA2BB1">
      <w:pPr>
        <w:pStyle w:val="texto"/>
        <w:ind w:firstLine="0"/>
        <w:rPr>
          <w:rFonts w:ascii="Times New Roman" w:hAnsi="Times New Roman"/>
          <w:szCs w:val="24"/>
        </w:rPr>
      </w:pPr>
      <w:r w:rsidRPr="00500DB3">
        <w:rPr>
          <w:rFonts w:ascii="Times New Roman" w:hAnsi="Times New Roman"/>
          <w:szCs w:val="24"/>
        </w:rPr>
        <w:t xml:space="preserve">Sin embargo, en lugar de moderarse los ingresos, en los últimos años éstos </w:t>
      </w:r>
      <w:r w:rsidR="00474EB7" w:rsidRPr="00500DB3">
        <w:rPr>
          <w:rFonts w:ascii="Times New Roman" w:hAnsi="Times New Roman"/>
          <w:szCs w:val="24"/>
        </w:rPr>
        <w:t>aumentaron</w:t>
      </w:r>
      <w:r w:rsidRPr="00500DB3">
        <w:rPr>
          <w:rFonts w:ascii="Times New Roman" w:hAnsi="Times New Roman"/>
          <w:szCs w:val="24"/>
        </w:rPr>
        <w:t xml:space="preserve">, con la excepción de 2007, a una media de casi 400 asuntos más al año hasta 2004 o más de 500 si se tiene en cuenta el increíble aumento de 2005 (9708 asuntos ingresados </w:t>
      </w:r>
      <w:r w:rsidR="00E230B9" w:rsidRPr="00500DB3">
        <w:rPr>
          <w:rFonts w:ascii="Times New Roman" w:hAnsi="Times New Roman"/>
          <w:szCs w:val="24"/>
        </w:rPr>
        <w:t xml:space="preserve">en comparación de los 7951 de 2004) y de 2006 (11741). En definitiva, durante los últimos años los asuntos ingresados </w:t>
      </w:r>
      <w:r w:rsidR="00474EB7" w:rsidRPr="00500DB3">
        <w:rPr>
          <w:rFonts w:ascii="Times New Roman" w:hAnsi="Times New Roman"/>
          <w:szCs w:val="24"/>
        </w:rPr>
        <w:t>aumentaron</w:t>
      </w:r>
      <w:r w:rsidR="00E230B9" w:rsidRPr="00500DB3">
        <w:rPr>
          <w:rFonts w:ascii="Times New Roman" w:hAnsi="Times New Roman"/>
          <w:szCs w:val="24"/>
        </w:rPr>
        <w:t xml:space="preserve"> desde los 5538 en 1997 hasta los 10013 de 2007, pasando por los 11741 de 2006</w:t>
      </w:r>
      <w:r w:rsidR="00474EB7" w:rsidRPr="00500DB3">
        <w:rPr>
          <w:rFonts w:ascii="Times New Roman" w:hAnsi="Times New Roman"/>
          <w:szCs w:val="24"/>
        </w:rPr>
        <w:t>.</w:t>
      </w:r>
    </w:p>
    <w:p w14:paraId="7A5C8296" w14:textId="14D7840A" w:rsidR="00E90A03" w:rsidRDefault="0023709C" w:rsidP="00AA2BB1">
      <w:pPr>
        <w:pStyle w:val="texto"/>
        <w:ind w:firstLine="0"/>
        <w:rPr>
          <w:rFonts w:ascii="Times New Roman" w:hAnsi="Times New Roman"/>
          <w:szCs w:val="24"/>
        </w:rPr>
      </w:pPr>
      <w:r w:rsidRPr="00500DB3">
        <w:rPr>
          <w:rFonts w:ascii="Times New Roman" w:hAnsi="Times New Roman"/>
          <w:szCs w:val="24"/>
        </w:rPr>
        <w:t>Aunque estas cifras sean suficientemente ejemplificativas de la sobrecarga de tra</w:t>
      </w:r>
      <w:r w:rsidR="00DD632B" w:rsidRPr="00500DB3">
        <w:rPr>
          <w:rFonts w:ascii="Times New Roman" w:hAnsi="Times New Roman"/>
          <w:szCs w:val="24"/>
        </w:rPr>
        <w:t>bajo del TC</w:t>
      </w:r>
      <w:r w:rsidRPr="00500DB3">
        <w:rPr>
          <w:rFonts w:ascii="Times New Roman" w:hAnsi="Times New Roman"/>
          <w:szCs w:val="24"/>
        </w:rPr>
        <w:t>, los datos</w:t>
      </w:r>
      <w:r w:rsidR="008E0E0F" w:rsidRPr="00500DB3">
        <w:rPr>
          <w:rFonts w:ascii="Times New Roman" w:hAnsi="Times New Roman"/>
          <w:szCs w:val="24"/>
        </w:rPr>
        <w:t xml:space="preserve"> sobre asuntos resueltos</w:t>
      </w:r>
      <w:r w:rsidRPr="00500DB3">
        <w:rPr>
          <w:rFonts w:ascii="Times New Roman" w:hAnsi="Times New Roman"/>
          <w:szCs w:val="24"/>
        </w:rPr>
        <w:t xml:space="preserve"> en comparación con </w:t>
      </w:r>
      <w:r w:rsidR="009F3C47" w:rsidRPr="00500DB3">
        <w:rPr>
          <w:rFonts w:ascii="Times New Roman" w:hAnsi="Times New Roman"/>
          <w:szCs w:val="24"/>
        </w:rPr>
        <w:t xml:space="preserve">los asuntos ingresados </w:t>
      </w:r>
      <w:r w:rsidR="000636AF" w:rsidRPr="00500DB3">
        <w:rPr>
          <w:rFonts w:ascii="Times New Roman" w:hAnsi="Times New Roman"/>
          <w:szCs w:val="24"/>
        </w:rPr>
        <w:t xml:space="preserve">muestran una situación de colapso absoluto del TC. </w:t>
      </w:r>
      <w:r w:rsidR="00E90A03">
        <w:rPr>
          <w:rStyle w:val="Refdenotaalpie"/>
          <w:rFonts w:ascii="Times New Roman" w:hAnsi="Times New Roman"/>
          <w:szCs w:val="24"/>
        </w:rPr>
        <w:footnoteReference w:id="69"/>
      </w:r>
    </w:p>
    <w:p w14:paraId="7D199CE1" w14:textId="4A0AA136" w:rsidR="00E230B9" w:rsidRPr="00500DB3" w:rsidRDefault="000636AF" w:rsidP="00AA2BB1">
      <w:pPr>
        <w:pStyle w:val="texto"/>
        <w:ind w:firstLine="0"/>
        <w:rPr>
          <w:rFonts w:ascii="Times New Roman" w:hAnsi="Times New Roman"/>
          <w:szCs w:val="24"/>
        </w:rPr>
      </w:pPr>
      <w:r w:rsidRPr="00500DB3">
        <w:rPr>
          <w:rFonts w:ascii="Times New Roman" w:hAnsi="Times New Roman"/>
          <w:szCs w:val="24"/>
        </w:rPr>
        <w:t>Desde 1995 hasta 2007, en todos los años a excepción de 2000 y 2007, nuestro Tribunal ha resuelto menos casos de los que ha recibido, excediendo en varias ocasiones este superávit en más de 1000 asuntos (3200 en 2006, 3369 en 2005, 1143 en 2003, 1754 en 200</w:t>
      </w:r>
      <w:r w:rsidR="008E0E0F" w:rsidRPr="00500DB3">
        <w:rPr>
          <w:rFonts w:ascii="Times New Roman" w:hAnsi="Times New Roman"/>
          <w:szCs w:val="24"/>
        </w:rPr>
        <w:t>2, 1114 en 1997 y 1998)</w:t>
      </w:r>
      <w:r w:rsidRPr="00500DB3">
        <w:rPr>
          <w:rFonts w:ascii="Times New Roman" w:hAnsi="Times New Roman"/>
          <w:szCs w:val="24"/>
        </w:rPr>
        <w:t>.</w:t>
      </w:r>
    </w:p>
    <w:p w14:paraId="351BBBFD" w14:textId="789C0092" w:rsidR="004707F7" w:rsidRDefault="004707F7" w:rsidP="00AA2BB1">
      <w:pPr>
        <w:pStyle w:val="texto"/>
        <w:ind w:firstLine="0"/>
        <w:rPr>
          <w:rFonts w:ascii="Times New Roman" w:hAnsi="Times New Roman"/>
          <w:szCs w:val="24"/>
        </w:rPr>
      </w:pPr>
      <w:r>
        <w:rPr>
          <w:rFonts w:ascii="Times New Roman" w:hAnsi="Times New Roman"/>
          <w:szCs w:val="24"/>
        </w:rPr>
        <w:t>Como afirmaba CABAÑAS GARCÍA, el atasco se venía</w:t>
      </w:r>
      <w:r w:rsidRPr="004707F7">
        <w:rPr>
          <w:rFonts w:ascii="Times New Roman" w:hAnsi="Times New Roman"/>
          <w:szCs w:val="24"/>
        </w:rPr>
        <w:t xml:space="preserve"> asentando en la fase de admisión de los amparos</w:t>
      </w:r>
      <w:r>
        <w:rPr>
          <w:rFonts w:ascii="Times New Roman" w:hAnsi="Times New Roman"/>
          <w:szCs w:val="24"/>
        </w:rPr>
        <w:t>,</w:t>
      </w:r>
      <w:r w:rsidRPr="004707F7">
        <w:rPr>
          <w:rFonts w:ascii="Times New Roman" w:hAnsi="Times New Roman"/>
          <w:szCs w:val="24"/>
        </w:rPr>
        <w:t xml:space="preserve"> donde ha</w:t>
      </w:r>
      <w:r>
        <w:rPr>
          <w:rFonts w:ascii="Times New Roman" w:hAnsi="Times New Roman"/>
          <w:szCs w:val="24"/>
        </w:rPr>
        <w:t>bía</w:t>
      </w:r>
      <w:r w:rsidRPr="004707F7">
        <w:rPr>
          <w:rFonts w:ascii="Times New Roman" w:hAnsi="Times New Roman"/>
          <w:szCs w:val="24"/>
        </w:rPr>
        <w:t xml:space="preserve"> de proveerse sobre la procedencia de cada uno, previa preparación de un informe razonado, objeto luego de deliberación y votación</w:t>
      </w:r>
      <w:r>
        <w:rPr>
          <w:rFonts w:ascii="Times New Roman" w:hAnsi="Times New Roman"/>
          <w:szCs w:val="24"/>
        </w:rPr>
        <w:t>.</w:t>
      </w:r>
      <w:r>
        <w:rPr>
          <w:rStyle w:val="Refdenotaalpie"/>
          <w:rFonts w:ascii="Times New Roman" w:hAnsi="Times New Roman"/>
          <w:szCs w:val="24"/>
        </w:rPr>
        <w:footnoteReference w:id="70"/>
      </w:r>
      <w:r>
        <w:rPr>
          <w:rFonts w:ascii="Times New Roman" w:hAnsi="Times New Roman"/>
          <w:szCs w:val="24"/>
        </w:rPr>
        <w:t xml:space="preserve"> Como dijimos, aunque desde la reforma de 1988 no era obligatoria la justificación de las providencias de inadmisión, por lo que el TC invertía gran parte de su tiempo en esta labor.</w:t>
      </w:r>
    </w:p>
    <w:p w14:paraId="3A4EC2B4" w14:textId="35AAD248" w:rsidR="00CC5AD4" w:rsidRDefault="00CC5AD4" w:rsidP="00AA2BB1">
      <w:pPr>
        <w:pStyle w:val="texto"/>
        <w:ind w:firstLine="0"/>
        <w:rPr>
          <w:rFonts w:ascii="Times New Roman" w:hAnsi="Times New Roman"/>
          <w:szCs w:val="24"/>
        </w:rPr>
      </w:pPr>
      <w:r>
        <w:rPr>
          <w:rFonts w:ascii="Times New Roman" w:hAnsi="Times New Roman"/>
          <w:szCs w:val="24"/>
        </w:rPr>
        <w:lastRenderedPageBreak/>
        <w:t xml:space="preserve">En la década de los 90 la situación no mejoró, llegando en 1994 a ingresar </w:t>
      </w:r>
      <w:r w:rsidRPr="00CC5AD4">
        <w:rPr>
          <w:rFonts w:ascii="Times New Roman" w:hAnsi="Times New Roman"/>
          <w:szCs w:val="24"/>
        </w:rPr>
        <w:t>3.982</w:t>
      </w:r>
      <w:r>
        <w:rPr>
          <w:rFonts w:ascii="Times New Roman" w:hAnsi="Times New Roman"/>
          <w:szCs w:val="24"/>
        </w:rPr>
        <w:t xml:space="preserve"> asuntos. Por su parte, el número de sentencias dictadas seguía siendo muy inferior al de los asuntos ingresados.</w:t>
      </w:r>
    </w:p>
    <w:p w14:paraId="41292712" w14:textId="7EE4EE4E" w:rsidR="0009462B" w:rsidRPr="0009462B" w:rsidRDefault="0009462B" w:rsidP="00AA2BB1">
      <w:pPr>
        <w:pStyle w:val="texto"/>
        <w:ind w:firstLine="0"/>
        <w:rPr>
          <w:rFonts w:ascii="Times New Roman" w:hAnsi="Times New Roman"/>
          <w:szCs w:val="24"/>
        </w:rPr>
      </w:pPr>
      <w:r w:rsidRPr="0009462B">
        <w:rPr>
          <w:rFonts w:ascii="Times New Roman" w:hAnsi="Times New Roman"/>
          <w:szCs w:val="24"/>
        </w:rPr>
        <w:t xml:space="preserve">Si miramos ahora los últimos años de labor del TC </w:t>
      </w:r>
      <w:r w:rsidR="00951ADE">
        <w:rPr>
          <w:rFonts w:ascii="Times New Roman" w:hAnsi="Times New Roman"/>
          <w:szCs w:val="24"/>
        </w:rPr>
        <w:t>antes de la reforma (2002-2006)</w:t>
      </w:r>
      <w:r w:rsidRPr="0009462B">
        <w:rPr>
          <w:rFonts w:ascii="Times New Roman" w:hAnsi="Times New Roman"/>
          <w:szCs w:val="24"/>
        </w:rPr>
        <w:t xml:space="preserve"> vemos cómo la situación empeoró considerablemente.</w:t>
      </w:r>
      <w:r>
        <w:rPr>
          <w:rStyle w:val="Refdenotaalpie"/>
          <w:rFonts w:ascii="Times New Roman" w:hAnsi="Times New Roman"/>
          <w:szCs w:val="24"/>
        </w:rPr>
        <w:footnoteReference w:id="71"/>
      </w:r>
    </w:p>
    <w:p w14:paraId="5AA46656" w14:textId="7E633468" w:rsidR="000636AF" w:rsidRPr="00500DB3" w:rsidRDefault="000636AF" w:rsidP="00AA2BB1">
      <w:pPr>
        <w:pStyle w:val="texto"/>
        <w:ind w:firstLine="0"/>
        <w:rPr>
          <w:rFonts w:ascii="Times New Roman" w:hAnsi="Times New Roman"/>
          <w:szCs w:val="24"/>
        </w:rPr>
      </w:pPr>
      <w:r w:rsidRPr="00CC5AD4">
        <w:rPr>
          <w:rFonts w:ascii="Times New Roman" w:hAnsi="Times New Roman"/>
          <w:szCs w:val="24"/>
        </w:rPr>
        <w:t>La incapacidad</w:t>
      </w:r>
      <w:r w:rsidRPr="00500DB3">
        <w:rPr>
          <w:rFonts w:ascii="Times New Roman" w:hAnsi="Times New Roman"/>
          <w:szCs w:val="24"/>
        </w:rPr>
        <w:t xml:space="preserve"> del Tribunal de dar respuesta a todo</w:t>
      </w:r>
      <w:r w:rsidR="00474EB7" w:rsidRPr="00500DB3">
        <w:rPr>
          <w:rFonts w:ascii="Times New Roman" w:hAnsi="Times New Roman"/>
          <w:szCs w:val="24"/>
        </w:rPr>
        <w:t>s los asuntos que se le plantearon anualmente conducía</w:t>
      </w:r>
      <w:r w:rsidRPr="00500DB3">
        <w:rPr>
          <w:rFonts w:ascii="Times New Roman" w:hAnsi="Times New Roman"/>
          <w:szCs w:val="24"/>
        </w:rPr>
        <w:t xml:space="preserve"> de forma inevitable a su colapso si no se realiza</w:t>
      </w:r>
      <w:r w:rsidR="00474EB7" w:rsidRPr="00500DB3">
        <w:rPr>
          <w:rFonts w:ascii="Times New Roman" w:hAnsi="Times New Roman"/>
          <w:szCs w:val="24"/>
        </w:rPr>
        <w:t>ba</w:t>
      </w:r>
      <w:r w:rsidRPr="00500DB3">
        <w:rPr>
          <w:rFonts w:ascii="Times New Roman" w:hAnsi="Times New Roman"/>
          <w:szCs w:val="24"/>
        </w:rPr>
        <w:t xml:space="preserve"> de manera urgente un cambio drástico en la actuación del mismo. </w:t>
      </w:r>
      <w:r w:rsidR="00474EB7" w:rsidRPr="00500DB3">
        <w:rPr>
          <w:rFonts w:ascii="Times New Roman" w:hAnsi="Times New Roman"/>
          <w:szCs w:val="24"/>
        </w:rPr>
        <w:t>Eran</w:t>
      </w:r>
      <w:r w:rsidRPr="00500DB3">
        <w:rPr>
          <w:rFonts w:ascii="Times New Roman" w:hAnsi="Times New Roman"/>
          <w:szCs w:val="24"/>
        </w:rPr>
        <w:t xml:space="preserve"> muchos los recursos de amparo</w:t>
      </w:r>
      <w:r w:rsidR="00474EB7" w:rsidRPr="00500DB3">
        <w:rPr>
          <w:rFonts w:ascii="Times New Roman" w:hAnsi="Times New Roman"/>
          <w:szCs w:val="24"/>
        </w:rPr>
        <w:t xml:space="preserve"> que recibía el TC</w:t>
      </w:r>
      <w:r w:rsidRPr="00500DB3">
        <w:rPr>
          <w:rFonts w:ascii="Times New Roman" w:hAnsi="Times New Roman"/>
          <w:szCs w:val="24"/>
        </w:rPr>
        <w:t>, aunque no tantos los asuntos de competencia del Pleno (28 en 2006 y 21 en 200</w:t>
      </w:r>
      <w:r w:rsidR="00474EB7" w:rsidRPr="00500DB3">
        <w:rPr>
          <w:rFonts w:ascii="Times New Roman" w:hAnsi="Times New Roman"/>
          <w:szCs w:val="24"/>
        </w:rPr>
        <w:t>7), sobre cuya admisión no podía</w:t>
      </w:r>
      <w:r w:rsidRPr="00500DB3">
        <w:rPr>
          <w:rFonts w:ascii="Times New Roman" w:hAnsi="Times New Roman"/>
          <w:szCs w:val="24"/>
        </w:rPr>
        <w:t xml:space="preserve"> pronunciarse </w:t>
      </w:r>
      <w:r w:rsidR="00474EB7" w:rsidRPr="00500DB3">
        <w:rPr>
          <w:rFonts w:ascii="Times New Roman" w:hAnsi="Times New Roman"/>
          <w:szCs w:val="24"/>
        </w:rPr>
        <w:t>el TC el mismo año en el que le eran</w:t>
      </w:r>
      <w:r w:rsidRPr="00500DB3">
        <w:rPr>
          <w:rFonts w:ascii="Times New Roman" w:hAnsi="Times New Roman"/>
          <w:szCs w:val="24"/>
        </w:rPr>
        <w:t xml:space="preserve"> planteados: 3472 recursos de amparo en 2006</w:t>
      </w:r>
      <w:r w:rsidR="008850D6" w:rsidRPr="00500DB3">
        <w:rPr>
          <w:rFonts w:ascii="Times New Roman" w:hAnsi="Times New Roman"/>
          <w:szCs w:val="24"/>
        </w:rPr>
        <w:t>, 3865 en 2005, 1156 en 2004, 1548 en 2003, 2129 en 2002 (a excepción del año 2007 en el que por primer</w:t>
      </w:r>
      <w:r w:rsidR="00DD632B" w:rsidRPr="00500DB3">
        <w:rPr>
          <w:rFonts w:ascii="Times New Roman" w:hAnsi="Times New Roman"/>
          <w:szCs w:val="24"/>
        </w:rPr>
        <w:t>a vez el TC</w:t>
      </w:r>
      <w:r w:rsidR="008850D6" w:rsidRPr="00500DB3">
        <w:rPr>
          <w:rFonts w:ascii="Times New Roman" w:hAnsi="Times New Roman"/>
          <w:szCs w:val="24"/>
        </w:rPr>
        <w:t xml:space="preserve"> resolvió más casos de los que recibió). Como consecuencia de ello, el 31 de diciembre de 2007 sólo el total de asuntos pendientes de admisión </w:t>
      </w:r>
      <w:r w:rsidR="00C868A9" w:rsidRPr="00500DB3">
        <w:rPr>
          <w:rFonts w:ascii="Times New Roman" w:hAnsi="Times New Roman"/>
          <w:szCs w:val="24"/>
        </w:rPr>
        <w:t>ante el TC</w:t>
      </w:r>
      <w:r w:rsidR="008850D6" w:rsidRPr="00500DB3">
        <w:rPr>
          <w:rFonts w:ascii="Times New Roman" w:hAnsi="Times New Roman"/>
          <w:szCs w:val="24"/>
        </w:rPr>
        <w:t xml:space="preserve"> ascendía hasta los 12225, de los cuales 12166 eran recursos de </w:t>
      </w:r>
      <w:r w:rsidR="00F1749E" w:rsidRPr="00500DB3">
        <w:rPr>
          <w:rFonts w:ascii="Times New Roman" w:hAnsi="Times New Roman"/>
          <w:szCs w:val="24"/>
        </w:rPr>
        <w:t>amparo, sin</w:t>
      </w:r>
      <w:r w:rsidR="00C868A9" w:rsidRPr="00500DB3">
        <w:rPr>
          <w:rFonts w:ascii="Times New Roman" w:hAnsi="Times New Roman"/>
          <w:szCs w:val="24"/>
        </w:rPr>
        <w:t xml:space="preserve"> olvidar que en el año 2006 los asuntos pendientes llegaron a los 13920, de los cuales 13883 </w:t>
      </w:r>
      <w:r w:rsidR="00943F1A" w:rsidRPr="00500DB3">
        <w:rPr>
          <w:rFonts w:ascii="Times New Roman" w:hAnsi="Times New Roman"/>
          <w:szCs w:val="24"/>
        </w:rPr>
        <w:t>eran recursos de amparo</w:t>
      </w:r>
      <w:r w:rsidR="00C868A9" w:rsidRPr="00500DB3">
        <w:rPr>
          <w:rFonts w:ascii="Times New Roman" w:hAnsi="Times New Roman"/>
          <w:szCs w:val="24"/>
        </w:rPr>
        <w:t>.</w:t>
      </w:r>
    </w:p>
    <w:p w14:paraId="6FF6E228" w14:textId="41485C0E" w:rsidR="00C868A9" w:rsidRPr="00500DB3" w:rsidRDefault="00C868A9" w:rsidP="00AA2BB1">
      <w:pPr>
        <w:pStyle w:val="texto"/>
        <w:ind w:firstLine="0"/>
        <w:rPr>
          <w:rFonts w:ascii="Times New Roman" w:hAnsi="Times New Roman"/>
          <w:szCs w:val="24"/>
        </w:rPr>
      </w:pPr>
      <w:r w:rsidRPr="00500DB3">
        <w:rPr>
          <w:rFonts w:ascii="Times New Roman" w:hAnsi="Times New Roman"/>
          <w:szCs w:val="24"/>
        </w:rPr>
        <w:t xml:space="preserve">A esto debemos añadir la acumulación de casos admitidos pendientes de </w:t>
      </w:r>
      <w:r w:rsidR="00347A2A" w:rsidRPr="00500DB3">
        <w:rPr>
          <w:rFonts w:ascii="Times New Roman" w:hAnsi="Times New Roman"/>
          <w:szCs w:val="24"/>
        </w:rPr>
        <w:t>ser decididos</w:t>
      </w:r>
      <w:r w:rsidRPr="00500DB3">
        <w:rPr>
          <w:rFonts w:ascii="Times New Roman" w:hAnsi="Times New Roman"/>
          <w:szCs w:val="24"/>
        </w:rPr>
        <w:t xml:space="preserve">, </w:t>
      </w:r>
      <w:r w:rsidR="00347A2A" w:rsidRPr="00500DB3">
        <w:rPr>
          <w:rFonts w:ascii="Times New Roman" w:hAnsi="Times New Roman"/>
          <w:szCs w:val="24"/>
        </w:rPr>
        <w:t xml:space="preserve">los cuales eran </w:t>
      </w:r>
      <w:r w:rsidRPr="00500DB3">
        <w:rPr>
          <w:rFonts w:ascii="Times New Roman" w:hAnsi="Times New Roman"/>
          <w:szCs w:val="24"/>
        </w:rPr>
        <w:t>también muy numerosos. Una media anual de 500 asuntos competencia del Plen</w:t>
      </w:r>
      <w:r w:rsidR="00347A2A" w:rsidRPr="00500DB3">
        <w:rPr>
          <w:rFonts w:ascii="Times New Roman" w:hAnsi="Times New Roman"/>
          <w:szCs w:val="24"/>
        </w:rPr>
        <w:t>o (585 en el año 2007</w:t>
      </w:r>
      <w:r w:rsidR="00F1749E" w:rsidRPr="00500DB3">
        <w:rPr>
          <w:rFonts w:ascii="Times New Roman" w:hAnsi="Times New Roman"/>
          <w:szCs w:val="24"/>
        </w:rPr>
        <w:t>) se</w:t>
      </w:r>
      <w:r w:rsidR="00347A2A" w:rsidRPr="00500DB3">
        <w:rPr>
          <w:rFonts w:ascii="Times New Roman" w:hAnsi="Times New Roman"/>
          <w:szCs w:val="24"/>
        </w:rPr>
        <w:t xml:space="preserve"> enco</w:t>
      </w:r>
      <w:r w:rsidRPr="00500DB3">
        <w:rPr>
          <w:rFonts w:ascii="Times New Roman" w:hAnsi="Times New Roman"/>
          <w:szCs w:val="24"/>
        </w:rPr>
        <w:t>n</w:t>
      </w:r>
      <w:r w:rsidR="00347A2A" w:rsidRPr="00500DB3">
        <w:rPr>
          <w:rFonts w:ascii="Times New Roman" w:hAnsi="Times New Roman"/>
          <w:szCs w:val="24"/>
        </w:rPr>
        <w:t>traban a la espera de resolución</w:t>
      </w:r>
      <w:r w:rsidRPr="00500DB3">
        <w:rPr>
          <w:rFonts w:ascii="Times New Roman" w:hAnsi="Times New Roman"/>
          <w:szCs w:val="24"/>
        </w:rPr>
        <w:t xml:space="preserve">, </w:t>
      </w:r>
      <w:r w:rsidR="00E951F3" w:rsidRPr="00500DB3">
        <w:rPr>
          <w:rFonts w:ascii="Times New Roman" w:hAnsi="Times New Roman"/>
          <w:szCs w:val="24"/>
        </w:rPr>
        <w:t xml:space="preserve">cifra considerablemente alta si tenemos en cuenta que el TC </w:t>
      </w:r>
      <w:r w:rsidR="00F1749E" w:rsidRPr="00500DB3">
        <w:rPr>
          <w:rFonts w:ascii="Times New Roman" w:hAnsi="Times New Roman"/>
          <w:szCs w:val="24"/>
        </w:rPr>
        <w:t>sólo admite</w:t>
      </w:r>
      <w:r w:rsidR="00E951F3" w:rsidRPr="00500DB3">
        <w:rPr>
          <w:rFonts w:ascii="Times New Roman" w:hAnsi="Times New Roman"/>
          <w:szCs w:val="24"/>
        </w:rPr>
        <w:t xml:space="preserve"> a trámite cada año alrededor de 100 asuntos (121 asuntos en 2007, excepcionalmente 185 en 2006, 97 en 2005, 8</w:t>
      </w:r>
      <w:r w:rsidR="00347A2A" w:rsidRPr="00500DB3">
        <w:rPr>
          <w:rFonts w:ascii="Times New Roman" w:hAnsi="Times New Roman"/>
          <w:szCs w:val="24"/>
        </w:rPr>
        <w:t>3 en 2004, 123 en 2003)</w:t>
      </w:r>
      <w:r w:rsidR="00E951F3" w:rsidRPr="00500DB3">
        <w:rPr>
          <w:rFonts w:ascii="Times New Roman" w:hAnsi="Times New Roman"/>
          <w:szCs w:val="24"/>
        </w:rPr>
        <w:t>.</w:t>
      </w:r>
      <w:r w:rsidR="00E951F3" w:rsidRPr="00500DB3">
        <w:rPr>
          <w:rFonts w:ascii="Times New Roman" w:hAnsi="Times New Roman"/>
          <w:b/>
          <w:szCs w:val="24"/>
        </w:rPr>
        <w:t xml:space="preserve"> </w:t>
      </w:r>
      <w:r w:rsidR="00E951F3" w:rsidRPr="00500DB3">
        <w:rPr>
          <w:rFonts w:ascii="Times New Roman" w:hAnsi="Times New Roman"/>
          <w:szCs w:val="24"/>
        </w:rPr>
        <w:t>De estas cifras podemos deducir que ese tipo de asuntos tarda en resolverse, una vez admitidos, una media de 5 años.</w:t>
      </w:r>
    </w:p>
    <w:p w14:paraId="6D4F0E77" w14:textId="3A7A23DB" w:rsidR="004E61AA" w:rsidRPr="00500DB3" w:rsidRDefault="00347A2A" w:rsidP="00AA2BB1">
      <w:pPr>
        <w:pStyle w:val="texto"/>
        <w:ind w:firstLine="0"/>
        <w:rPr>
          <w:rFonts w:ascii="Times New Roman" w:hAnsi="Times New Roman"/>
          <w:szCs w:val="24"/>
        </w:rPr>
      </w:pPr>
      <w:r w:rsidRPr="00500DB3">
        <w:rPr>
          <w:rFonts w:ascii="Times New Roman" w:hAnsi="Times New Roman"/>
          <w:szCs w:val="24"/>
        </w:rPr>
        <w:t>Esta situación fue</w:t>
      </w:r>
      <w:r w:rsidR="004E61AA" w:rsidRPr="00500DB3">
        <w:rPr>
          <w:rFonts w:ascii="Times New Roman" w:hAnsi="Times New Roman"/>
          <w:szCs w:val="24"/>
        </w:rPr>
        <w:t xml:space="preserve"> menos grave respecto de los recursos de amparo admitidos a trámite y pendientes de resolución (322 en 2007, 277 en 2006, 412</w:t>
      </w:r>
      <w:r w:rsidRPr="00500DB3">
        <w:rPr>
          <w:rFonts w:ascii="Times New Roman" w:hAnsi="Times New Roman"/>
          <w:szCs w:val="24"/>
        </w:rPr>
        <w:t xml:space="preserve"> en 2005, 505 en 2004)</w:t>
      </w:r>
      <w:r w:rsidR="004E61AA" w:rsidRPr="00500DB3">
        <w:rPr>
          <w:rFonts w:ascii="Times New Roman" w:hAnsi="Times New Roman"/>
          <w:szCs w:val="24"/>
        </w:rPr>
        <w:t>.</w:t>
      </w:r>
    </w:p>
    <w:p w14:paraId="6B448CC6" w14:textId="77777777" w:rsidR="00347A2A" w:rsidRPr="00500DB3" w:rsidRDefault="004E61AA" w:rsidP="00AA2BB1">
      <w:pPr>
        <w:pStyle w:val="texto"/>
        <w:ind w:firstLine="0"/>
        <w:rPr>
          <w:rFonts w:ascii="Times New Roman" w:hAnsi="Times New Roman"/>
          <w:szCs w:val="24"/>
        </w:rPr>
      </w:pPr>
      <w:r w:rsidRPr="00500DB3">
        <w:rPr>
          <w:rFonts w:ascii="Times New Roman" w:hAnsi="Times New Roman"/>
          <w:szCs w:val="24"/>
        </w:rPr>
        <w:t>En base a estas cifras</w:t>
      </w:r>
      <w:r w:rsidR="00347A2A" w:rsidRPr="00500DB3">
        <w:rPr>
          <w:rFonts w:ascii="Times New Roman" w:hAnsi="Times New Roman"/>
          <w:szCs w:val="24"/>
        </w:rPr>
        <w:t xml:space="preserve"> podemos decir que el colapso era</w:t>
      </w:r>
      <w:r w:rsidRPr="00500DB3">
        <w:rPr>
          <w:rFonts w:ascii="Times New Roman" w:hAnsi="Times New Roman"/>
          <w:szCs w:val="24"/>
        </w:rPr>
        <w:t xml:space="preserve"> una realidad en el </w:t>
      </w:r>
      <w:r w:rsidR="00DD632B" w:rsidRPr="00500DB3">
        <w:rPr>
          <w:rFonts w:ascii="Times New Roman" w:hAnsi="Times New Roman"/>
          <w:szCs w:val="24"/>
        </w:rPr>
        <w:t>TC</w:t>
      </w:r>
      <w:r w:rsidRPr="00500DB3">
        <w:rPr>
          <w:rFonts w:ascii="Times New Roman" w:hAnsi="Times New Roman"/>
          <w:color w:val="C00000"/>
          <w:szCs w:val="24"/>
        </w:rPr>
        <w:t>.</w:t>
      </w:r>
      <w:r w:rsidRPr="00500DB3">
        <w:rPr>
          <w:rFonts w:ascii="Times New Roman" w:hAnsi="Times New Roman"/>
          <w:szCs w:val="24"/>
        </w:rPr>
        <w:t xml:space="preserve"> Estos datos no sólo revelan la gra</w:t>
      </w:r>
      <w:r w:rsidR="00347A2A" w:rsidRPr="00500DB3">
        <w:rPr>
          <w:rFonts w:ascii="Times New Roman" w:hAnsi="Times New Roman"/>
          <w:szCs w:val="24"/>
        </w:rPr>
        <w:t>ve crisis en la que se encontraba</w:t>
      </w:r>
      <w:r w:rsidRPr="00500DB3">
        <w:rPr>
          <w:rFonts w:ascii="Times New Roman" w:hAnsi="Times New Roman"/>
          <w:szCs w:val="24"/>
        </w:rPr>
        <w:t xml:space="preserve"> el TC, sino que también señalan </w:t>
      </w:r>
      <w:r w:rsidRPr="00500DB3">
        <w:rPr>
          <w:rFonts w:ascii="Times New Roman" w:hAnsi="Times New Roman"/>
          <w:szCs w:val="24"/>
        </w:rPr>
        <w:lastRenderedPageBreak/>
        <w:t>los posibles responsables de esta situación.  Localizar estos posibles núcleos problemáticos puede resultarnos de gran ayuda a la hora de pensar en mecanismos eficientes para resolver esta crítica situación.</w:t>
      </w:r>
      <w:r w:rsidR="00A1535A" w:rsidRPr="00500DB3">
        <w:rPr>
          <w:rFonts w:ascii="Times New Roman" w:hAnsi="Times New Roman"/>
          <w:szCs w:val="24"/>
        </w:rPr>
        <w:t xml:space="preserve"> </w:t>
      </w:r>
    </w:p>
    <w:p w14:paraId="0CEAE7D7" w14:textId="5F2119EF" w:rsidR="00A1535A" w:rsidRPr="00500DB3" w:rsidRDefault="004E61AA" w:rsidP="00AA2BB1">
      <w:pPr>
        <w:pStyle w:val="texto"/>
        <w:ind w:firstLine="0"/>
        <w:rPr>
          <w:rFonts w:ascii="Times New Roman" w:hAnsi="Times New Roman"/>
          <w:szCs w:val="24"/>
        </w:rPr>
      </w:pPr>
      <w:r w:rsidRPr="00500DB3">
        <w:rPr>
          <w:rFonts w:ascii="Times New Roman" w:hAnsi="Times New Roman"/>
          <w:szCs w:val="24"/>
        </w:rPr>
        <w:t>Por t</w:t>
      </w:r>
      <w:r w:rsidR="004B2775">
        <w:rPr>
          <w:rFonts w:ascii="Times New Roman" w:hAnsi="Times New Roman"/>
          <w:szCs w:val="24"/>
        </w:rPr>
        <w:t>anto,</w:t>
      </w:r>
      <w:r w:rsidRPr="00500DB3">
        <w:rPr>
          <w:rFonts w:ascii="Times New Roman" w:hAnsi="Times New Roman"/>
          <w:szCs w:val="24"/>
        </w:rPr>
        <w:t xml:space="preserve"> el recurso de amparo acapara</w:t>
      </w:r>
      <w:r w:rsidR="00347A2A" w:rsidRPr="00500DB3">
        <w:rPr>
          <w:rFonts w:ascii="Times New Roman" w:hAnsi="Times New Roman"/>
          <w:szCs w:val="24"/>
        </w:rPr>
        <w:t>ba</w:t>
      </w:r>
      <w:r w:rsidRPr="00500DB3">
        <w:rPr>
          <w:rFonts w:ascii="Times New Roman" w:hAnsi="Times New Roman"/>
          <w:szCs w:val="24"/>
        </w:rPr>
        <w:t xml:space="preserve"> la mayoría de recursos del Tribunal. E</w:t>
      </w:r>
      <w:r w:rsidR="00951ADE">
        <w:rPr>
          <w:rFonts w:ascii="Times New Roman" w:hAnsi="Times New Roman"/>
          <w:szCs w:val="24"/>
        </w:rPr>
        <w:t xml:space="preserve">ntre el 97% y el </w:t>
      </w:r>
      <w:r w:rsidRPr="00500DB3">
        <w:rPr>
          <w:rFonts w:ascii="Times New Roman" w:hAnsi="Times New Roman"/>
          <w:szCs w:val="24"/>
        </w:rPr>
        <w:t>98% de asuntos ingresados</w:t>
      </w:r>
      <w:r w:rsidR="00347A2A" w:rsidRPr="00500DB3">
        <w:rPr>
          <w:rFonts w:ascii="Times New Roman" w:hAnsi="Times New Roman"/>
          <w:szCs w:val="24"/>
        </w:rPr>
        <w:t xml:space="preserve"> eran recursos de amparo</w:t>
      </w:r>
      <w:r w:rsidRPr="00500DB3">
        <w:rPr>
          <w:rFonts w:ascii="Times New Roman" w:hAnsi="Times New Roman"/>
          <w:szCs w:val="24"/>
        </w:rPr>
        <w:t>, así como</w:t>
      </w:r>
      <w:r w:rsidR="00347A2A" w:rsidRPr="00500DB3">
        <w:rPr>
          <w:rFonts w:ascii="Times New Roman" w:hAnsi="Times New Roman"/>
          <w:szCs w:val="24"/>
        </w:rPr>
        <w:t xml:space="preserve"> de los asuntos resueltos</w:t>
      </w:r>
      <w:r w:rsidR="00B6123F" w:rsidRPr="00500DB3">
        <w:rPr>
          <w:rFonts w:ascii="Times New Roman" w:hAnsi="Times New Roman"/>
          <w:szCs w:val="24"/>
        </w:rPr>
        <w:t xml:space="preserve">. </w:t>
      </w:r>
      <w:r w:rsidR="00A1535A" w:rsidRPr="00500DB3">
        <w:rPr>
          <w:rFonts w:ascii="Times New Roman" w:hAnsi="Times New Roman"/>
          <w:szCs w:val="24"/>
        </w:rPr>
        <w:t>Así pues, dentro del ámbito del recurso de amparo constitucional debemos destacar dos aspectos pr</w:t>
      </w:r>
      <w:r w:rsidR="00347A2A" w:rsidRPr="00500DB3">
        <w:rPr>
          <w:rFonts w:ascii="Times New Roman" w:hAnsi="Times New Roman"/>
          <w:szCs w:val="24"/>
        </w:rPr>
        <w:t>incipales. Por una parte, fue</w:t>
      </w:r>
      <w:r w:rsidR="00A1535A" w:rsidRPr="00500DB3">
        <w:rPr>
          <w:rFonts w:ascii="Times New Roman" w:hAnsi="Times New Roman"/>
          <w:szCs w:val="24"/>
        </w:rPr>
        <w:t xml:space="preserve"> en el trámite</w:t>
      </w:r>
      <w:r w:rsidR="00347A2A" w:rsidRPr="00500DB3">
        <w:rPr>
          <w:rFonts w:ascii="Times New Roman" w:hAnsi="Times New Roman"/>
          <w:szCs w:val="24"/>
        </w:rPr>
        <w:t xml:space="preserve"> de admisión donde se concentró</w:t>
      </w:r>
      <w:r w:rsidR="00A1535A" w:rsidRPr="00500DB3">
        <w:rPr>
          <w:rFonts w:ascii="Times New Roman" w:hAnsi="Times New Roman"/>
          <w:szCs w:val="24"/>
        </w:rPr>
        <w:t xml:space="preserve"> el mayor número de recursos pendientes (13883 recursos en 2006</w:t>
      </w:r>
      <w:r w:rsidR="00347A2A" w:rsidRPr="00500DB3">
        <w:rPr>
          <w:rFonts w:ascii="Times New Roman" w:hAnsi="Times New Roman"/>
          <w:szCs w:val="24"/>
        </w:rPr>
        <w:t>)</w:t>
      </w:r>
      <w:r w:rsidR="00A1535A" w:rsidRPr="00500DB3">
        <w:rPr>
          <w:rFonts w:ascii="Times New Roman" w:hAnsi="Times New Roman"/>
          <w:szCs w:val="24"/>
        </w:rPr>
        <w:t xml:space="preserve">. </w:t>
      </w:r>
      <w:r w:rsidR="00347A2A" w:rsidRPr="00500DB3">
        <w:rPr>
          <w:rFonts w:ascii="Times New Roman" w:hAnsi="Times New Roman"/>
          <w:szCs w:val="24"/>
        </w:rPr>
        <w:t>Eran</w:t>
      </w:r>
      <w:r w:rsidR="00A1535A" w:rsidRPr="00500DB3">
        <w:rPr>
          <w:rFonts w:ascii="Times New Roman" w:hAnsi="Times New Roman"/>
          <w:szCs w:val="24"/>
        </w:rPr>
        <w:t xml:space="preserve"> muchos los recursos de amparo sobre los q</w:t>
      </w:r>
      <w:r w:rsidR="00347A2A" w:rsidRPr="00500DB3">
        <w:rPr>
          <w:rFonts w:ascii="Times New Roman" w:hAnsi="Times New Roman"/>
          <w:szCs w:val="24"/>
        </w:rPr>
        <w:t>ue cada año el Tribunal no podía pronunciarse, aunque fuera</w:t>
      </w:r>
      <w:r w:rsidR="00A1535A" w:rsidRPr="00500DB3">
        <w:rPr>
          <w:rFonts w:ascii="Times New Roman" w:hAnsi="Times New Roman"/>
          <w:szCs w:val="24"/>
        </w:rPr>
        <w:t xml:space="preserve"> simplemente sobre su admisión (3472 recursos de amparo en 2006, 3865 en 2005, 1156 en 2004, 154</w:t>
      </w:r>
      <w:r w:rsidR="00347A2A" w:rsidRPr="00500DB3">
        <w:rPr>
          <w:rFonts w:ascii="Times New Roman" w:hAnsi="Times New Roman"/>
          <w:szCs w:val="24"/>
        </w:rPr>
        <w:t>8 en 2003, 2129 en 2002</w:t>
      </w:r>
      <w:r w:rsidR="00A1535A" w:rsidRPr="00500DB3">
        <w:rPr>
          <w:rFonts w:ascii="Times New Roman" w:hAnsi="Times New Roman"/>
          <w:szCs w:val="24"/>
        </w:rPr>
        <w:t>).</w:t>
      </w:r>
    </w:p>
    <w:p w14:paraId="2ACCD948" w14:textId="1C8C9D32" w:rsidR="00A1535A" w:rsidRPr="00500DB3" w:rsidRDefault="006A2B8B" w:rsidP="00AA2BB1">
      <w:pPr>
        <w:pStyle w:val="texto"/>
        <w:ind w:firstLine="0"/>
        <w:rPr>
          <w:rFonts w:ascii="Times New Roman" w:hAnsi="Times New Roman"/>
          <w:szCs w:val="24"/>
        </w:rPr>
      </w:pPr>
      <w:r w:rsidRPr="00500DB3">
        <w:rPr>
          <w:rFonts w:ascii="Times New Roman" w:hAnsi="Times New Roman"/>
          <w:szCs w:val="24"/>
        </w:rPr>
        <w:t>Por otra parte, y a pesar de la regulación de la LOTC, tanto el objeto del recurso de amparo como la legitimación pasiva carec</w:t>
      </w:r>
      <w:r w:rsidR="00347A2A" w:rsidRPr="00500DB3">
        <w:rPr>
          <w:rFonts w:ascii="Times New Roman" w:hAnsi="Times New Roman"/>
          <w:szCs w:val="24"/>
        </w:rPr>
        <w:t>ía</w:t>
      </w:r>
      <w:r w:rsidRPr="00500DB3">
        <w:rPr>
          <w:rFonts w:ascii="Times New Roman" w:hAnsi="Times New Roman"/>
          <w:szCs w:val="24"/>
        </w:rPr>
        <w:t xml:space="preserve">n de variedad, es decir, la mayoría de los recursos de </w:t>
      </w:r>
      <w:r w:rsidR="00347A2A" w:rsidRPr="00500DB3">
        <w:rPr>
          <w:rFonts w:ascii="Times New Roman" w:hAnsi="Times New Roman"/>
          <w:szCs w:val="24"/>
        </w:rPr>
        <w:t>amparo, alrededor del 85%, estaban</w:t>
      </w:r>
      <w:r w:rsidRPr="00500DB3">
        <w:rPr>
          <w:rFonts w:ascii="Times New Roman" w:hAnsi="Times New Roman"/>
          <w:szCs w:val="24"/>
        </w:rPr>
        <w:t xml:space="preserve"> fundamentados en la violación del artículo 24 de la CE. De igual manera, casi la unanimidad de recursos planteados, el 99% concretamente, se di</w:t>
      </w:r>
      <w:r w:rsidR="00347A2A" w:rsidRPr="00500DB3">
        <w:rPr>
          <w:rFonts w:ascii="Times New Roman" w:hAnsi="Times New Roman"/>
          <w:szCs w:val="24"/>
        </w:rPr>
        <w:t>rigía</w:t>
      </w:r>
      <w:r w:rsidRPr="00500DB3">
        <w:rPr>
          <w:rFonts w:ascii="Times New Roman" w:hAnsi="Times New Roman"/>
          <w:szCs w:val="24"/>
        </w:rPr>
        <w:t>n contra decisiones judiciales. Por último, sólo entre una cuarta y una quinta parte de los recursos de amparo se dirig</w:t>
      </w:r>
      <w:r w:rsidR="00347A2A" w:rsidRPr="00500DB3">
        <w:rPr>
          <w:rFonts w:ascii="Times New Roman" w:hAnsi="Times New Roman"/>
          <w:szCs w:val="24"/>
        </w:rPr>
        <w:t>ía</w:t>
      </w:r>
      <w:r w:rsidRPr="00500DB3">
        <w:rPr>
          <w:rFonts w:ascii="Times New Roman" w:hAnsi="Times New Roman"/>
          <w:szCs w:val="24"/>
        </w:rPr>
        <w:t xml:space="preserve">n </w:t>
      </w:r>
      <w:r w:rsidR="00EA0E20" w:rsidRPr="00500DB3">
        <w:rPr>
          <w:rFonts w:ascii="Times New Roman" w:hAnsi="Times New Roman"/>
          <w:szCs w:val="24"/>
        </w:rPr>
        <w:t>contra el TS</w:t>
      </w:r>
      <w:r w:rsidR="00347A2A" w:rsidRPr="00500DB3">
        <w:rPr>
          <w:rFonts w:ascii="Times New Roman" w:hAnsi="Times New Roman"/>
          <w:szCs w:val="24"/>
        </w:rPr>
        <w:t>.</w:t>
      </w:r>
      <w:r w:rsidRPr="00500DB3">
        <w:rPr>
          <w:rFonts w:ascii="Times New Roman" w:hAnsi="Times New Roman"/>
          <w:szCs w:val="24"/>
        </w:rPr>
        <w:t xml:space="preserve"> </w:t>
      </w:r>
      <w:r w:rsidR="00A1535A" w:rsidRPr="00500DB3">
        <w:rPr>
          <w:rFonts w:ascii="Times New Roman" w:hAnsi="Times New Roman"/>
          <w:szCs w:val="24"/>
        </w:rPr>
        <w:t xml:space="preserve">  </w:t>
      </w:r>
    </w:p>
    <w:p w14:paraId="3DC4CBBF" w14:textId="7F433EE6" w:rsidR="00951ADE" w:rsidRPr="0009462B" w:rsidRDefault="00951ADE" w:rsidP="00AA2BB1">
      <w:pPr>
        <w:pStyle w:val="texto"/>
        <w:ind w:firstLine="0"/>
        <w:rPr>
          <w:rFonts w:ascii="Times New Roman" w:hAnsi="Times New Roman"/>
          <w:szCs w:val="24"/>
        </w:rPr>
      </w:pPr>
      <w:r>
        <w:rPr>
          <w:rFonts w:ascii="Times New Roman" w:hAnsi="Times New Roman"/>
          <w:szCs w:val="24"/>
        </w:rPr>
        <w:t>Podemos cerrar este apartado con las siguientes conclusiones extraídas tras el análisis de las Memorias y Estadísticas anuales de nuestro TC</w:t>
      </w:r>
      <w:r w:rsidRPr="0009462B">
        <w:rPr>
          <w:rFonts w:ascii="Times New Roman" w:hAnsi="Times New Roman"/>
          <w:szCs w:val="24"/>
        </w:rPr>
        <w:t>:</w:t>
      </w:r>
    </w:p>
    <w:p w14:paraId="41C928F1" w14:textId="78149A92" w:rsidR="00951ADE" w:rsidRDefault="00951ADE" w:rsidP="00EA7FC6">
      <w:pPr>
        <w:pStyle w:val="texto"/>
        <w:numPr>
          <w:ilvl w:val="0"/>
          <w:numId w:val="6"/>
        </w:numPr>
        <w:rPr>
          <w:rFonts w:ascii="Times New Roman" w:hAnsi="Times New Roman"/>
          <w:szCs w:val="24"/>
        </w:rPr>
      </w:pPr>
      <w:r w:rsidRPr="0009462B">
        <w:rPr>
          <w:rFonts w:ascii="Times New Roman" w:hAnsi="Times New Roman"/>
          <w:szCs w:val="24"/>
        </w:rPr>
        <w:t xml:space="preserve">La gran mayoría de los recursos de amparo son promovidos por particulares. En 2002, 7192 del total de 7285; en 2003, 7610 del total de 7721; </w:t>
      </w:r>
      <w:r w:rsidR="00F1749E" w:rsidRPr="0009462B">
        <w:rPr>
          <w:rFonts w:ascii="Times New Roman" w:hAnsi="Times New Roman"/>
          <w:szCs w:val="24"/>
        </w:rPr>
        <w:t>en 2004</w:t>
      </w:r>
      <w:r w:rsidRPr="0009462B">
        <w:rPr>
          <w:rFonts w:ascii="Times New Roman" w:hAnsi="Times New Roman"/>
          <w:szCs w:val="24"/>
        </w:rPr>
        <w:t>, 7736 del total de 7814; en 2005, 9400 del total de 9476 y, en 2006, 11.362 del total de 11.471.</w:t>
      </w:r>
    </w:p>
    <w:p w14:paraId="5D347520" w14:textId="77777777" w:rsidR="00951ADE" w:rsidRDefault="00951ADE" w:rsidP="00EA7FC6">
      <w:pPr>
        <w:pStyle w:val="texto"/>
        <w:numPr>
          <w:ilvl w:val="0"/>
          <w:numId w:val="6"/>
        </w:numPr>
        <w:rPr>
          <w:rFonts w:ascii="Times New Roman" w:hAnsi="Times New Roman"/>
          <w:szCs w:val="24"/>
        </w:rPr>
      </w:pPr>
      <w:r w:rsidRPr="0009462B">
        <w:rPr>
          <w:rFonts w:ascii="Times New Roman" w:hAnsi="Times New Roman"/>
          <w:szCs w:val="24"/>
        </w:rPr>
        <w:t>El Ministerio Fiscal y el Defensor del Pueblo no suelen presentar recursos de amparo.</w:t>
      </w:r>
    </w:p>
    <w:p w14:paraId="7568E186" w14:textId="4E1A555B" w:rsidR="00951ADE" w:rsidRPr="00951ADE" w:rsidRDefault="00951ADE" w:rsidP="00EA7FC6">
      <w:pPr>
        <w:pStyle w:val="Prrafodelista"/>
        <w:numPr>
          <w:ilvl w:val="0"/>
          <w:numId w:val="6"/>
        </w:numPr>
        <w:rPr>
          <w:szCs w:val="24"/>
        </w:rPr>
      </w:pPr>
      <w:r w:rsidRPr="00951ADE">
        <w:rPr>
          <w:szCs w:val="24"/>
        </w:rPr>
        <w:t xml:space="preserve">En los años previos a la reforma de </w:t>
      </w:r>
      <w:r w:rsidR="00F1749E" w:rsidRPr="00951ADE">
        <w:rPr>
          <w:szCs w:val="24"/>
        </w:rPr>
        <w:t>2007 no</w:t>
      </w:r>
      <w:r w:rsidRPr="00951ADE">
        <w:rPr>
          <w:szCs w:val="24"/>
        </w:rPr>
        <w:t xml:space="preserve"> se aprecia ninguna disminución, siquiera leve, del número de demandas de amparo interpuestas. Por el contrario, podemos ver en los años 2005 y 2006 un aumento considerable: de 7.814 en 2004 a 9.476 en 2005 y 11.476 en 2006.</w:t>
      </w:r>
    </w:p>
    <w:p w14:paraId="51D0F49D" w14:textId="12FB5B65" w:rsidR="00951ADE" w:rsidRDefault="00951ADE" w:rsidP="00EA7FC6">
      <w:pPr>
        <w:pStyle w:val="texto"/>
        <w:numPr>
          <w:ilvl w:val="0"/>
          <w:numId w:val="6"/>
        </w:numPr>
        <w:rPr>
          <w:rFonts w:ascii="Times New Roman" w:hAnsi="Times New Roman"/>
          <w:szCs w:val="24"/>
        </w:rPr>
      </w:pPr>
      <w:r>
        <w:rPr>
          <w:rFonts w:ascii="Times New Roman" w:hAnsi="Times New Roman"/>
          <w:szCs w:val="24"/>
        </w:rPr>
        <w:lastRenderedPageBreak/>
        <w:t xml:space="preserve">La gran mayoría de </w:t>
      </w:r>
      <w:r w:rsidRPr="00951ADE">
        <w:rPr>
          <w:rFonts w:ascii="Times New Roman" w:hAnsi="Times New Roman"/>
          <w:szCs w:val="24"/>
        </w:rPr>
        <w:t xml:space="preserve">violaciones de libertades y derechos fundamentales </w:t>
      </w:r>
      <w:r>
        <w:rPr>
          <w:rFonts w:ascii="Times New Roman" w:hAnsi="Times New Roman"/>
          <w:szCs w:val="24"/>
        </w:rPr>
        <w:t xml:space="preserve">provienen de </w:t>
      </w:r>
      <w:r w:rsidRPr="00951ADE">
        <w:rPr>
          <w:rFonts w:ascii="Times New Roman" w:hAnsi="Times New Roman"/>
          <w:szCs w:val="24"/>
        </w:rPr>
        <w:t>los órganos judiciales.</w:t>
      </w:r>
    </w:p>
    <w:p w14:paraId="4FEDF86C" w14:textId="1C826FF4" w:rsidR="00951ADE" w:rsidRDefault="007050E3" w:rsidP="00EA7FC6">
      <w:pPr>
        <w:pStyle w:val="texto"/>
        <w:numPr>
          <w:ilvl w:val="0"/>
          <w:numId w:val="6"/>
        </w:numPr>
        <w:rPr>
          <w:rFonts w:ascii="Times New Roman" w:hAnsi="Times New Roman"/>
          <w:szCs w:val="24"/>
        </w:rPr>
      </w:pPr>
      <w:r>
        <w:rPr>
          <w:rFonts w:ascii="Times New Roman" w:hAnsi="Times New Roman"/>
          <w:szCs w:val="24"/>
        </w:rPr>
        <w:t>Las</w:t>
      </w:r>
      <w:r w:rsidRPr="007050E3">
        <w:rPr>
          <w:rFonts w:ascii="Times New Roman" w:hAnsi="Times New Roman"/>
          <w:szCs w:val="24"/>
        </w:rPr>
        <w:t xml:space="preserve"> violaciones del</w:t>
      </w:r>
      <w:r>
        <w:rPr>
          <w:rFonts w:ascii="Times New Roman" w:hAnsi="Times New Roman"/>
          <w:szCs w:val="24"/>
        </w:rPr>
        <w:t xml:space="preserve"> derecho a la tutela judicial </w:t>
      </w:r>
      <w:r w:rsidR="00F1749E">
        <w:rPr>
          <w:rFonts w:ascii="Times New Roman" w:hAnsi="Times New Roman"/>
          <w:szCs w:val="24"/>
        </w:rPr>
        <w:t xml:space="preserve">efectiva </w:t>
      </w:r>
      <w:r w:rsidR="00F1749E" w:rsidRPr="007050E3">
        <w:rPr>
          <w:rFonts w:ascii="Times New Roman" w:hAnsi="Times New Roman"/>
          <w:szCs w:val="24"/>
        </w:rPr>
        <w:t>del</w:t>
      </w:r>
      <w:r>
        <w:rPr>
          <w:rFonts w:ascii="Times New Roman" w:hAnsi="Times New Roman"/>
          <w:szCs w:val="24"/>
        </w:rPr>
        <w:t xml:space="preserve"> </w:t>
      </w:r>
      <w:r w:rsidRPr="007050E3">
        <w:rPr>
          <w:rFonts w:ascii="Times New Roman" w:hAnsi="Times New Roman"/>
          <w:szCs w:val="24"/>
        </w:rPr>
        <w:t>art. 24 CE constituyen, más del 80% del objeto de los recursos de amparo.</w:t>
      </w:r>
    </w:p>
    <w:p w14:paraId="7FBB9F2B" w14:textId="1705F640" w:rsidR="007050E3" w:rsidRDefault="007050E3" w:rsidP="00EA7FC6">
      <w:pPr>
        <w:pStyle w:val="texto"/>
        <w:numPr>
          <w:ilvl w:val="0"/>
          <w:numId w:val="6"/>
        </w:numPr>
        <w:rPr>
          <w:rFonts w:ascii="Times New Roman" w:hAnsi="Times New Roman"/>
          <w:szCs w:val="24"/>
        </w:rPr>
      </w:pPr>
      <w:r w:rsidRPr="007050E3">
        <w:rPr>
          <w:rFonts w:ascii="Times New Roman" w:hAnsi="Times New Roman"/>
          <w:szCs w:val="24"/>
        </w:rPr>
        <w:t>Entre el 96 y el 95 % de los recurs</w:t>
      </w:r>
      <w:r>
        <w:rPr>
          <w:rFonts w:ascii="Times New Roman" w:hAnsi="Times New Roman"/>
          <w:szCs w:val="24"/>
        </w:rPr>
        <w:t>os de amparo son inadmitidos.</w:t>
      </w:r>
    </w:p>
    <w:p w14:paraId="0FB85F26" w14:textId="7B3C08B3" w:rsidR="00AC2B24" w:rsidRDefault="00347A2A" w:rsidP="00AA2BB1">
      <w:pPr>
        <w:pStyle w:val="texto"/>
        <w:ind w:firstLine="0"/>
        <w:rPr>
          <w:rFonts w:ascii="Times New Roman" w:hAnsi="Times New Roman"/>
          <w:szCs w:val="24"/>
        </w:rPr>
      </w:pPr>
      <w:r w:rsidRPr="00500DB3">
        <w:rPr>
          <w:rFonts w:ascii="Times New Roman" w:hAnsi="Times New Roman"/>
          <w:szCs w:val="24"/>
        </w:rPr>
        <w:t>Estos hechos no pasaron</w:t>
      </w:r>
      <w:r w:rsidR="00AC2B24" w:rsidRPr="00500DB3">
        <w:rPr>
          <w:rFonts w:ascii="Times New Roman" w:hAnsi="Times New Roman"/>
          <w:szCs w:val="24"/>
        </w:rPr>
        <w:t xml:space="preserve"> desapercibidos </w:t>
      </w:r>
      <w:r w:rsidR="006E4240" w:rsidRPr="00500DB3">
        <w:rPr>
          <w:rFonts w:ascii="Times New Roman" w:hAnsi="Times New Roman"/>
          <w:szCs w:val="24"/>
        </w:rPr>
        <w:t xml:space="preserve">a la hora de buscar las causas concretas que </w:t>
      </w:r>
      <w:r w:rsidRPr="00500DB3">
        <w:rPr>
          <w:rFonts w:ascii="Times New Roman" w:hAnsi="Times New Roman"/>
          <w:szCs w:val="24"/>
        </w:rPr>
        <w:t>dieron</w:t>
      </w:r>
      <w:r w:rsidR="006E4240" w:rsidRPr="00500DB3">
        <w:rPr>
          <w:rFonts w:ascii="Times New Roman" w:hAnsi="Times New Roman"/>
          <w:szCs w:val="24"/>
        </w:rPr>
        <w:t xml:space="preserve"> lugar a esta inestable </w:t>
      </w:r>
      <w:r w:rsidR="00F1749E" w:rsidRPr="00500DB3">
        <w:rPr>
          <w:rFonts w:ascii="Times New Roman" w:hAnsi="Times New Roman"/>
          <w:szCs w:val="24"/>
        </w:rPr>
        <w:t>situación,</w:t>
      </w:r>
      <w:r w:rsidR="006E4240" w:rsidRPr="00500DB3">
        <w:rPr>
          <w:rFonts w:ascii="Times New Roman" w:hAnsi="Times New Roman"/>
          <w:szCs w:val="24"/>
        </w:rPr>
        <w:t xml:space="preserve"> así como a la hora de establecer las posibl</w:t>
      </w:r>
      <w:r w:rsidRPr="00500DB3">
        <w:rPr>
          <w:rFonts w:ascii="Times New Roman" w:hAnsi="Times New Roman"/>
          <w:szCs w:val="24"/>
        </w:rPr>
        <w:t>es soluciones en aras a solvent</w:t>
      </w:r>
      <w:r w:rsidR="006E4240" w:rsidRPr="00500DB3">
        <w:rPr>
          <w:rFonts w:ascii="Times New Roman" w:hAnsi="Times New Roman"/>
          <w:szCs w:val="24"/>
        </w:rPr>
        <w:t xml:space="preserve">ar la difícil </w:t>
      </w:r>
      <w:r w:rsidRPr="00500DB3">
        <w:rPr>
          <w:rFonts w:ascii="Times New Roman" w:hAnsi="Times New Roman"/>
          <w:szCs w:val="24"/>
        </w:rPr>
        <w:t>situación en la que se encontraba</w:t>
      </w:r>
      <w:r w:rsidR="006E4240" w:rsidRPr="00500DB3">
        <w:rPr>
          <w:rFonts w:ascii="Times New Roman" w:hAnsi="Times New Roman"/>
          <w:szCs w:val="24"/>
        </w:rPr>
        <w:t xml:space="preserve"> sumid</w:t>
      </w:r>
      <w:r w:rsidR="00DD632B" w:rsidRPr="00500DB3">
        <w:rPr>
          <w:rFonts w:ascii="Times New Roman" w:hAnsi="Times New Roman"/>
          <w:szCs w:val="24"/>
        </w:rPr>
        <w:t>o nuestro TC</w:t>
      </w:r>
      <w:r w:rsidR="006E4240" w:rsidRPr="00500DB3">
        <w:rPr>
          <w:rFonts w:ascii="Times New Roman" w:hAnsi="Times New Roman"/>
          <w:szCs w:val="24"/>
        </w:rPr>
        <w:t xml:space="preserve">, como veremos a continuación. </w:t>
      </w:r>
    </w:p>
    <w:p w14:paraId="2F26ECED" w14:textId="2E3F23CD" w:rsidR="00380A1E" w:rsidRPr="00500DB3" w:rsidRDefault="00AA2BB1" w:rsidP="00AA2BB1">
      <w:pPr>
        <w:pStyle w:val="Ttulo2"/>
      </w:pPr>
      <w:bookmarkStart w:id="119" w:name="_Toc400017054"/>
      <w:bookmarkStart w:id="120" w:name="_Toc400644282"/>
      <w:bookmarkStart w:id="121" w:name="_Toc401009638"/>
      <w:bookmarkStart w:id="122" w:name="_Toc468382150"/>
      <w:bookmarkStart w:id="123" w:name="_Toc530596843"/>
      <w:bookmarkStart w:id="124" w:name="_Toc49423607"/>
      <w:bookmarkStart w:id="125" w:name="_Toc49708562"/>
      <w:bookmarkStart w:id="126" w:name="_Toc49790248"/>
      <w:bookmarkStart w:id="127" w:name="_Toc49866484"/>
      <w:bookmarkStart w:id="128" w:name="_Toc50373138"/>
      <w:r>
        <w:t>Causas del elevado número</w:t>
      </w:r>
      <w:r w:rsidR="00247120" w:rsidRPr="00500DB3">
        <w:t xml:space="preserve"> de recursos de amparo y </w:t>
      </w:r>
      <w:r>
        <w:t>de la acumulación de asuntos ante el Tribunal C</w:t>
      </w:r>
      <w:r w:rsidR="00247120" w:rsidRPr="00500DB3">
        <w:t>onstitucional</w:t>
      </w:r>
      <w:bookmarkEnd w:id="119"/>
      <w:bookmarkEnd w:id="120"/>
      <w:bookmarkEnd w:id="121"/>
      <w:bookmarkEnd w:id="122"/>
      <w:bookmarkEnd w:id="123"/>
      <w:bookmarkEnd w:id="124"/>
      <w:bookmarkEnd w:id="125"/>
      <w:bookmarkEnd w:id="126"/>
      <w:bookmarkEnd w:id="127"/>
      <w:bookmarkEnd w:id="128"/>
      <w:r w:rsidR="005252A6">
        <w:t xml:space="preserve"> </w:t>
      </w:r>
    </w:p>
    <w:p w14:paraId="7FA3BA9F" w14:textId="7047B030" w:rsidR="00F26BF1" w:rsidRDefault="006E4240" w:rsidP="00AA2BB1">
      <w:pPr>
        <w:pStyle w:val="texto"/>
        <w:ind w:firstLine="0"/>
        <w:rPr>
          <w:rFonts w:ascii="Times New Roman" w:hAnsi="Times New Roman"/>
          <w:szCs w:val="24"/>
        </w:rPr>
      </w:pPr>
      <w:r w:rsidRPr="00500DB3">
        <w:rPr>
          <w:rFonts w:ascii="Times New Roman" w:hAnsi="Times New Roman"/>
          <w:szCs w:val="24"/>
        </w:rPr>
        <w:t>Podemos</w:t>
      </w:r>
      <w:r w:rsidR="00C17466" w:rsidRPr="00500DB3">
        <w:rPr>
          <w:rFonts w:ascii="Times New Roman" w:hAnsi="Times New Roman"/>
          <w:szCs w:val="24"/>
        </w:rPr>
        <w:t xml:space="preserve"> señalar una seri</w:t>
      </w:r>
      <w:r w:rsidRPr="00500DB3">
        <w:rPr>
          <w:rFonts w:ascii="Times New Roman" w:hAnsi="Times New Roman"/>
          <w:szCs w:val="24"/>
        </w:rPr>
        <w:t>e de causas que sirven</w:t>
      </w:r>
      <w:r w:rsidR="00C17466" w:rsidRPr="00500DB3">
        <w:rPr>
          <w:rFonts w:ascii="Times New Roman" w:hAnsi="Times New Roman"/>
          <w:szCs w:val="24"/>
        </w:rPr>
        <w:t xml:space="preserve"> de explicación para la creciente avalancha de recursos de amparo</w:t>
      </w:r>
      <w:r w:rsidR="00DD632B" w:rsidRPr="00500DB3">
        <w:rPr>
          <w:rFonts w:ascii="Times New Roman" w:hAnsi="Times New Roman"/>
          <w:szCs w:val="24"/>
        </w:rPr>
        <w:t xml:space="preserve"> ante el TC</w:t>
      </w:r>
      <w:r w:rsidR="00C17466" w:rsidRPr="00500DB3">
        <w:rPr>
          <w:rFonts w:ascii="Times New Roman" w:hAnsi="Times New Roman"/>
          <w:szCs w:val="24"/>
        </w:rPr>
        <w:t xml:space="preserve"> llevando a éste prácticamente al colapso. Estas causas son numerosas, pero podríamos decir que la mayoría de ellas tienen como objeto la institución del recurso de amparo constitucional y su trámite de admisión. Los datos expuestos en el apartado anterior sirven de fundamento a </w:t>
      </w:r>
      <w:r w:rsidR="00D53591" w:rsidRPr="00500DB3">
        <w:rPr>
          <w:rFonts w:ascii="Times New Roman" w:hAnsi="Times New Roman"/>
          <w:szCs w:val="24"/>
        </w:rPr>
        <w:t xml:space="preserve">la afirmación de estas causas. </w:t>
      </w:r>
      <w:r w:rsidR="00AA7F51">
        <w:rPr>
          <w:rFonts w:ascii="Times New Roman" w:hAnsi="Times New Roman"/>
          <w:szCs w:val="24"/>
        </w:rPr>
        <w:t xml:space="preserve">A </w:t>
      </w:r>
      <w:r w:rsidR="00F1749E">
        <w:rPr>
          <w:rFonts w:ascii="Times New Roman" w:hAnsi="Times New Roman"/>
          <w:szCs w:val="24"/>
        </w:rPr>
        <w:t>continuación,</w:t>
      </w:r>
      <w:r w:rsidR="00AA7F51">
        <w:rPr>
          <w:rFonts w:ascii="Times New Roman" w:hAnsi="Times New Roman"/>
          <w:szCs w:val="24"/>
        </w:rPr>
        <w:t xml:space="preserve"> señalaremos las más importantes atendiendo a la doctrina constitucional.</w:t>
      </w:r>
    </w:p>
    <w:p w14:paraId="2D9FDD79" w14:textId="4C69FD73" w:rsidR="001827C3" w:rsidRPr="00657C46" w:rsidRDefault="00657C46" w:rsidP="001A4310">
      <w:pPr>
        <w:pStyle w:val="Ttulo3"/>
        <w:numPr>
          <w:ilvl w:val="0"/>
          <w:numId w:val="40"/>
        </w:numPr>
      </w:pPr>
      <w:bookmarkStart w:id="129" w:name="_Toc530596844"/>
      <w:bookmarkStart w:id="130" w:name="_Toc49423608"/>
      <w:bookmarkStart w:id="131" w:name="_Toc49708563"/>
      <w:bookmarkStart w:id="132" w:name="_Toc49790249"/>
      <w:bookmarkStart w:id="133" w:name="_Toc49866485"/>
      <w:bookmarkStart w:id="134" w:name="_Toc50373139"/>
      <w:r w:rsidRPr="00657C46">
        <w:t>El insuficiente protagonismo de la jurisdicción ordinaria en la defensa de los derechos fundamentales y un mejorable desarrollo del art. 53.2 CE</w:t>
      </w:r>
      <w:bookmarkEnd w:id="129"/>
      <w:bookmarkEnd w:id="130"/>
      <w:bookmarkEnd w:id="131"/>
      <w:bookmarkEnd w:id="132"/>
      <w:bookmarkEnd w:id="133"/>
      <w:bookmarkEnd w:id="134"/>
    </w:p>
    <w:p w14:paraId="5648EFE8" w14:textId="77777777" w:rsidR="000C1976" w:rsidRPr="00500DB3" w:rsidRDefault="00B96ABC" w:rsidP="00AA2BB1">
      <w:pPr>
        <w:pStyle w:val="texto"/>
        <w:ind w:firstLine="0"/>
        <w:rPr>
          <w:rFonts w:ascii="Times New Roman" w:hAnsi="Times New Roman"/>
          <w:szCs w:val="24"/>
        </w:rPr>
      </w:pPr>
      <w:r w:rsidRPr="00500DB3">
        <w:rPr>
          <w:rFonts w:ascii="Times New Roman" w:hAnsi="Times New Roman"/>
          <w:szCs w:val="24"/>
        </w:rPr>
        <w:t>Podemos</w:t>
      </w:r>
      <w:r w:rsidR="002B5C58" w:rsidRPr="00500DB3">
        <w:rPr>
          <w:rFonts w:ascii="Times New Roman" w:hAnsi="Times New Roman"/>
          <w:szCs w:val="24"/>
        </w:rPr>
        <w:t xml:space="preserve"> considera</w:t>
      </w:r>
      <w:r w:rsidRPr="00500DB3">
        <w:rPr>
          <w:rFonts w:ascii="Times New Roman" w:hAnsi="Times New Roman"/>
          <w:szCs w:val="24"/>
        </w:rPr>
        <w:t>r como</w:t>
      </w:r>
      <w:r w:rsidR="002B5C58" w:rsidRPr="00500DB3">
        <w:rPr>
          <w:rFonts w:ascii="Times New Roman" w:hAnsi="Times New Roman"/>
          <w:szCs w:val="24"/>
        </w:rPr>
        <w:t xml:space="preserve"> insatisfactorio el cumplimiento del mandato al legislador formulado en el artículo 53.2 CE para desarrollar un procedimiento preferente y sumario de tutela de los derechos fundamentales ante los Tribunales ordinarios.</w:t>
      </w:r>
    </w:p>
    <w:p w14:paraId="47288B1F" w14:textId="5A7DF497" w:rsidR="002B5C58" w:rsidRPr="00500DB3" w:rsidRDefault="002B5C58" w:rsidP="00AA2BB1">
      <w:pPr>
        <w:pStyle w:val="texto"/>
        <w:ind w:firstLine="0"/>
        <w:rPr>
          <w:rFonts w:ascii="Times New Roman" w:hAnsi="Times New Roman"/>
          <w:szCs w:val="24"/>
        </w:rPr>
      </w:pPr>
      <w:r w:rsidRPr="00500DB3">
        <w:rPr>
          <w:rFonts w:ascii="Times New Roman" w:hAnsi="Times New Roman"/>
          <w:szCs w:val="24"/>
        </w:rPr>
        <w:t xml:space="preserve">Con base en el principio de subsidiariedad, los jueces y tribunales ordinarios son los guardianes primeros, por así decirlo, de los derechos y libertades. Ellos son los encargados de tutelar, evaluar y reparar, si fuese necesario, la vulneración de los </w:t>
      </w:r>
      <w:r w:rsidRPr="00500DB3">
        <w:rPr>
          <w:rFonts w:ascii="Times New Roman" w:hAnsi="Times New Roman"/>
          <w:szCs w:val="24"/>
        </w:rPr>
        <w:lastRenderedPageBreak/>
        <w:t>mencionados derechos y libertades, quedand</w:t>
      </w:r>
      <w:r w:rsidR="00DD632B" w:rsidRPr="00500DB3">
        <w:rPr>
          <w:rFonts w:ascii="Times New Roman" w:hAnsi="Times New Roman"/>
          <w:szCs w:val="24"/>
        </w:rPr>
        <w:t>o así el TC</w:t>
      </w:r>
      <w:r w:rsidRPr="00500DB3">
        <w:rPr>
          <w:rFonts w:ascii="Times New Roman" w:hAnsi="Times New Roman"/>
          <w:szCs w:val="24"/>
        </w:rPr>
        <w:t xml:space="preserve"> como última y definitiva instancia guardiana.</w:t>
      </w:r>
    </w:p>
    <w:p w14:paraId="796DF70E" w14:textId="77777777" w:rsidR="00424948" w:rsidRPr="00500DB3" w:rsidRDefault="00424948" w:rsidP="00AA2BB1">
      <w:pPr>
        <w:pStyle w:val="texto"/>
        <w:ind w:firstLine="0"/>
        <w:rPr>
          <w:rFonts w:ascii="Times New Roman" w:hAnsi="Times New Roman"/>
          <w:szCs w:val="24"/>
        </w:rPr>
      </w:pPr>
      <w:r w:rsidRPr="00500DB3">
        <w:rPr>
          <w:rFonts w:ascii="Times New Roman" w:hAnsi="Times New Roman"/>
          <w:szCs w:val="24"/>
        </w:rPr>
        <w:t>En este punto, ARAGÓN REYES</w:t>
      </w:r>
      <w:r w:rsidRPr="00500DB3">
        <w:rPr>
          <w:rStyle w:val="Refdenotaalpie"/>
          <w:rFonts w:ascii="Times New Roman" w:hAnsi="Times New Roman"/>
          <w:szCs w:val="24"/>
        </w:rPr>
        <w:footnoteReference w:id="72"/>
      </w:r>
      <w:r w:rsidRPr="00500DB3">
        <w:rPr>
          <w:rFonts w:ascii="Times New Roman" w:hAnsi="Times New Roman"/>
          <w:szCs w:val="24"/>
        </w:rPr>
        <w:t xml:space="preserve"> señala la necesidad de conseguir que el amparo constitucional sea plenamente subsidiario, de tal manera que las veces que se recurra a él  siempre haya tenido la jurisdicción ordinaria la oportunidad de remediar la vulneración del derecho. De este modo se dará siempre una última oportunidad a la jurisdicción ordinaria para remediar la lesión del derecho antes de acudir al amparo constitucional, de manera que éste resultará inadmisible si no se hubiese agotado previamente la vía ordinaria.</w:t>
      </w:r>
    </w:p>
    <w:p w14:paraId="0AABC947" w14:textId="2BB76BE9" w:rsidR="00F00DE1" w:rsidRPr="00500DB3" w:rsidRDefault="00F00DE1" w:rsidP="00AA2BB1">
      <w:pPr>
        <w:pStyle w:val="texto"/>
        <w:ind w:firstLine="0"/>
        <w:rPr>
          <w:rFonts w:ascii="Times New Roman" w:hAnsi="Times New Roman"/>
          <w:szCs w:val="24"/>
        </w:rPr>
      </w:pPr>
      <w:r w:rsidRPr="00500DB3">
        <w:rPr>
          <w:rFonts w:ascii="Times New Roman" w:hAnsi="Times New Roman"/>
          <w:szCs w:val="24"/>
        </w:rPr>
        <w:t>Por su parte, CARRASCO DURÁN</w:t>
      </w:r>
      <w:r w:rsidRPr="00500DB3">
        <w:rPr>
          <w:rStyle w:val="Refdenotaalpie"/>
          <w:rFonts w:ascii="Times New Roman" w:hAnsi="Times New Roman"/>
          <w:szCs w:val="24"/>
        </w:rPr>
        <w:footnoteReference w:id="73"/>
      </w:r>
      <w:r w:rsidRPr="00500DB3">
        <w:rPr>
          <w:rFonts w:ascii="Times New Roman" w:hAnsi="Times New Roman"/>
          <w:szCs w:val="24"/>
        </w:rPr>
        <w:t xml:space="preserve">, barajando la idea de limitar el acceso de demandas de amparo ante el TC, dispone que </w:t>
      </w:r>
      <w:r w:rsidR="009E03BD" w:rsidRPr="00500DB3">
        <w:rPr>
          <w:rFonts w:ascii="Times New Roman" w:hAnsi="Times New Roman"/>
          <w:i/>
          <w:szCs w:val="24"/>
        </w:rPr>
        <w:t>«l</w:t>
      </w:r>
      <w:r w:rsidRPr="00500DB3">
        <w:rPr>
          <w:rFonts w:ascii="Times New Roman" w:hAnsi="Times New Roman"/>
          <w:i/>
          <w:szCs w:val="24"/>
        </w:rPr>
        <w:t>a limitación del acceso al recurso de amparo no supone dejar desprotegidos los derechos fundamentales en circunstancias determinadas. Por el contrario, tal limitación es posible porque, junto al Tribunal Constitucional, se encuentran los órganos judiciales, que deben dar respuesta a todas las violaciones de derechos fundamentales en los casos en los que el recurso de amparo resulte subsidiario respecto a la intervención de aquéllos. Con aquella limitación se trata sólo de adecuar a la realidad las dimensiones que el recurso de amparo y la actuación tutelar de los órganos judiciales deben tener de acuerdo con la proclamación teórica de los principios de subsidiariedad y excepcionalidad del primero</w:t>
      </w:r>
      <w:r w:rsidR="00F1749E" w:rsidRPr="00500DB3">
        <w:rPr>
          <w:rFonts w:ascii="Times New Roman" w:hAnsi="Times New Roman"/>
          <w:i/>
          <w:szCs w:val="24"/>
        </w:rPr>
        <w:t>.»</w:t>
      </w:r>
    </w:p>
    <w:p w14:paraId="7B555F90" w14:textId="1524D295" w:rsidR="002B5C58" w:rsidRPr="00500DB3" w:rsidRDefault="002B5C58" w:rsidP="00AA2BB1">
      <w:pPr>
        <w:pStyle w:val="texto"/>
        <w:ind w:firstLine="0"/>
        <w:rPr>
          <w:rFonts w:ascii="Times New Roman" w:hAnsi="Times New Roman"/>
          <w:szCs w:val="24"/>
        </w:rPr>
      </w:pPr>
      <w:r w:rsidRPr="00500DB3">
        <w:rPr>
          <w:rFonts w:ascii="Times New Roman" w:hAnsi="Times New Roman"/>
          <w:szCs w:val="24"/>
        </w:rPr>
        <w:t xml:space="preserve">Por tanto, el sistema de protección que constituye el recurso de amparo ordinario debería caracterizarse por constituir un filtro eficaz que impidiera la sobrecarga de trabajo del TC, evitando así que la acumulación de asuntos impida a éste resolverlos en un plazo razonable. Pero, como hemos dicho, la doctrina es unánime al denunciar el deficiente cumplimiento del legislador </w:t>
      </w:r>
      <w:r w:rsidR="00EB465A" w:rsidRPr="00500DB3">
        <w:rPr>
          <w:rFonts w:ascii="Times New Roman" w:hAnsi="Times New Roman"/>
          <w:szCs w:val="24"/>
        </w:rPr>
        <w:t xml:space="preserve">de este precepto constitucional, lo cual ha dado lugar a la </w:t>
      </w:r>
      <w:r w:rsidR="00F1749E" w:rsidRPr="00500DB3">
        <w:rPr>
          <w:rFonts w:ascii="Times New Roman" w:hAnsi="Times New Roman"/>
          <w:szCs w:val="24"/>
        </w:rPr>
        <w:t>situación que</w:t>
      </w:r>
      <w:r w:rsidR="00EB465A" w:rsidRPr="00500DB3">
        <w:rPr>
          <w:rFonts w:ascii="Times New Roman" w:hAnsi="Times New Roman"/>
          <w:szCs w:val="24"/>
        </w:rPr>
        <w:t xml:space="preserve"> nos acontece en el TC.</w:t>
      </w:r>
    </w:p>
    <w:p w14:paraId="15400F0D" w14:textId="2B4A86AC" w:rsidR="00EB465A" w:rsidRPr="00500DB3" w:rsidRDefault="00B96ABC" w:rsidP="00AA2BB1">
      <w:pPr>
        <w:pStyle w:val="texto"/>
        <w:ind w:firstLine="0"/>
        <w:rPr>
          <w:rFonts w:ascii="Times New Roman" w:hAnsi="Times New Roman"/>
          <w:szCs w:val="24"/>
        </w:rPr>
      </w:pPr>
      <w:r w:rsidRPr="00500DB3">
        <w:rPr>
          <w:rFonts w:ascii="Times New Roman" w:hAnsi="Times New Roman"/>
          <w:szCs w:val="24"/>
        </w:rPr>
        <w:t>Es</w:t>
      </w:r>
      <w:r w:rsidR="00EB465A" w:rsidRPr="00500DB3">
        <w:rPr>
          <w:rFonts w:ascii="Times New Roman" w:hAnsi="Times New Roman"/>
          <w:szCs w:val="24"/>
        </w:rPr>
        <w:t xml:space="preserve"> denuncia</w:t>
      </w:r>
      <w:r w:rsidRPr="00500DB3">
        <w:rPr>
          <w:rFonts w:ascii="Times New Roman" w:hAnsi="Times New Roman"/>
          <w:szCs w:val="24"/>
        </w:rPr>
        <w:t>do</w:t>
      </w:r>
      <w:r w:rsidR="00EB465A" w:rsidRPr="00500DB3">
        <w:rPr>
          <w:rFonts w:ascii="Times New Roman" w:hAnsi="Times New Roman"/>
          <w:szCs w:val="24"/>
        </w:rPr>
        <w:t xml:space="preserve">, respecto a este punto, un desarrollo normativo incoherente de lo establecido en el artículo 53.2 CE.  Paralelamente a la Constitución, se adoptó la ya citada </w:t>
      </w:r>
      <w:r w:rsidR="00EB465A" w:rsidRPr="00500DB3">
        <w:rPr>
          <w:rFonts w:ascii="Times New Roman" w:hAnsi="Times New Roman"/>
          <w:szCs w:val="24"/>
        </w:rPr>
        <w:lastRenderedPageBreak/>
        <w:t xml:space="preserve">Ley 62/1978, de Protección Jurisdiccional de los Derechos de la Persona, la cual desarrollo un deficiente papel de vía judicial previa en la tutela de derechos fundamentales.  En los años posteriores, el legislador español </w:t>
      </w:r>
      <w:r w:rsidR="00067A27" w:rsidRPr="00500DB3">
        <w:rPr>
          <w:rFonts w:ascii="Times New Roman" w:hAnsi="Times New Roman"/>
          <w:szCs w:val="24"/>
        </w:rPr>
        <w:t>encomendó</w:t>
      </w:r>
      <w:r w:rsidR="00EB465A" w:rsidRPr="00500DB3">
        <w:rPr>
          <w:rFonts w:ascii="Times New Roman" w:hAnsi="Times New Roman"/>
          <w:szCs w:val="24"/>
        </w:rPr>
        <w:t xml:space="preserve"> la protección de los derechos fundamentales a normas ordinarias, derogando así la</w:t>
      </w:r>
      <w:r w:rsidRPr="00500DB3">
        <w:rPr>
          <w:rFonts w:ascii="Times New Roman" w:hAnsi="Times New Roman"/>
          <w:szCs w:val="24"/>
        </w:rPr>
        <w:t xml:space="preserve"> Ley 62/1978, de 26 de diciembre, de protección jurisdiccional de los derechos fundamentales de la persona.</w:t>
      </w:r>
      <w:r w:rsidR="00EB465A" w:rsidRPr="00500DB3">
        <w:rPr>
          <w:rFonts w:ascii="Times New Roman" w:hAnsi="Times New Roman"/>
          <w:szCs w:val="24"/>
        </w:rPr>
        <w:t xml:space="preserve">, pero sin responder eficazmente a las exigencias del artículo 53.2 CE. </w:t>
      </w:r>
    </w:p>
    <w:p w14:paraId="558E2363" w14:textId="17F1879D" w:rsidR="00D53591" w:rsidRPr="00500DB3" w:rsidRDefault="00F840F1" w:rsidP="00AA2BB1">
      <w:pPr>
        <w:pStyle w:val="texto"/>
        <w:ind w:firstLine="0"/>
        <w:rPr>
          <w:rFonts w:ascii="Times New Roman" w:hAnsi="Times New Roman"/>
          <w:szCs w:val="24"/>
        </w:rPr>
      </w:pPr>
      <w:r w:rsidRPr="00500DB3">
        <w:rPr>
          <w:rFonts w:ascii="Times New Roman" w:hAnsi="Times New Roman"/>
          <w:szCs w:val="24"/>
        </w:rPr>
        <w:t xml:space="preserve">Por estos motivos se ha demandado de manera reiterada la simplificación de los cauces </w:t>
      </w:r>
      <w:r w:rsidR="00F1749E" w:rsidRPr="00500DB3">
        <w:rPr>
          <w:rFonts w:ascii="Times New Roman" w:hAnsi="Times New Roman"/>
          <w:szCs w:val="24"/>
        </w:rPr>
        <w:t>procesales,</w:t>
      </w:r>
      <w:r w:rsidRPr="00500DB3">
        <w:rPr>
          <w:rFonts w:ascii="Times New Roman" w:hAnsi="Times New Roman"/>
          <w:szCs w:val="24"/>
        </w:rPr>
        <w:t xml:space="preserve"> así como del organigrama judicial, especialmente lo referente al </w:t>
      </w:r>
      <w:r w:rsidRPr="00500DB3">
        <w:rPr>
          <w:rFonts w:ascii="Times New Roman" w:hAnsi="Times New Roman"/>
          <w:i/>
          <w:szCs w:val="24"/>
        </w:rPr>
        <w:t xml:space="preserve">«procedimiento basado en los principios de preferencia y sumariedad» </w:t>
      </w:r>
      <w:r w:rsidRPr="00500DB3">
        <w:rPr>
          <w:rFonts w:ascii="Times New Roman" w:hAnsi="Times New Roman"/>
          <w:szCs w:val="24"/>
        </w:rPr>
        <w:t>del art. 53.2 CE, y al principio de subsidiariedad respecto del recurso de amparo constitucional.</w:t>
      </w:r>
    </w:p>
    <w:p w14:paraId="48F0799C" w14:textId="77777777" w:rsidR="00380A1E" w:rsidRPr="00500DB3" w:rsidRDefault="00F12ADB" w:rsidP="00AA2BB1">
      <w:pPr>
        <w:pStyle w:val="texto"/>
        <w:ind w:firstLine="0"/>
        <w:rPr>
          <w:rFonts w:ascii="Times New Roman" w:hAnsi="Times New Roman"/>
          <w:szCs w:val="24"/>
        </w:rPr>
      </w:pPr>
      <w:r w:rsidRPr="00500DB3">
        <w:rPr>
          <w:rFonts w:ascii="Times New Roman" w:hAnsi="Times New Roman"/>
          <w:szCs w:val="24"/>
        </w:rPr>
        <w:t>Otro punto importante</w:t>
      </w:r>
      <w:r w:rsidR="0055143B" w:rsidRPr="00500DB3">
        <w:rPr>
          <w:rFonts w:ascii="Times New Roman" w:hAnsi="Times New Roman"/>
          <w:szCs w:val="24"/>
        </w:rPr>
        <w:t>,</w:t>
      </w:r>
      <w:r w:rsidRPr="00500DB3">
        <w:rPr>
          <w:rFonts w:ascii="Times New Roman" w:hAnsi="Times New Roman"/>
          <w:szCs w:val="24"/>
        </w:rPr>
        <w:t xml:space="preserve"> </w:t>
      </w:r>
      <w:r w:rsidR="0055143B" w:rsidRPr="00500DB3">
        <w:rPr>
          <w:rFonts w:ascii="Times New Roman" w:hAnsi="Times New Roman"/>
          <w:szCs w:val="24"/>
        </w:rPr>
        <w:t>expuesto por FERNÁNDEZ FARRERES</w:t>
      </w:r>
      <w:r w:rsidR="0055143B" w:rsidRPr="00500DB3">
        <w:rPr>
          <w:rStyle w:val="Refdenotaalpie"/>
          <w:rFonts w:ascii="Times New Roman" w:hAnsi="Times New Roman"/>
          <w:szCs w:val="24"/>
        </w:rPr>
        <w:footnoteReference w:id="74"/>
      </w:r>
      <w:r w:rsidR="0055143B" w:rsidRPr="00500DB3">
        <w:rPr>
          <w:rFonts w:ascii="Times New Roman" w:hAnsi="Times New Roman"/>
          <w:szCs w:val="24"/>
        </w:rPr>
        <w:t xml:space="preserve"> entre otros, </w:t>
      </w:r>
      <w:r w:rsidRPr="00500DB3">
        <w:rPr>
          <w:rFonts w:ascii="Times New Roman" w:hAnsi="Times New Roman"/>
          <w:szCs w:val="24"/>
        </w:rPr>
        <w:t xml:space="preserve">es el referente a la inexistencia o insuficiencia de recursos o incidentes que permitan reparar ante la vía judicial los errores </w:t>
      </w:r>
      <w:r w:rsidRPr="00500DB3">
        <w:rPr>
          <w:rFonts w:ascii="Times New Roman" w:hAnsi="Times New Roman"/>
          <w:i/>
          <w:szCs w:val="24"/>
        </w:rPr>
        <w:t xml:space="preserve">in </w:t>
      </w:r>
      <w:proofErr w:type="spellStart"/>
      <w:r w:rsidRPr="00500DB3">
        <w:rPr>
          <w:rFonts w:ascii="Times New Roman" w:hAnsi="Times New Roman"/>
          <w:i/>
          <w:szCs w:val="24"/>
        </w:rPr>
        <w:t>procedendo</w:t>
      </w:r>
      <w:proofErr w:type="spellEnd"/>
      <w:r w:rsidRPr="00500DB3">
        <w:rPr>
          <w:rFonts w:ascii="Times New Roman" w:hAnsi="Times New Roman"/>
          <w:i/>
          <w:szCs w:val="24"/>
        </w:rPr>
        <w:t xml:space="preserve"> </w:t>
      </w:r>
      <w:r w:rsidRPr="00500DB3">
        <w:rPr>
          <w:rFonts w:ascii="Times New Roman" w:hAnsi="Times New Roman"/>
          <w:szCs w:val="24"/>
        </w:rPr>
        <w:t>sin necesidad de acudir al amparo constitucional.</w:t>
      </w:r>
      <w:r w:rsidR="0055143B" w:rsidRPr="00500DB3">
        <w:rPr>
          <w:rFonts w:ascii="Times New Roman" w:hAnsi="Times New Roman"/>
          <w:szCs w:val="24"/>
        </w:rPr>
        <w:t xml:space="preserve"> Esto contribuiría a la solución de sobrecarga del Tribunal, pues añadiríamos de este modo un escalón más al que los ciudadanos podrían recurrir antes de acudir en amparo ante el TC.</w:t>
      </w:r>
    </w:p>
    <w:p w14:paraId="4C763E0C" w14:textId="228007C6" w:rsidR="00B96ABC" w:rsidRPr="00500DB3" w:rsidRDefault="00302D87" w:rsidP="00AA2BB1">
      <w:pPr>
        <w:pStyle w:val="texto"/>
        <w:ind w:firstLine="0"/>
        <w:rPr>
          <w:rFonts w:ascii="Times New Roman" w:hAnsi="Times New Roman"/>
          <w:szCs w:val="24"/>
        </w:rPr>
      </w:pPr>
      <w:r w:rsidRPr="00500DB3">
        <w:rPr>
          <w:rFonts w:ascii="Times New Roman" w:hAnsi="Times New Roman"/>
          <w:szCs w:val="24"/>
        </w:rPr>
        <w:t xml:space="preserve">En efecto, este autor propone </w:t>
      </w:r>
      <w:r w:rsidRPr="00500DB3">
        <w:rPr>
          <w:rFonts w:ascii="Times New Roman" w:hAnsi="Times New Roman"/>
          <w:i/>
          <w:szCs w:val="24"/>
        </w:rPr>
        <w:t>«un “recurso de amparo judicial” (...) ante una sala especial o ad hoc del Tribunal Supremo»</w:t>
      </w:r>
      <w:r w:rsidRPr="00500DB3">
        <w:rPr>
          <w:rFonts w:ascii="Times New Roman" w:hAnsi="Times New Roman"/>
          <w:szCs w:val="24"/>
        </w:rPr>
        <w:t>. Dicho recurso procedería únicamente frente a las vulneraciones del derecho fundamental a la tutela judicial efectiva sin indefensión imputables a cualesquiera órganos de los diversos órdenes jurisdiccionales, y sólo cabría una vez agotados todos los recursos útiles de los que, en cada caso, en función del momento en que se haya producido la vulneración, se pueda disponer para la reparación de la misma. La intervención del Ministerio Fiscal sería preceptiva y la demanda de «amparo judicial» podría sujetarse a similares requisitos de admisibilidad previstos en la actualidad para el recurso de amparo constitucional. La decisión de</w:t>
      </w:r>
      <w:r w:rsidR="00EA0E20" w:rsidRPr="00500DB3">
        <w:rPr>
          <w:rFonts w:ascii="Times New Roman" w:hAnsi="Times New Roman"/>
          <w:szCs w:val="24"/>
        </w:rPr>
        <w:t>sestimatoria de la sala del TS</w:t>
      </w:r>
      <w:r w:rsidRPr="00500DB3">
        <w:rPr>
          <w:rFonts w:ascii="Times New Roman" w:hAnsi="Times New Roman"/>
          <w:szCs w:val="24"/>
        </w:rPr>
        <w:t xml:space="preserve"> abriría la vía del recurso de amparo constitucional.</w:t>
      </w:r>
    </w:p>
    <w:p w14:paraId="6F372D2B" w14:textId="7C7FDACF" w:rsidR="00741525" w:rsidRPr="00500DB3" w:rsidRDefault="00850657" w:rsidP="00AA2BB1">
      <w:pPr>
        <w:pStyle w:val="Ttulo3"/>
      </w:pPr>
      <w:bookmarkStart w:id="135" w:name="_Toc400644285"/>
      <w:bookmarkStart w:id="136" w:name="_Toc401009641"/>
      <w:bookmarkStart w:id="137" w:name="_Toc468382153"/>
      <w:bookmarkStart w:id="138" w:name="_Toc530596845"/>
      <w:bookmarkStart w:id="139" w:name="_Toc49423609"/>
      <w:bookmarkStart w:id="140" w:name="_Toc49708564"/>
      <w:bookmarkStart w:id="141" w:name="_Toc49790250"/>
      <w:bookmarkStart w:id="142" w:name="_Toc49866486"/>
      <w:bookmarkStart w:id="143" w:name="_Toc50373140"/>
      <w:r w:rsidRPr="00500DB3">
        <w:lastRenderedPageBreak/>
        <w:t>La deficiente regulación del recurso de amparo y de su trámite de admisión por la LOTC</w:t>
      </w:r>
      <w:bookmarkEnd w:id="135"/>
      <w:bookmarkEnd w:id="136"/>
      <w:bookmarkEnd w:id="137"/>
      <w:bookmarkEnd w:id="138"/>
      <w:bookmarkEnd w:id="139"/>
      <w:bookmarkEnd w:id="140"/>
      <w:bookmarkEnd w:id="141"/>
      <w:bookmarkEnd w:id="142"/>
      <w:bookmarkEnd w:id="143"/>
    </w:p>
    <w:p w14:paraId="32CCD085" w14:textId="77777777" w:rsidR="008B6702" w:rsidRPr="00500DB3" w:rsidRDefault="008B6702" w:rsidP="00AA2BB1">
      <w:pPr>
        <w:pStyle w:val="texto"/>
        <w:ind w:firstLine="0"/>
        <w:rPr>
          <w:rFonts w:ascii="Times New Roman" w:hAnsi="Times New Roman"/>
          <w:szCs w:val="24"/>
        </w:rPr>
      </w:pPr>
      <w:r w:rsidRPr="00500DB3">
        <w:rPr>
          <w:rFonts w:ascii="Times New Roman" w:hAnsi="Times New Roman"/>
          <w:szCs w:val="24"/>
        </w:rPr>
        <w:t>En este punto, la doctrina plantea que la LOTC concibe el recurso de amparo en términos muy amplios, términos que, a su vez, y no en cuestiones de forma sino de fondo, fueron objeto de una interpretación extensiva de los mismos.</w:t>
      </w:r>
    </w:p>
    <w:p w14:paraId="76684891" w14:textId="77777777" w:rsidR="008B6702" w:rsidRPr="00500DB3" w:rsidRDefault="008B6702" w:rsidP="00AA2BB1">
      <w:pPr>
        <w:pStyle w:val="texto"/>
        <w:ind w:firstLine="0"/>
        <w:rPr>
          <w:rFonts w:ascii="Times New Roman" w:hAnsi="Times New Roman"/>
          <w:szCs w:val="24"/>
        </w:rPr>
      </w:pPr>
      <w:r w:rsidRPr="00500DB3">
        <w:rPr>
          <w:rFonts w:ascii="Times New Roman" w:hAnsi="Times New Roman"/>
          <w:szCs w:val="24"/>
        </w:rPr>
        <w:t>Siguiendo esta línea, también se plantea la influencia en el planteamiento de recursos de amparo de la deficiente regulación ofrecida por la LOTC cuando la violación de un derecho fundamental se debe más a los contenidos de una ley que a la aplicación de la misma por el juez. En los casos en que una ley contenga provisiones de dudosa constitucionalidad que requieran una labor de interpretación conforme a la Constitución, ésta ha de ser realizada por el juez constitucional y no por el juez ordinario. Sin embargo, el juez constitucional ha de actuar a través del recurso de amparo porque no existen otros cauces que le permitan esta labor de interpretación conforme a la Constitució</w:t>
      </w:r>
      <w:r w:rsidR="00FA6F37" w:rsidRPr="00500DB3">
        <w:rPr>
          <w:rFonts w:ascii="Times New Roman" w:hAnsi="Times New Roman"/>
          <w:szCs w:val="24"/>
        </w:rPr>
        <w:t xml:space="preserve">n establecidos por el </w:t>
      </w:r>
      <w:r w:rsidRPr="00500DB3">
        <w:rPr>
          <w:rFonts w:ascii="Times New Roman" w:hAnsi="Times New Roman"/>
          <w:szCs w:val="24"/>
        </w:rPr>
        <w:t>TC.</w:t>
      </w:r>
    </w:p>
    <w:p w14:paraId="0612C9F4" w14:textId="7D3411BC" w:rsidR="009D2DE3" w:rsidRPr="00500DB3" w:rsidRDefault="00AC3D5F" w:rsidP="00AA2BB1">
      <w:pPr>
        <w:pStyle w:val="Ttulo3"/>
      </w:pPr>
      <w:bookmarkStart w:id="144" w:name="_Toc400644287"/>
      <w:bookmarkStart w:id="145" w:name="_Toc401009643"/>
      <w:bookmarkStart w:id="146" w:name="_Toc468382155"/>
      <w:bookmarkStart w:id="147" w:name="_Toc530596846"/>
      <w:bookmarkStart w:id="148" w:name="_Toc49423610"/>
      <w:bookmarkStart w:id="149" w:name="_Toc49708565"/>
      <w:bookmarkStart w:id="150" w:name="_Toc49790251"/>
      <w:bookmarkStart w:id="151" w:name="_Toc49866487"/>
      <w:bookmarkStart w:id="152" w:name="_Toc50373141"/>
      <w:r w:rsidRPr="00500DB3">
        <w:t>La ampliación del contenido del art. 24 CE por el Tribunal Constitucional</w:t>
      </w:r>
      <w:bookmarkEnd w:id="144"/>
      <w:bookmarkEnd w:id="145"/>
      <w:bookmarkEnd w:id="146"/>
      <w:bookmarkEnd w:id="147"/>
      <w:bookmarkEnd w:id="148"/>
      <w:bookmarkEnd w:id="149"/>
      <w:bookmarkEnd w:id="150"/>
      <w:bookmarkEnd w:id="151"/>
      <w:bookmarkEnd w:id="152"/>
    </w:p>
    <w:p w14:paraId="60121D86" w14:textId="77777777" w:rsidR="0097072F" w:rsidRDefault="0097072F" w:rsidP="00AA2BB1">
      <w:pPr>
        <w:pStyle w:val="texto"/>
        <w:ind w:firstLine="0"/>
        <w:rPr>
          <w:rFonts w:ascii="Times New Roman" w:hAnsi="Times New Roman"/>
          <w:szCs w:val="24"/>
        </w:rPr>
      </w:pPr>
      <w:r>
        <w:rPr>
          <w:rFonts w:ascii="Times New Roman" w:hAnsi="Times New Roman"/>
          <w:szCs w:val="24"/>
        </w:rPr>
        <w:t>E</w:t>
      </w:r>
      <w:r w:rsidRPr="00500DB3">
        <w:rPr>
          <w:rFonts w:ascii="Times New Roman" w:hAnsi="Times New Roman"/>
          <w:szCs w:val="24"/>
        </w:rPr>
        <w:t xml:space="preserve">s una opinión generalizada que el propio TC ha contribuido a favorecer el «desbordamiento» de la jurisdicción constitucional de amparo de los derechos fundamentales. </w:t>
      </w:r>
    </w:p>
    <w:p w14:paraId="01B028B5" w14:textId="77777777" w:rsidR="0097072F" w:rsidRDefault="0097072F" w:rsidP="00AA2BB1">
      <w:pPr>
        <w:pStyle w:val="texto"/>
        <w:ind w:firstLine="0"/>
        <w:rPr>
          <w:rFonts w:ascii="Times New Roman" w:hAnsi="Times New Roman"/>
          <w:szCs w:val="24"/>
        </w:rPr>
      </w:pPr>
      <w:r w:rsidRPr="00031CA2">
        <w:rPr>
          <w:rFonts w:ascii="Times New Roman" w:hAnsi="Times New Roman"/>
          <w:szCs w:val="24"/>
        </w:rPr>
        <w:t xml:space="preserve">Una de las propuestas con mayor acogida en su momento fue la de eliminar del ámbito del amparo por el TC las pretendidas violaciones de los derechos fundamentales contenidos en el art. 24 CE. </w:t>
      </w:r>
    </w:p>
    <w:p w14:paraId="32037EB7" w14:textId="1CC713AD" w:rsidR="0097072F" w:rsidRPr="00500DB3" w:rsidRDefault="0097072F" w:rsidP="00AA2BB1">
      <w:pPr>
        <w:pStyle w:val="texto"/>
        <w:spacing w:after="100"/>
        <w:ind w:firstLine="0"/>
        <w:rPr>
          <w:rFonts w:ascii="Times New Roman" w:hAnsi="Times New Roman"/>
          <w:szCs w:val="24"/>
        </w:rPr>
      </w:pPr>
      <w:r w:rsidRPr="00500DB3">
        <w:rPr>
          <w:rFonts w:ascii="Times New Roman" w:hAnsi="Times New Roman"/>
          <w:szCs w:val="24"/>
        </w:rPr>
        <w:t xml:space="preserve">Se critica en este punto la peculiar configuración de la «tutela judicial» como derecho fundamental (art. 24 CE). El propio TC habría contribuido a su crisis de funcionamiento al haber realizado una excesiva ampliación de este derecho admitiendo demasiadas demandas de amparo que apoyan su fundamento en infracciones procesales. De esta forma, cualquier cuestión de índole procesal quedaría relacionada con el derecho a la tutela judicial efectiva, </w:t>
      </w:r>
      <w:r w:rsidR="00F1749E" w:rsidRPr="00500DB3">
        <w:rPr>
          <w:rFonts w:ascii="Times New Roman" w:hAnsi="Times New Roman"/>
          <w:szCs w:val="24"/>
        </w:rPr>
        <w:t>abriendo,</w:t>
      </w:r>
      <w:r w:rsidRPr="00500DB3">
        <w:rPr>
          <w:rFonts w:ascii="Times New Roman" w:hAnsi="Times New Roman"/>
          <w:szCs w:val="24"/>
        </w:rPr>
        <w:t xml:space="preserve"> por tanto, la vía del amparo judicial.</w:t>
      </w:r>
    </w:p>
    <w:p w14:paraId="4B20EE93" w14:textId="77777777" w:rsidR="0097072F" w:rsidRDefault="0097072F" w:rsidP="00AA2BB1">
      <w:pPr>
        <w:pStyle w:val="texto"/>
        <w:spacing w:after="100"/>
        <w:ind w:firstLine="0"/>
        <w:rPr>
          <w:rFonts w:ascii="Times New Roman" w:hAnsi="Times New Roman"/>
          <w:szCs w:val="24"/>
        </w:rPr>
      </w:pPr>
      <w:r w:rsidRPr="00500DB3">
        <w:rPr>
          <w:rFonts w:ascii="Times New Roman" w:hAnsi="Times New Roman"/>
          <w:szCs w:val="24"/>
        </w:rPr>
        <w:lastRenderedPageBreak/>
        <w:t>No debemos olvidar, sin embargo, que la jurisprudencia del TC interpretando las garantías procesales del art. 24 CE ha sido básica y necesaria para la correcta aplicación del mismo. No obstante, cabe la posibilidad de que ya se ha haya establecido por parte del TC todo lo referente a este artículo, en cuyo caso sí que procedería crear una serie de filtros para la admisión a trámite de los recursos de amparo en los que se alegara este punto.</w:t>
      </w:r>
    </w:p>
    <w:p w14:paraId="3242E16D" w14:textId="568E45C5" w:rsidR="00016B05" w:rsidRDefault="00016B05" w:rsidP="00AA2BB1">
      <w:pPr>
        <w:pStyle w:val="texto"/>
        <w:ind w:firstLine="0"/>
        <w:rPr>
          <w:rFonts w:ascii="Times New Roman" w:hAnsi="Times New Roman"/>
          <w:szCs w:val="24"/>
        </w:rPr>
      </w:pPr>
      <w:r>
        <w:rPr>
          <w:rFonts w:ascii="Times New Roman" w:hAnsi="Times New Roman"/>
          <w:szCs w:val="24"/>
        </w:rPr>
        <w:t>Atendiendo a las cifras relativas a este precepto es entendible la propuesta de su eliminación para liberar de trabajo al TC. Nos centraremos en los años inmediatamente anteriores a la reforma de 2007.</w:t>
      </w:r>
      <w:r w:rsidR="00496029">
        <w:rPr>
          <w:rFonts w:ascii="Times New Roman" w:hAnsi="Times New Roman"/>
          <w:szCs w:val="24"/>
        </w:rPr>
        <w:t xml:space="preserve"> </w:t>
      </w:r>
      <w:r w:rsidR="00496029">
        <w:rPr>
          <w:rStyle w:val="Refdenotaalpie"/>
          <w:rFonts w:ascii="Times New Roman" w:hAnsi="Times New Roman"/>
          <w:szCs w:val="24"/>
        </w:rPr>
        <w:footnoteReference w:id="75"/>
      </w:r>
    </w:p>
    <w:p w14:paraId="23CA00B4" w14:textId="0E0A741D" w:rsidR="00016B05" w:rsidRDefault="00D02809" w:rsidP="00AA2BB1">
      <w:pPr>
        <w:pStyle w:val="texto"/>
        <w:ind w:firstLine="0"/>
        <w:rPr>
          <w:rFonts w:ascii="Times New Roman" w:hAnsi="Times New Roman"/>
          <w:szCs w:val="24"/>
        </w:rPr>
      </w:pPr>
      <w:r>
        <w:rPr>
          <w:rFonts w:ascii="Times New Roman" w:hAnsi="Times New Roman"/>
          <w:szCs w:val="24"/>
        </w:rPr>
        <w:t>En el año 2002, fueron</w:t>
      </w:r>
      <w:r w:rsidR="00016B05" w:rsidRPr="00496029">
        <w:rPr>
          <w:rFonts w:ascii="Times New Roman" w:hAnsi="Times New Roman"/>
          <w:szCs w:val="24"/>
        </w:rPr>
        <w:t xml:space="preserve"> 6212 </w:t>
      </w:r>
      <w:r>
        <w:rPr>
          <w:rFonts w:ascii="Times New Roman" w:hAnsi="Times New Roman"/>
          <w:szCs w:val="24"/>
        </w:rPr>
        <w:t xml:space="preserve">los </w:t>
      </w:r>
      <w:r w:rsidR="00016B05" w:rsidRPr="00496029">
        <w:rPr>
          <w:rFonts w:ascii="Times New Roman" w:hAnsi="Times New Roman"/>
          <w:szCs w:val="24"/>
        </w:rPr>
        <w:t>recursos</w:t>
      </w:r>
      <w:r>
        <w:rPr>
          <w:rFonts w:ascii="Times New Roman" w:hAnsi="Times New Roman"/>
          <w:szCs w:val="24"/>
        </w:rPr>
        <w:t xml:space="preserve"> en los que se alegaron</w:t>
      </w:r>
      <w:r w:rsidR="00016B05" w:rsidRPr="00496029">
        <w:rPr>
          <w:rFonts w:ascii="Times New Roman" w:hAnsi="Times New Roman"/>
          <w:szCs w:val="24"/>
        </w:rPr>
        <w:t xml:space="preserve"> alguno o varios de los derechos relativos a la tutela judicial </w:t>
      </w:r>
      <w:r>
        <w:rPr>
          <w:rFonts w:ascii="Times New Roman" w:hAnsi="Times New Roman"/>
          <w:szCs w:val="24"/>
        </w:rPr>
        <w:t xml:space="preserve">efectiva </w:t>
      </w:r>
      <w:r w:rsidR="00016B05" w:rsidRPr="00496029">
        <w:rPr>
          <w:rFonts w:ascii="Times New Roman" w:hAnsi="Times New Roman"/>
          <w:szCs w:val="24"/>
        </w:rPr>
        <w:t xml:space="preserve">enunciados </w:t>
      </w:r>
      <w:r>
        <w:rPr>
          <w:rFonts w:ascii="Times New Roman" w:hAnsi="Times New Roman"/>
          <w:szCs w:val="24"/>
        </w:rPr>
        <w:t xml:space="preserve">en </w:t>
      </w:r>
      <w:r w:rsidR="00016B05" w:rsidRPr="00496029">
        <w:rPr>
          <w:rFonts w:ascii="Times New Roman" w:hAnsi="Times New Roman"/>
          <w:szCs w:val="24"/>
        </w:rPr>
        <w:t>e</w:t>
      </w:r>
      <w:r>
        <w:rPr>
          <w:rFonts w:ascii="Times New Roman" w:hAnsi="Times New Roman"/>
          <w:szCs w:val="24"/>
        </w:rPr>
        <w:t xml:space="preserve">l artículo 24 CE, lo que supone </w:t>
      </w:r>
      <w:r w:rsidR="00016B05" w:rsidRPr="00496029">
        <w:rPr>
          <w:rFonts w:ascii="Times New Roman" w:hAnsi="Times New Roman"/>
          <w:szCs w:val="24"/>
        </w:rPr>
        <w:t>el 85,27% de los recursos de amparo y el 83,31% de todos los recursos sometidos</w:t>
      </w:r>
      <w:r>
        <w:rPr>
          <w:rFonts w:ascii="Times New Roman" w:hAnsi="Times New Roman"/>
          <w:szCs w:val="24"/>
        </w:rPr>
        <w:t xml:space="preserve"> a la jurisdicción del Tribunal</w:t>
      </w:r>
      <w:r w:rsidR="00016B05" w:rsidRPr="00496029">
        <w:rPr>
          <w:rFonts w:ascii="Times New Roman" w:hAnsi="Times New Roman"/>
          <w:szCs w:val="24"/>
        </w:rPr>
        <w:t>.</w:t>
      </w:r>
      <w:r w:rsidR="00016B05" w:rsidRPr="00016B05">
        <w:rPr>
          <w:rFonts w:ascii="Times New Roman" w:hAnsi="Times New Roman"/>
          <w:szCs w:val="24"/>
        </w:rPr>
        <w:t xml:space="preserve"> </w:t>
      </w:r>
    </w:p>
    <w:p w14:paraId="48290C7C" w14:textId="7D7A2D51" w:rsidR="00496029" w:rsidRDefault="00016B05" w:rsidP="00AA2BB1">
      <w:pPr>
        <w:pStyle w:val="texto"/>
        <w:ind w:firstLine="0"/>
        <w:rPr>
          <w:rFonts w:ascii="Times New Roman" w:hAnsi="Times New Roman"/>
          <w:szCs w:val="24"/>
        </w:rPr>
      </w:pPr>
      <w:r w:rsidRPr="00016B05">
        <w:rPr>
          <w:rFonts w:ascii="Times New Roman" w:hAnsi="Times New Roman"/>
          <w:szCs w:val="24"/>
        </w:rPr>
        <w:t xml:space="preserve">El </w:t>
      </w:r>
      <w:r w:rsidR="00496029">
        <w:rPr>
          <w:rFonts w:ascii="Times New Roman" w:hAnsi="Times New Roman"/>
          <w:szCs w:val="24"/>
        </w:rPr>
        <w:t>art. 24.1 CE (</w:t>
      </w:r>
      <w:r w:rsidR="00496029" w:rsidRPr="00016B05">
        <w:rPr>
          <w:rFonts w:ascii="Times New Roman" w:hAnsi="Times New Roman"/>
          <w:szCs w:val="24"/>
        </w:rPr>
        <w:t>derecho a la tutela judicial efectiva sin indefensión</w:t>
      </w:r>
      <w:r w:rsidR="00496029">
        <w:rPr>
          <w:rFonts w:ascii="Times New Roman" w:hAnsi="Times New Roman"/>
          <w:szCs w:val="24"/>
        </w:rPr>
        <w:t>)</w:t>
      </w:r>
      <w:r w:rsidRPr="00016B05">
        <w:rPr>
          <w:rFonts w:ascii="Times New Roman" w:hAnsi="Times New Roman"/>
          <w:szCs w:val="24"/>
        </w:rPr>
        <w:t xml:space="preserve"> fue invocado en tres de cada cuatro demandas de a</w:t>
      </w:r>
      <w:r w:rsidR="00496029">
        <w:rPr>
          <w:rFonts w:ascii="Times New Roman" w:hAnsi="Times New Roman"/>
          <w:szCs w:val="24"/>
        </w:rPr>
        <w:t>mparo: 5622 veces (77,17% de los recursos de amparo y el</w:t>
      </w:r>
      <w:r w:rsidRPr="00016B05">
        <w:rPr>
          <w:rFonts w:ascii="Times New Roman" w:hAnsi="Times New Roman"/>
          <w:szCs w:val="24"/>
        </w:rPr>
        <w:t xml:space="preserve"> 75,40</w:t>
      </w:r>
      <w:r w:rsidR="00496029">
        <w:rPr>
          <w:rFonts w:ascii="Times New Roman" w:hAnsi="Times New Roman"/>
          <w:szCs w:val="24"/>
        </w:rPr>
        <w:t xml:space="preserve">% </w:t>
      </w:r>
      <w:r w:rsidRPr="00016B05">
        <w:rPr>
          <w:rFonts w:ascii="Times New Roman" w:hAnsi="Times New Roman"/>
          <w:szCs w:val="24"/>
        </w:rPr>
        <w:t xml:space="preserve">de todos los recursos sometidos a la jurisdicción del Tribunal). </w:t>
      </w:r>
    </w:p>
    <w:p w14:paraId="50212CEC" w14:textId="30BA00F7" w:rsidR="00016B05" w:rsidRDefault="00496029" w:rsidP="00AA2BB1">
      <w:pPr>
        <w:pStyle w:val="texto"/>
        <w:ind w:firstLine="0"/>
        <w:rPr>
          <w:rFonts w:ascii="Times New Roman" w:hAnsi="Times New Roman"/>
          <w:szCs w:val="24"/>
        </w:rPr>
      </w:pPr>
      <w:r>
        <w:rPr>
          <w:rFonts w:ascii="Times New Roman" w:hAnsi="Times New Roman"/>
          <w:szCs w:val="24"/>
        </w:rPr>
        <w:t xml:space="preserve">Respecto al art. </w:t>
      </w:r>
      <w:r w:rsidR="00016B05" w:rsidRPr="00016B05">
        <w:rPr>
          <w:rFonts w:ascii="Times New Roman" w:hAnsi="Times New Roman"/>
          <w:szCs w:val="24"/>
        </w:rPr>
        <w:t xml:space="preserve">24.2 CE, la presunción de inocencia fue invocada en 1034 </w:t>
      </w:r>
      <w:r>
        <w:rPr>
          <w:rFonts w:ascii="Times New Roman" w:hAnsi="Times New Roman"/>
          <w:szCs w:val="24"/>
        </w:rPr>
        <w:t>recursos (14,19%</w:t>
      </w:r>
      <w:r w:rsidR="00016B05" w:rsidRPr="00016B05">
        <w:rPr>
          <w:rFonts w:ascii="Times New Roman" w:hAnsi="Times New Roman"/>
          <w:szCs w:val="24"/>
        </w:rPr>
        <w:t>); el derecho a un proceso con todas las garantías, en 482 demandas (6,62</w:t>
      </w:r>
      <w:r>
        <w:rPr>
          <w:rFonts w:ascii="Times New Roman" w:hAnsi="Times New Roman"/>
          <w:szCs w:val="24"/>
        </w:rPr>
        <w:t>%</w:t>
      </w:r>
      <w:r w:rsidR="00016B05" w:rsidRPr="00016B05">
        <w:rPr>
          <w:rFonts w:ascii="Times New Roman" w:hAnsi="Times New Roman"/>
          <w:szCs w:val="24"/>
        </w:rPr>
        <w:t xml:space="preserve">); el derecho a la prueba </w:t>
      </w:r>
      <w:r>
        <w:rPr>
          <w:rFonts w:ascii="Times New Roman" w:hAnsi="Times New Roman"/>
          <w:szCs w:val="24"/>
        </w:rPr>
        <w:t>pertinente, en 241 (3,31%</w:t>
      </w:r>
      <w:r w:rsidR="00016B05" w:rsidRPr="00016B05">
        <w:rPr>
          <w:rFonts w:ascii="Times New Roman" w:hAnsi="Times New Roman"/>
          <w:szCs w:val="24"/>
        </w:rPr>
        <w:t>); y el derecho a un proceso sin dilacione</w:t>
      </w:r>
      <w:r>
        <w:rPr>
          <w:rFonts w:ascii="Times New Roman" w:hAnsi="Times New Roman"/>
          <w:szCs w:val="24"/>
        </w:rPr>
        <w:t>s indebidas, en 65 (0,89%</w:t>
      </w:r>
      <w:r w:rsidR="00016B05" w:rsidRPr="00016B05">
        <w:rPr>
          <w:rFonts w:ascii="Times New Roman" w:hAnsi="Times New Roman"/>
          <w:szCs w:val="24"/>
        </w:rPr>
        <w:t>).</w:t>
      </w:r>
    </w:p>
    <w:p w14:paraId="3961813E" w14:textId="32B5C22E" w:rsidR="00C7054E" w:rsidRDefault="00C7054E" w:rsidP="00AA2BB1">
      <w:pPr>
        <w:pStyle w:val="texto"/>
        <w:ind w:firstLine="0"/>
        <w:rPr>
          <w:rFonts w:ascii="Times New Roman" w:hAnsi="Times New Roman"/>
          <w:szCs w:val="24"/>
        </w:rPr>
      </w:pPr>
      <w:r>
        <w:rPr>
          <w:rFonts w:ascii="Times New Roman" w:hAnsi="Times New Roman"/>
          <w:szCs w:val="24"/>
        </w:rPr>
        <w:t xml:space="preserve">En el año </w:t>
      </w:r>
      <w:r w:rsidR="00016B05">
        <w:rPr>
          <w:rFonts w:ascii="Times New Roman" w:hAnsi="Times New Roman"/>
          <w:szCs w:val="24"/>
        </w:rPr>
        <w:t>2003</w:t>
      </w:r>
      <w:r>
        <w:rPr>
          <w:rFonts w:ascii="Times New Roman" w:hAnsi="Times New Roman"/>
          <w:szCs w:val="24"/>
        </w:rPr>
        <w:t xml:space="preserve">, </w:t>
      </w:r>
      <w:r w:rsidR="00016B05" w:rsidRPr="00016B05">
        <w:rPr>
          <w:rFonts w:ascii="Times New Roman" w:hAnsi="Times New Roman"/>
          <w:szCs w:val="24"/>
        </w:rPr>
        <w:t xml:space="preserve">6499 </w:t>
      </w:r>
      <w:r>
        <w:rPr>
          <w:rFonts w:ascii="Times New Roman" w:hAnsi="Times New Roman"/>
          <w:szCs w:val="24"/>
        </w:rPr>
        <w:t xml:space="preserve">demandas de amparo alegaban </w:t>
      </w:r>
      <w:r w:rsidR="00016B05" w:rsidRPr="00016B05">
        <w:rPr>
          <w:rFonts w:ascii="Times New Roman" w:hAnsi="Times New Roman"/>
          <w:szCs w:val="24"/>
        </w:rPr>
        <w:t xml:space="preserve">derechos </w:t>
      </w:r>
      <w:r>
        <w:rPr>
          <w:rFonts w:ascii="Times New Roman" w:hAnsi="Times New Roman"/>
          <w:szCs w:val="24"/>
        </w:rPr>
        <w:t xml:space="preserve">contenidos en </w:t>
      </w:r>
      <w:r w:rsidR="00F1749E">
        <w:rPr>
          <w:rFonts w:ascii="Times New Roman" w:hAnsi="Times New Roman"/>
          <w:szCs w:val="24"/>
        </w:rPr>
        <w:t xml:space="preserve">el </w:t>
      </w:r>
      <w:r w:rsidR="00F1749E" w:rsidRPr="00016B05">
        <w:rPr>
          <w:rFonts w:ascii="Times New Roman" w:hAnsi="Times New Roman"/>
          <w:szCs w:val="24"/>
        </w:rPr>
        <w:t>artículo</w:t>
      </w:r>
      <w:r w:rsidR="00016B05" w:rsidRPr="00016B05">
        <w:rPr>
          <w:rFonts w:ascii="Times New Roman" w:hAnsi="Times New Roman"/>
          <w:szCs w:val="24"/>
        </w:rPr>
        <w:t xml:space="preserve"> 24 CE</w:t>
      </w:r>
      <w:r w:rsidR="00D02809">
        <w:rPr>
          <w:rFonts w:ascii="Times New Roman" w:hAnsi="Times New Roman"/>
          <w:szCs w:val="24"/>
        </w:rPr>
        <w:t xml:space="preserve">, lo que supone </w:t>
      </w:r>
      <w:r w:rsidR="00016B05" w:rsidRPr="00016B05">
        <w:rPr>
          <w:rFonts w:ascii="Times New Roman" w:hAnsi="Times New Roman"/>
          <w:szCs w:val="24"/>
        </w:rPr>
        <w:t>el 84,17</w:t>
      </w:r>
      <w:r>
        <w:rPr>
          <w:rFonts w:ascii="Times New Roman" w:hAnsi="Times New Roman"/>
          <w:szCs w:val="24"/>
        </w:rPr>
        <w:t xml:space="preserve">% </w:t>
      </w:r>
      <w:r w:rsidR="00D02809">
        <w:rPr>
          <w:rFonts w:ascii="Times New Roman" w:hAnsi="Times New Roman"/>
          <w:szCs w:val="24"/>
        </w:rPr>
        <w:t>de los recursos de amparo y</w:t>
      </w:r>
      <w:r w:rsidR="00016B05" w:rsidRPr="00016B05">
        <w:rPr>
          <w:rFonts w:ascii="Times New Roman" w:hAnsi="Times New Roman"/>
          <w:szCs w:val="24"/>
        </w:rPr>
        <w:t xml:space="preserve"> el 82,50</w:t>
      </w:r>
      <w:r>
        <w:rPr>
          <w:rFonts w:ascii="Times New Roman" w:hAnsi="Times New Roman"/>
          <w:szCs w:val="24"/>
        </w:rPr>
        <w:t>%</w:t>
      </w:r>
      <w:r w:rsidR="00D02809">
        <w:rPr>
          <w:rFonts w:ascii="Times New Roman" w:hAnsi="Times New Roman"/>
          <w:szCs w:val="24"/>
        </w:rPr>
        <w:t xml:space="preserve"> </w:t>
      </w:r>
      <w:r w:rsidR="00016B05" w:rsidRPr="00016B05">
        <w:rPr>
          <w:rFonts w:ascii="Times New Roman" w:hAnsi="Times New Roman"/>
          <w:szCs w:val="24"/>
        </w:rPr>
        <w:t>de todos los recursos sometidos a l</w:t>
      </w:r>
      <w:r w:rsidR="00D02809">
        <w:rPr>
          <w:rFonts w:ascii="Times New Roman" w:hAnsi="Times New Roman"/>
          <w:szCs w:val="24"/>
        </w:rPr>
        <w:t>a jurisdicción del TC</w:t>
      </w:r>
      <w:r w:rsidR="00016B05" w:rsidRPr="00016B05">
        <w:rPr>
          <w:rFonts w:ascii="Times New Roman" w:hAnsi="Times New Roman"/>
          <w:szCs w:val="24"/>
        </w:rPr>
        <w:t xml:space="preserve">. </w:t>
      </w:r>
    </w:p>
    <w:p w14:paraId="29A6C285" w14:textId="3A2439C7" w:rsidR="00C7054E" w:rsidRDefault="00C7054E" w:rsidP="00AA2BB1">
      <w:pPr>
        <w:pStyle w:val="texto"/>
        <w:ind w:firstLine="0"/>
        <w:rPr>
          <w:rFonts w:ascii="Times New Roman" w:hAnsi="Times New Roman"/>
          <w:szCs w:val="24"/>
        </w:rPr>
      </w:pPr>
      <w:r w:rsidRPr="00016B05">
        <w:rPr>
          <w:rFonts w:ascii="Times New Roman" w:hAnsi="Times New Roman"/>
          <w:szCs w:val="24"/>
        </w:rPr>
        <w:t xml:space="preserve">El </w:t>
      </w:r>
      <w:r>
        <w:rPr>
          <w:rFonts w:ascii="Times New Roman" w:hAnsi="Times New Roman"/>
          <w:szCs w:val="24"/>
        </w:rPr>
        <w:t xml:space="preserve">art. 24.1 CE </w:t>
      </w:r>
      <w:r w:rsidRPr="00016B05">
        <w:rPr>
          <w:rFonts w:ascii="Times New Roman" w:hAnsi="Times New Roman"/>
          <w:szCs w:val="24"/>
        </w:rPr>
        <w:t>fue invocado</w:t>
      </w:r>
      <w:r>
        <w:rPr>
          <w:rFonts w:ascii="Times New Roman" w:hAnsi="Times New Roman"/>
          <w:szCs w:val="24"/>
        </w:rPr>
        <w:t xml:space="preserve"> nuevamente </w:t>
      </w:r>
      <w:r w:rsidR="00016B05" w:rsidRPr="00016B05">
        <w:rPr>
          <w:rFonts w:ascii="Times New Roman" w:hAnsi="Times New Roman"/>
          <w:szCs w:val="24"/>
        </w:rPr>
        <w:t>en tres de</w:t>
      </w:r>
      <w:r>
        <w:rPr>
          <w:rFonts w:ascii="Times New Roman" w:hAnsi="Times New Roman"/>
          <w:szCs w:val="24"/>
        </w:rPr>
        <w:t xml:space="preserve"> cada cuatro demandas de amparo, un total de 5751 veces (74,49% de los recursos de amparo y 73%</w:t>
      </w:r>
      <w:r w:rsidR="00016B05" w:rsidRPr="00016B05">
        <w:rPr>
          <w:rFonts w:ascii="Times New Roman" w:hAnsi="Times New Roman"/>
          <w:szCs w:val="24"/>
        </w:rPr>
        <w:t xml:space="preserve"> de todos los recursos atribuidos al TC). </w:t>
      </w:r>
    </w:p>
    <w:p w14:paraId="779BEE0B" w14:textId="4A8F40E1" w:rsidR="00016B05" w:rsidRDefault="00C7054E" w:rsidP="00AA2BB1">
      <w:pPr>
        <w:pStyle w:val="texto"/>
        <w:ind w:firstLine="0"/>
        <w:rPr>
          <w:rFonts w:ascii="Times New Roman" w:hAnsi="Times New Roman"/>
          <w:szCs w:val="24"/>
        </w:rPr>
      </w:pPr>
      <w:r>
        <w:rPr>
          <w:rFonts w:ascii="Times New Roman" w:hAnsi="Times New Roman"/>
          <w:szCs w:val="24"/>
        </w:rPr>
        <w:lastRenderedPageBreak/>
        <w:t xml:space="preserve">Respecto al art. </w:t>
      </w:r>
      <w:r w:rsidRPr="00016B05">
        <w:rPr>
          <w:rFonts w:ascii="Times New Roman" w:hAnsi="Times New Roman"/>
          <w:szCs w:val="24"/>
        </w:rPr>
        <w:t>24.2 CE, la presunción de inocencia fue invocada en</w:t>
      </w:r>
      <w:r w:rsidR="00016B05" w:rsidRPr="00016B05">
        <w:rPr>
          <w:rFonts w:ascii="Times New Roman" w:hAnsi="Times New Roman"/>
          <w:szCs w:val="24"/>
        </w:rPr>
        <w:t>1157 r</w:t>
      </w:r>
      <w:r>
        <w:rPr>
          <w:rFonts w:ascii="Times New Roman" w:hAnsi="Times New Roman"/>
          <w:szCs w:val="24"/>
        </w:rPr>
        <w:t>ecursos de amparo (14,99%</w:t>
      </w:r>
      <w:r w:rsidR="00016B05" w:rsidRPr="00016B05">
        <w:rPr>
          <w:rFonts w:ascii="Times New Roman" w:hAnsi="Times New Roman"/>
          <w:szCs w:val="24"/>
        </w:rPr>
        <w:t xml:space="preserve"> de éstos); el derecho a un proceso con todas las garantías</w:t>
      </w:r>
      <w:r>
        <w:rPr>
          <w:rFonts w:ascii="Times New Roman" w:hAnsi="Times New Roman"/>
          <w:szCs w:val="24"/>
        </w:rPr>
        <w:t>, en 961 demandas (12,45%</w:t>
      </w:r>
      <w:r w:rsidR="00016B05" w:rsidRPr="00016B05">
        <w:rPr>
          <w:rFonts w:ascii="Times New Roman" w:hAnsi="Times New Roman"/>
          <w:szCs w:val="24"/>
        </w:rPr>
        <w:t>); el derecho a la prueba pertinente, en 27</w:t>
      </w:r>
      <w:r>
        <w:rPr>
          <w:rFonts w:ascii="Times New Roman" w:hAnsi="Times New Roman"/>
          <w:szCs w:val="24"/>
        </w:rPr>
        <w:t>6 (3,57%</w:t>
      </w:r>
      <w:r w:rsidR="00016B05" w:rsidRPr="00016B05">
        <w:rPr>
          <w:rFonts w:ascii="Times New Roman" w:hAnsi="Times New Roman"/>
          <w:szCs w:val="24"/>
        </w:rPr>
        <w:t>); y el derecho a un proceso sin dilacione</w:t>
      </w:r>
      <w:r>
        <w:rPr>
          <w:rFonts w:ascii="Times New Roman" w:hAnsi="Times New Roman"/>
          <w:szCs w:val="24"/>
        </w:rPr>
        <w:t>s indebidas, en 89 (1,15%</w:t>
      </w:r>
      <w:r w:rsidR="00016B05" w:rsidRPr="00016B05">
        <w:rPr>
          <w:rFonts w:ascii="Times New Roman" w:hAnsi="Times New Roman"/>
          <w:szCs w:val="24"/>
        </w:rPr>
        <w:t>).</w:t>
      </w:r>
    </w:p>
    <w:p w14:paraId="6F08B006" w14:textId="0250DA55" w:rsidR="00016B05" w:rsidRDefault="00D02809" w:rsidP="00AA2BB1">
      <w:pPr>
        <w:pStyle w:val="texto"/>
        <w:ind w:firstLine="0"/>
        <w:rPr>
          <w:rFonts w:ascii="Times New Roman" w:hAnsi="Times New Roman"/>
          <w:szCs w:val="24"/>
        </w:rPr>
      </w:pPr>
      <w:r>
        <w:rPr>
          <w:rFonts w:ascii="Times New Roman" w:hAnsi="Times New Roman"/>
          <w:szCs w:val="24"/>
        </w:rPr>
        <w:t xml:space="preserve">En 2004, siguiendo la misma línea, fueron </w:t>
      </w:r>
      <w:r w:rsidR="00016B05" w:rsidRPr="00016B05">
        <w:rPr>
          <w:rFonts w:ascii="Times New Roman" w:hAnsi="Times New Roman"/>
          <w:szCs w:val="24"/>
        </w:rPr>
        <w:t xml:space="preserve">6523 </w:t>
      </w:r>
      <w:r>
        <w:rPr>
          <w:rFonts w:ascii="Times New Roman" w:hAnsi="Times New Roman"/>
          <w:szCs w:val="24"/>
        </w:rPr>
        <w:t xml:space="preserve">los </w:t>
      </w:r>
      <w:r w:rsidR="00016B05" w:rsidRPr="00016B05">
        <w:rPr>
          <w:rFonts w:ascii="Times New Roman" w:hAnsi="Times New Roman"/>
          <w:szCs w:val="24"/>
        </w:rPr>
        <w:t xml:space="preserve">recursos </w:t>
      </w:r>
      <w:r>
        <w:rPr>
          <w:rFonts w:ascii="Times New Roman" w:hAnsi="Times New Roman"/>
          <w:szCs w:val="24"/>
        </w:rPr>
        <w:t>que pidieron</w:t>
      </w:r>
      <w:r w:rsidR="00016B05" w:rsidRPr="00016B05">
        <w:rPr>
          <w:rFonts w:ascii="Times New Roman" w:hAnsi="Times New Roman"/>
          <w:szCs w:val="24"/>
        </w:rPr>
        <w:t xml:space="preserve"> amparo para uno o varios de los derechos </w:t>
      </w:r>
      <w:r>
        <w:rPr>
          <w:rFonts w:ascii="Times New Roman" w:hAnsi="Times New Roman"/>
          <w:szCs w:val="24"/>
        </w:rPr>
        <w:t>a la tutela judicial que enunciados en</w:t>
      </w:r>
      <w:r w:rsidR="00016B05" w:rsidRPr="00016B05">
        <w:rPr>
          <w:rFonts w:ascii="Times New Roman" w:hAnsi="Times New Roman"/>
          <w:szCs w:val="24"/>
        </w:rPr>
        <w:t xml:space="preserve"> el artículo 24 CE</w:t>
      </w:r>
      <w:r>
        <w:rPr>
          <w:rFonts w:ascii="Times New Roman" w:hAnsi="Times New Roman"/>
          <w:szCs w:val="24"/>
        </w:rPr>
        <w:t xml:space="preserve">, es decir, </w:t>
      </w:r>
      <w:r w:rsidR="00016B05" w:rsidRPr="00016B05">
        <w:rPr>
          <w:rFonts w:ascii="Times New Roman" w:hAnsi="Times New Roman"/>
          <w:szCs w:val="24"/>
        </w:rPr>
        <w:t>un 83,48</w:t>
      </w:r>
      <w:r>
        <w:rPr>
          <w:rFonts w:ascii="Times New Roman" w:hAnsi="Times New Roman"/>
          <w:szCs w:val="24"/>
        </w:rPr>
        <w:t>% de los recursos de amparo y un</w:t>
      </w:r>
      <w:r w:rsidR="00016B05" w:rsidRPr="00016B05">
        <w:rPr>
          <w:rFonts w:ascii="Times New Roman" w:hAnsi="Times New Roman"/>
          <w:szCs w:val="24"/>
        </w:rPr>
        <w:t xml:space="preserve"> 82,04</w:t>
      </w:r>
      <w:r>
        <w:rPr>
          <w:rFonts w:ascii="Times New Roman" w:hAnsi="Times New Roman"/>
          <w:szCs w:val="24"/>
        </w:rPr>
        <w:t xml:space="preserve">% en relación a </w:t>
      </w:r>
      <w:r w:rsidR="00016B05" w:rsidRPr="00016B05">
        <w:rPr>
          <w:rFonts w:ascii="Times New Roman" w:hAnsi="Times New Roman"/>
          <w:szCs w:val="24"/>
        </w:rPr>
        <w:t>tod</w:t>
      </w:r>
      <w:r>
        <w:rPr>
          <w:rFonts w:ascii="Times New Roman" w:hAnsi="Times New Roman"/>
          <w:szCs w:val="24"/>
        </w:rPr>
        <w:t>os los recursos sometidos al TC</w:t>
      </w:r>
      <w:r w:rsidR="00016B05" w:rsidRPr="00016B05">
        <w:rPr>
          <w:rFonts w:ascii="Times New Roman" w:hAnsi="Times New Roman"/>
          <w:szCs w:val="24"/>
        </w:rPr>
        <w:t>.</w:t>
      </w:r>
    </w:p>
    <w:p w14:paraId="01B40D80" w14:textId="7B8BBDD6" w:rsidR="00D02809" w:rsidRDefault="00D02809" w:rsidP="00AA2BB1">
      <w:pPr>
        <w:pStyle w:val="texto"/>
        <w:ind w:firstLine="0"/>
        <w:rPr>
          <w:rFonts w:ascii="Times New Roman" w:hAnsi="Times New Roman"/>
          <w:szCs w:val="24"/>
        </w:rPr>
      </w:pPr>
      <w:r w:rsidRPr="00016B05">
        <w:rPr>
          <w:rFonts w:ascii="Times New Roman" w:hAnsi="Times New Roman"/>
          <w:szCs w:val="24"/>
        </w:rPr>
        <w:t xml:space="preserve">El </w:t>
      </w:r>
      <w:r>
        <w:rPr>
          <w:rFonts w:ascii="Times New Roman" w:hAnsi="Times New Roman"/>
          <w:szCs w:val="24"/>
        </w:rPr>
        <w:t xml:space="preserve">art. 24.1 CE </w:t>
      </w:r>
      <w:r w:rsidRPr="00016B05">
        <w:rPr>
          <w:rFonts w:ascii="Times New Roman" w:hAnsi="Times New Roman"/>
          <w:szCs w:val="24"/>
        </w:rPr>
        <w:t>fue invocado</w:t>
      </w:r>
      <w:r>
        <w:rPr>
          <w:rFonts w:ascii="Times New Roman" w:hAnsi="Times New Roman"/>
          <w:szCs w:val="24"/>
        </w:rPr>
        <w:t xml:space="preserve"> </w:t>
      </w:r>
      <w:r w:rsidR="00016B05" w:rsidRPr="00016B05">
        <w:rPr>
          <w:rFonts w:ascii="Times New Roman" w:hAnsi="Times New Roman"/>
          <w:szCs w:val="24"/>
        </w:rPr>
        <w:t>en tres de</w:t>
      </w:r>
      <w:r>
        <w:rPr>
          <w:rFonts w:ascii="Times New Roman" w:hAnsi="Times New Roman"/>
          <w:szCs w:val="24"/>
        </w:rPr>
        <w:t xml:space="preserve"> cada cuatro demandas de amparo,</w:t>
      </w:r>
      <w:r w:rsidR="00016B05" w:rsidRPr="00016B05">
        <w:rPr>
          <w:rFonts w:ascii="Times New Roman" w:hAnsi="Times New Roman"/>
          <w:szCs w:val="24"/>
        </w:rPr>
        <w:t xml:space="preserve"> 5808 veces</w:t>
      </w:r>
      <w:r>
        <w:rPr>
          <w:rFonts w:ascii="Times New Roman" w:hAnsi="Times New Roman"/>
          <w:szCs w:val="24"/>
        </w:rPr>
        <w:t xml:space="preserve">, lo que supuso el </w:t>
      </w:r>
      <w:r w:rsidR="00016B05" w:rsidRPr="00016B05">
        <w:rPr>
          <w:rFonts w:ascii="Times New Roman" w:hAnsi="Times New Roman"/>
          <w:szCs w:val="24"/>
        </w:rPr>
        <w:t>74,33</w:t>
      </w:r>
      <w:r>
        <w:rPr>
          <w:rFonts w:ascii="Times New Roman" w:hAnsi="Times New Roman"/>
          <w:szCs w:val="24"/>
        </w:rPr>
        <w:t>% y el 73,05</w:t>
      </w:r>
      <w:r w:rsidR="00F1749E">
        <w:rPr>
          <w:rFonts w:ascii="Times New Roman" w:hAnsi="Times New Roman"/>
          <w:szCs w:val="24"/>
        </w:rPr>
        <w:t xml:space="preserve">% </w:t>
      </w:r>
      <w:r w:rsidR="00F1749E" w:rsidRPr="00016B05">
        <w:rPr>
          <w:rFonts w:ascii="Times New Roman" w:hAnsi="Times New Roman"/>
          <w:szCs w:val="24"/>
        </w:rPr>
        <w:t>de</w:t>
      </w:r>
      <w:r w:rsidR="00016B05" w:rsidRPr="00016B05">
        <w:rPr>
          <w:rFonts w:ascii="Times New Roman" w:hAnsi="Times New Roman"/>
          <w:szCs w:val="24"/>
        </w:rPr>
        <w:t xml:space="preserve"> todos los recursos sometido</w:t>
      </w:r>
      <w:r>
        <w:rPr>
          <w:rFonts w:ascii="Times New Roman" w:hAnsi="Times New Roman"/>
          <w:szCs w:val="24"/>
        </w:rPr>
        <w:t>s al TC</w:t>
      </w:r>
      <w:r w:rsidR="00016B05" w:rsidRPr="00016B05">
        <w:rPr>
          <w:rFonts w:ascii="Times New Roman" w:hAnsi="Times New Roman"/>
          <w:szCs w:val="24"/>
        </w:rPr>
        <w:t xml:space="preserve">. </w:t>
      </w:r>
    </w:p>
    <w:p w14:paraId="5D6B53AA" w14:textId="4D034D4E" w:rsidR="00016B05" w:rsidRDefault="00D02809" w:rsidP="00AA2BB1">
      <w:pPr>
        <w:pStyle w:val="texto"/>
        <w:ind w:firstLine="0"/>
        <w:rPr>
          <w:rFonts w:ascii="Times New Roman" w:hAnsi="Times New Roman"/>
          <w:szCs w:val="24"/>
        </w:rPr>
      </w:pPr>
      <w:r>
        <w:rPr>
          <w:rFonts w:ascii="Times New Roman" w:hAnsi="Times New Roman"/>
          <w:szCs w:val="24"/>
        </w:rPr>
        <w:t xml:space="preserve">Respecto al 24.2 CE, </w:t>
      </w:r>
      <w:r w:rsidR="00433944">
        <w:rPr>
          <w:rFonts w:ascii="Times New Roman" w:hAnsi="Times New Roman"/>
          <w:szCs w:val="24"/>
        </w:rPr>
        <w:t>presunción de inocencia fue</w:t>
      </w:r>
      <w:r w:rsidR="00016B05" w:rsidRPr="00016B05">
        <w:rPr>
          <w:rFonts w:ascii="Times New Roman" w:hAnsi="Times New Roman"/>
          <w:szCs w:val="24"/>
        </w:rPr>
        <w:t xml:space="preserve"> invocada en 1020 recursos de amparo (13,05</w:t>
      </w:r>
      <w:r w:rsidR="00433944">
        <w:rPr>
          <w:rFonts w:ascii="Times New Roman" w:hAnsi="Times New Roman"/>
          <w:szCs w:val="24"/>
        </w:rPr>
        <w:t xml:space="preserve">% </w:t>
      </w:r>
      <w:r w:rsidR="00016B05" w:rsidRPr="00016B05">
        <w:rPr>
          <w:rFonts w:ascii="Times New Roman" w:hAnsi="Times New Roman"/>
          <w:szCs w:val="24"/>
        </w:rPr>
        <w:t>de éstos); el derecho a un proceso con todas las garantía</w:t>
      </w:r>
      <w:r w:rsidR="00433944">
        <w:rPr>
          <w:rFonts w:ascii="Times New Roman" w:hAnsi="Times New Roman"/>
          <w:szCs w:val="24"/>
        </w:rPr>
        <w:t>s, en 655 demandas (8,38%</w:t>
      </w:r>
      <w:r w:rsidR="00016B05" w:rsidRPr="00016B05">
        <w:rPr>
          <w:rFonts w:ascii="Times New Roman" w:hAnsi="Times New Roman"/>
          <w:szCs w:val="24"/>
        </w:rPr>
        <w:t xml:space="preserve">); el derecho a la prueba </w:t>
      </w:r>
      <w:r w:rsidR="00433944">
        <w:rPr>
          <w:rFonts w:ascii="Times New Roman" w:hAnsi="Times New Roman"/>
          <w:szCs w:val="24"/>
        </w:rPr>
        <w:t>pertinente, en 300 (3,84</w:t>
      </w:r>
      <w:r w:rsidR="00F1749E">
        <w:rPr>
          <w:rFonts w:ascii="Times New Roman" w:hAnsi="Times New Roman"/>
          <w:szCs w:val="24"/>
        </w:rPr>
        <w:t xml:space="preserve">%) </w:t>
      </w:r>
      <w:r w:rsidR="00F1749E" w:rsidRPr="00016B05">
        <w:rPr>
          <w:rFonts w:ascii="Times New Roman" w:hAnsi="Times New Roman"/>
          <w:szCs w:val="24"/>
        </w:rPr>
        <w:t>y</w:t>
      </w:r>
      <w:r w:rsidR="00016B05" w:rsidRPr="00016B05">
        <w:rPr>
          <w:rFonts w:ascii="Times New Roman" w:hAnsi="Times New Roman"/>
          <w:szCs w:val="24"/>
        </w:rPr>
        <w:t xml:space="preserve"> el derecho a un proceso sin dilaciones indebidas, en 17</w:t>
      </w:r>
      <w:r w:rsidR="00433944">
        <w:rPr>
          <w:rFonts w:ascii="Times New Roman" w:hAnsi="Times New Roman"/>
          <w:szCs w:val="24"/>
        </w:rPr>
        <w:t>5 (2,24%</w:t>
      </w:r>
      <w:r w:rsidR="00016B05" w:rsidRPr="00016B05">
        <w:rPr>
          <w:rFonts w:ascii="Times New Roman" w:hAnsi="Times New Roman"/>
          <w:szCs w:val="24"/>
        </w:rPr>
        <w:t>).</w:t>
      </w:r>
    </w:p>
    <w:p w14:paraId="738A0ADE" w14:textId="677C22F1" w:rsidR="00433944" w:rsidRDefault="00433944" w:rsidP="00AA2BB1">
      <w:pPr>
        <w:pStyle w:val="texto"/>
        <w:ind w:firstLine="0"/>
        <w:rPr>
          <w:rFonts w:ascii="Times New Roman" w:hAnsi="Times New Roman"/>
          <w:szCs w:val="24"/>
        </w:rPr>
      </w:pPr>
      <w:r>
        <w:rPr>
          <w:rFonts w:ascii="Times New Roman" w:hAnsi="Times New Roman"/>
          <w:szCs w:val="24"/>
        </w:rPr>
        <w:t xml:space="preserve">En </w:t>
      </w:r>
      <w:r w:rsidR="00016B05">
        <w:rPr>
          <w:rFonts w:ascii="Times New Roman" w:hAnsi="Times New Roman"/>
          <w:szCs w:val="24"/>
        </w:rPr>
        <w:t>2005</w:t>
      </w:r>
      <w:r>
        <w:rPr>
          <w:rFonts w:ascii="Times New Roman" w:hAnsi="Times New Roman"/>
          <w:szCs w:val="24"/>
        </w:rPr>
        <w:t xml:space="preserve"> d</w:t>
      </w:r>
      <w:r w:rsidR="00016B05" w:rsidRPr="00016B05">
        <w:rPr>
          <w:rFonts w:ascii="Times New Roman" w:hAnsi="Times New Roman"/>
          <w:szCs w:val="24"/>
        </w:rPr>
        <w:t xml:space="preserve">e los </w:t>
      </w:r>
      <w:r w:rsidR="00F1749E" w:rsidRPr="00016B05">
        <w:rPr>
          <w:rFonts w:ascii="Times New Roman" w:hAnsi="Times New Roman"/>
          <w:szCs w:val="24"/>
        </w:rPr>
        <w:t xml:space="preserve">recursos </w:t>
      </w:r>
      <w:r w:rsidR="00F1749E">
        <w:rPr>
          <w:rFonts w:ascii="Times New Roman" w:hAnsi="Times New Roman"/>
          <w:szCs w:val="24"/>
        </w:rPr>
        <w:t>que</w:t>
      </w:r>
      <w:r>
        <w:rPr>
          <w:rFonts w:ascii="Times New Roman" w:hAnsi="Times New Roman"/>
          <w:szCs w:val="24"/>
        </w:rPr>
        <w:t xml:space="preserve"> se presentaron ante el TC, 8283 pidieron amparo para alguno </w:t>
      </w:r>
      <w:r w:rsidR="00016B05" w:rsidRPr="00016B05">
        <w:rPr>
          <w:rFonts w:ascii="Times New Roman" w:hAnsi="Times New Roman"/>
          <w:szCs w:val="24"/>
        </w:rPr>
        <w:t xml:space="preserve">de los derechos a la tutela judicial </w:t>
      </w:r>
      <w:r>
        <w:rPr>
          <w:rFonts w:ascii="Times New Roman" w:hAnsi="Times New Roman"/>
          <w:szCs w:val="24"/>
        </w:rPr>
        <w:t xml:space="preserve">del </w:t>
      </w:r>
      <w:r w:rsidR="00016B05" w:rsidRPr="00016B05">
        <w:rPr>
          <w:rFonts w:ascii="Times New Roman" w:hAnsi="Times New Roman"/>
          <w:szCs w:val="24"/>
        </w:rPr>
        <w:t>artículo 24 CE</w:t>
      </w:r>
      <w:r>
        <w:rPr>
          <w:rFonts w:ascii="Times New Roman" w:hAnsi="Times New Roman"/>
          <w:szCs w:val="24"/>
        </w:rPr>
        <w:t xml:space="preserve">, esto es, </w:t>
      </w:r>
      <w:r w:rsidR="00016B05" w:rsidRPr="00016B05">
        <w:rPr>
          <w:rFonts w:ascii="Times New Roman" w:hAnsi="Times New Roman"/>
          <w:szCs w:val="24"/>
        </w:rPr>
        <w:t>el 87,41</w:t>
      </w:r>
      <w:r>
        <w:rPr>
          <w:rFonts w:ascii="Times New Roman" w:hAnsi="Times New Roman"/>
          <w:szCs w:val="24"/>
        </w:rPr>
        <w:t xml:space="preserve">% </w:t>
      </w:r>
      <w:r w:rsidR="00016B05" w:rsidRPr="00016B05">
        <w:rPr>
          <w:rFonts w:ascii="Times New Roman" w:hAnsi="Times New Roman"/>
          <w:szCs w:val="24"/>
        </w:rPr>
        <w:t>de los recursos de amparo</w:t>
      </w:r>
      <w:r>
        <w:rPr>
          <w:rFonts w:ascii="Times New Roman" w:hAnsi="Times New Roman"/>
          <w:szCs w:val="24"/>
        </w:rPr>
        <w:t xml:space="preserve"> ingresados y</w:t>
      </w:r>
      <w:r w:rsidR="00016B05" w:rsidRPr="00016B05">
        <w:rPr>
          <w:rFonts w:ascii="Times New Roman" w:hAnsi="Times New Roman"/>
          <w:szCs w:val="24"/>
        </w:rPr>
        <w:t xml:space="preserve">, </w:t>
      </w:r>
      <w:r>
        <w:rPr>
          <w:rFonts w:ascii="Times New Roman" w:hAnsi="Times New Roman"/>
          <w:szCs w:val="24"/>
        </w:rPr>
        <w:t xml:space="preserve">el </w:t>
      </w:r>
      <w:r w:rsidR="00016B05" w:rsidRPr="00016B05">
        <w:rPr>
          <w:rFonts w:ascii="Times New Roman" w:hAnsi="Times New Roman"/>
          <w:szCs w:val="24"/>
        </w:rPr>
        <w:t>85,32</w:t>
      </w:r>
      <w:r>
        <w:rPr>
          <w:rFonts w:ascii="Times New Roman" w:hAnsi="Times New Roman"/>
          <w:szCs w:val="24"/>
        </w:rPr>
        <w:t xml:space="preserve">% </w:t>
      </w:r>
      <w:r w:rsidR="00016B05" w:rsidRPr="00016B05">
        <w:rPr>
          <w:rFonts w:ascii="Times New Roman" w:hAnsi="Times New Roman"/>
          <w:szCs w:val="24"/>
        </w:rPr>
        <w:t>de tod</w:t>
      </w:r>
      <w:r>
        <w:rPr>
          <w:rFonts w:ascii="Times New Roman" w:hAnsi="Times New Roman"/>
          <w:szCs w:val="24"/>
        </w:rPr>
        <w:t xml:space="preserve">os los recursos presentado ante </w:t>
      </w:r>
      <w:r w:rsidR="00F1749E">
        <w:rPr>
          <w:rFonts w:ascii="Times New Roman" w:hAnsi="Times New Roman"/>
          <w:szCs w:val="24"/>
        </w:rPr>
        <w:t>el TC</w:t>
      </w:r>
      <w:r w:rsidR="00016B05" w:rsidRPr="00016B05">
        <w:rPr>
          <w:rFonts w:ascii="Times New Roman" w:hAnsi="Times New Roman"/>
          <w:szCs w:val="24"/>
        </w:rPr>
        <w:t>.</w:t>
      </w:r>
    </w:p>
    <w:p w14:paraId="4CEE2E8C" w14:textId="77777777" w:rsidR="00433944" w:rsidRDefault="00433944" w:rsidP="00AA2BB1">
      <w:pPr>
        <w:pStyle w:val="texto"/>
        <w:ind w:firstLine="0"/>
        <w:rPr>
          <w:rFonts w:ascii="Times New Roman" w:hAnsi="Times New Roman"/>
          <w:szCs w:val="24"/>
        </w:rPr>
      </w:pPr>
      <w:r>
        <w:rPr>
          <w:rFonts w:ascii="Times New Roman" w:hAnsi="Times New Roman"/>
          <w:szCs w:val="24"/>
        </w:rPr>
        <w:t>El art. 21.4 CE fue alegado en</w:t>
      </w:r>
      <w:r w:rsidR="00016B05" w:rsidRPr="00016B05">
        <w:rPr>
          <w:rFonts w:ascii="Times New Roman" w:hAnsi="Times New Roman"/>
          <w:szCs w:val="24"/>
        </w:rPr>
        <w:t xml:space="preserve"> 7499 </w:t>
      </w:r>
      <w:r>
        <w:rPr>
          <w:rFonts w:ascii="Times New Roman" w:hAnsi="Times New Roman"/>
          <w:szCs w:val="24"/>
        </w:rPr>
        <w:t xml:space="preserve">ocasiones, </w:t>
      </w:r>
      <w:r w:rsidR="00016B05" w:rsidRPr="00016B05">
        <w:rPr>
          <w:rFonts w:ascii="Times New Roman" w:hAnsi="Times New Roman"/>
          <w:szCs w:val="24"/>
        </w:rPr>
        <w:t>(79,</w:t>
      </w:r>
      <w:r>
        <w:rPr>
          <w:rFonts w:ascii="Times New Roman" w:hAnsi="Times New Roman"/>
          <w:szCs w:val="24"/>
        </w:rPr>
        <w:t>14% de los recursos de amparo y</w:t>
      </w:r>
      <w:r w:rsidR="00016B05" w:rsidRPr="00016B05">
        <w:rPr>
          <w:rFonts w:ascii="Times New Roman" w:hAnsi="Times New Roman"/>
          <w:szCs w:val="24"/>
        </w:rPr>
        <w:t xml:space="preserve"> 77,25</w:t>
      </w:r>
      <w:r>
        <w:rPr>
          <w:rFonts w:ascii="Times New Roman" w:hAnsi="Times New Roman"/>
          <w:szCs w:val="24"/>
        </w:rPr>
        <w:t xml:space="preserve">% </w:t>
      </w:r>
      <w:r w:rsidR="00016B05" w:rsidRPr="00016B05">
        <w:rPr>
          <w:rFonts w:ascii="Times New Roman" w:hAnsi="Times New Roman"/>
          <w:szCs w:val="24"/>
        </w:rPr>
        <w:t xml:space="preserve">de todos los recursos sometidos a la jurisdicción del Tribunal). </w:t>
      </w:r>
    </w:p>
    <w:p w14:paraId="4FE20E09" w14:textId="55DD477B" w:rsidR="00016B05" w:rsidRDefault="00433944" w:rsidP="00AA2BB1">
      <w:pPr>
        <w:pStyle w:val="texto"/>
        <w:ind w:firstLine="0"/>
        <w:rPr>
          <w:rFonts w:ascii="Times New Roman" w:hAnsi="Times New Roman"/>
          <w:szCs w:val="24"/>
        </w:rPr>
      </w:pPr>
      <w:r>
        <w:rPr>
          <w:rFonts w:ascii="Times New Roman" w:hAnsi="Times New Roman"/>
          <w:szCs w:val="24"/>
        </w:rPr>
        <w:t xml:space="preserve">Respecto al </w:t>
      </w:r>
      <w:r w:rsidR="00016B05" w:rsidRPr="00016B05">
        <w:rPr>
          <w:rFonts w:ascii="Times New Roman" w:hAnsi="Times New Roman"/>
          <w:szCs w:val="24"/>
        </w:rPr>
        <w:t>art. 24.2 C</w:t>
      </w:r>
      <w:r>
        <w:rPr>
          <w:rFonts w:ascii="Times New Roman" w:hAnsi="Times New Roman"/>
          <w:szCs w:val="24"/>
        </w:rPr>
        <w:t xml:space="preserve">E, la presunción de inocencia fue alegada </w:t>
      </w:r>
      <w:r w:rsidR="00016B05" w:rsidRPr="00016B05">
        <w:rPr>
          <w:rFonts w:ascii="Times New Roman" w:hAnsi="Times New Roman"/>
          <w:szCs w:val="24"/>
        </w:rPr>
        <w:t>en 1250 recursos d</w:t>
      </w:r>
      <w:r>
        <w:rPr>
          <w:rFonts w:ascii="Times New Roman" w:hAnsi="Times New Roman"/>
          <w:szCs w:val="24"/>
        </w:rPr>
        <w:t>e amparo (13,19%</w:t>
      </w:r>
      <w:r w:rsidR="00016B05" w:rsidRPr="00016B05">
        <w:rPr>
          <w:rFonts w:ascii="Times New Roman" w:hAnsi="Times New Roman"/>
          <w:szCs w:val="24"/>
        </w:rPr>
        <w:t>); el derecho a un proceso con todas las garantía</w:t>
      </w:r>
      <w:r>
        <w:rPr>
          <w:rFonts w:ascii="Times New Roman" w:hAnsi="Times New Roman"/>
          <w:szCs w:val="24"/>
        </w:rPr>
        <w:t>s, en 586 demandas (6,18%</w:t>
      </w:r>
      <w:r w:rsidR="00016B05" w:rsidRPr="00016B05">
        <w:rPr>
          <w:rFonts w:ascii="Times New Roman" w:hAnsi="Times New Roman"/>
          <w:szCs w:val="24"/>
        </w:rPr>
        <w:t xml:space="preserve">); el derecho a la prueba </w:t>
      </w:r>
      <w:r>
        <w:rPr>
          <w:rFonts w:ascii="Times New Roman" w:hAnsi="Times New Roman"/>
          <w:szCs w:val="24"/>
        </w:rPr>
        <w:t>pertinente, en 280 (2,95%</w:t>
      </w:r>
      <w:r w:rsidR="00016B05" w:rsidRPr="00016B05">
        <w:rPr>
          <w:rFonts w:ascii="Times New Roman" w:hAnsi="Times New Roman"/>
          <w:szCs w:val="24"/>
        </w:rPr>
        <w:t>); y el derecho a un proceso sin dilaci</w:t>
      </w:r>
      <w:r>
        <w:rPr>
          <w:rFonts w:ascii="Times New Roman" w:hAnsi="Times New Roman"/>
          <w:szCs w:val="24"/>
        </w:rPr>
        <w:t>ones indebidas, en 95 (1%</w:t>
      </w:r>
      <w:r w:rsidR="00016B05" w:rsidRPr="00016B05">
        <w:rPr>
          <w:rFonts w:ascii="Times New Roman" w:hAnsi="Times New Roman"/>
          <w:szCs w:val="24"/>
        </w:rPr>
        <w:t>).</w:t>
      </w:r>
    </w:p>
    <w:p w14:paraId="76A56407" w14:textId="60D05B18" w:rsidR="00433944" w:rsidRDefault="00433944" w:rsidP="00AA2BB1">
      <w:pPr>
        <w:pStyle w:val="texto"/>
        <w:ind w:firstLine="0"/>
        <w:rPr>
          <w:rFonts w:ascii="Times New Roman" w:hAnsi="Times New Roman"/>
          <w:szCs w:val="24"/>
        </w:rPr>
      </w:pPr>
      <w:r>
        <w:rPr>
          <w:rFonts w:ascii="Times New Roman" w:hAnsi="Times New Roman"/>
          <w:szCs w:val="24"/>
        </w:rPr>
        <w:t xml:space="preserve">Finalmente, en </w:t>
      </w:r>
      <w:r w:rsidR="00016B05">
        <w:rPr>
          <w:rFonts w:ascii="Times New Roman" w:hAnsi="Times New Roman"/>
          <w:szCs w:val="24"/>
        </w:rPr>
        <w:t>2006</w:t>
      </w:r>
      <w:r>
        <w:rPr>
          <w:rFonts w:ascii="Times New Roman" w:hAnsi="Times New Roman"/>
          <w:szCs w:val="24"/>
        </w:rPr>
        <w:t>, el año previo a la reforma, 10.234 recursos pidieron amparo para alguno</w:t>
      </w:r>
      <w:r w:rsidR="00016B05" w:rsidRPr="00016B05">
        <w:rPr>
          <w:rFonts w:ascii="Times New Roman" w:hAnsi="Times New Roman"/>
          <w:szCs w:val="24"/>
        </w:rPr>
        <w:t xml:space="preserve"> de los derechos del</w:t>
      </w:r>
      <w:r>
        <w:rPr>
          <w:rFonts w:ascii="Times New Roman" w:hAnsi="Times New Roman"/>
          <w:szCs w:val="24"/>
        </w:rPr>
        <w:t xml:space="preserve"> artículo 24 CE, es decir, un</w:t>
      </w:r>
      <w:r w:rsidR="00016B05" w:rsidRPr="00016B05">
        <w:rPr>
          <w:rFonts w:ascii="Times New Roman" w:hAnsi="Times New Roman"/>
          <w:szCs w:val="24"/>
        </w:rPr>
        <w:t xml:space="preserve"> 89,22 </w:t>
      </w:r>
      <w:r>
        <w:rPr>
          <w:rFonts w:ascii="Times New Roman" w:hAnsi="Times New Roman"/>
          <w:szCs w:val="24"/>
        </w:rPr>
        <w:t xml:space="preserve">% </w:t>
      </w:r>
      <w:r w:rsidR="00016B05" w:rsidRPr="00016B05">
        <w:rPr>
          <w:rFonts w:ascii="Times New Roman" w:hAnsi="Times New Roman"/>
          <w:szCs w:val="24"/>
        </w:rPr>
        <w:t xml:space="preserve">de los recursos de amparo </w:t>
      </w:r>
      <w:r>
        <w:rPr>
          <w:rFonts w:ascii="Times New Roman" w:hAnsi="Times New Roman"/>
          <w:szCs w:val="24"/>
        </w:rPr>
        <w:t xml:space="preserve">alegaron este artículo. Esto supone el </w:t>
      </w:r>
      <w:r w:rsidR="00016B05" w:rsidRPr="00016B05">
        <w:rPr>
          <w:rFonts w:ascii="Times New Roman" w:hAnsi="Times New Roman"/>
          <w:szCs w:val="24"/>
        </w:rPr>
        <w:t>87,16</w:t>
      </w:r>
      <w:r w:rsidR="00F1749E">
        <w:rPr>
          <w:rFonts w:ascii="Times New Roman" w:hAnsi="Times New Roman"/>
          <w:szCs w:val="24"/>
        </w:rPr>
        <w:t>% de</w:t>
      </w:r>
      <w:r w:rsidR="00016B05" w:rsidRPr="00016B05">
        <w:rPr>
          <w:rFonts w:ascii="Times New Roman" w:hAnsi="Times New Roman"/>
          <w:szCs w:val="24"/>
        </w:rPr>
        <w:t xml:space="preserve"> todos los recursos som</w:t>
      </w:r>
      <w:r>
        <w:rPr>
          <w:rFonts w:ascii="Times New Roman" w:hAnsi="Times New Roman"/>
          <w:szCs w:val="24"/>
        </w:rPr>
        <w:t>etidos a la jurisdicción del TC</w:t>
      </w:r>
      <w:r w:rsidR="00016B05" w:rsidRPr="00016B05">
        <w:rPr>
          <w:rFonts w:ascii="Times New Roman" w:hAnsi="Times New Roman"/>
          <w:szCs w:val="24"/>
        </w:rPr>
        <w:t xml:space="preserve">. </w:t>
      </w:r>
    </w:p>
    <w:p w14:paraId="1AB76542" w14:textId="77777777" w:rsidR="00433944" w:rsidRDefault="00433944" w:rsidP="00AA2BB1">
      <w:pPr>
        <w:pStyle w:val="texto"/>
        <w:ind w:firstLine="0"/>
        <w:rPr>
          <w:rFonts w:ascii="Times New Roman" w:hAnsi="Times New Roman"/>
          <w:szCs w:val="24"/>
        </w:rPr>
      </w:pPr>
      <w:r>
        <w:rPr>
          <w:rFonts w:ascii="Times New Roman" w:hAnsi="Times New Roman"/>
          <w:szCs w:val="24"/>
        </w:rPr>
        <w:lastRenderedPageBreak/>
        <w:t xml:space="preserve">Respecto al </w:t>
      </w:r>
      <w:r w:rsidR="00016B05" w:rsidRPr="00016B05">
        <w:rPr>
          <w:rFonts w:ascii="Times New Roman" w:hAnsi="Times New Roman"/>
          <w:szCs w:val="24"/>
        </w:rPr>
        <w:t>derecho a la tutela judicial efectiva s</w:t>
      </w:r>
      <w:r>
        <w:rPr>
          <w:rFonts w:ascii="Times New Roman" w:hAnsi="Times New Roman"/>
          <w:szCs w:val="24"/>
        </w:rPr>
        <w:t>in indefensión (art. 24.1 CE), fue</w:t>
      </w:r>
      <w:r w:rsidR="00016B05" w:rsidRPr="00016B05">
        <w:rPr>
          <w:rFonts w:ascii="Times New Roman" w:hAnsi="Times New Roman"/>
          <w:szCs w:val="24"/>
        </w:rPr>
        <w:t xml:space="preserve"> inv</w:t>
      </w:r>
      <w:r>
        <w:rPr>
          <w:rFonts w:ascii="Times New Roman" w:hAnsi="Times New Roman"/>
          <w:szCs w:val="24"/>
        </w:rPr>
        <w:t xml:space="preserve">ocado 9.580 veces (83,51% de los recursos de amparo y </w:t>
      </w:r>
      <w:r w:rsidR="00016B05" w:rsidRPr="00016B05">
        <w:rPr>
          <w:rFonts w:ascii="Times New Roman" w:hAnsi="Times New Roman"/>
          <w:szCs w:val="24"/>
        </w:rPr>
        <w:t>81,59</w:t>
      </w:r>
      <w:r>
        <w:rPr>
          <w:rFonts w:ascii="Times New Roman" w:hAnsi="Times New Roman"/>
          <w:szCs w:val="24"/>
        </w:rPr>
        <w:t xml:space="preserve">% </w:t>
      </w:r>
      <w:r w:rsidR="00016B05" w:rsidRPr="00016B05">
        <w:rPr>
          <w:rFonts w:ascii="Times New Roman" w:hAnsi="Times New Roman"/>
          <w:szCs w:val="24"/>
        </w:rPr>
        <w:t>de todos los recursos sometidos</w:t>
      </w:r>
      <w:r>
        <w:rPr>
          <w:rFonts w:ascii="Times New Roman" w:hAnsi="Times New Roman"/>
          <w:szCs w:val="24"/>
        </w:rPr>
        <w:t xml:space="preserve"> a la jurisdicción del Tribunal</w:t>
      </w:r>
      <w:r w:rsidR="00016B05" w:rsidRPr="00016B05">
        <w:rPr>
          <w:rFonts w:ascii="Times New Roman" w:hAnsi="Times New Roman"/>
          <w:szCs w:val="24"/>
        </w:rPr>
        <w:t>.</w:t>
      </w:r>
    </w:p>
    <w:p w14:paraId="7B93FFB8" w14:textId="2814F0EB" w:rsidR="00016B05" w:rsidRDefault="00433944" w:rsidP="00AA2BB1">
      <w:pPr>
        <w:pStyle w:val="texto"/>
        <w:ind w:firstLine="0"/>
        <w:rPr>
          <w:rFonts w:ascii="Times New Roman" w:hAnsi="Times New Roman"/>
          <w:szCs w:val="24"/>
        </w:rPr>
      </w:pPr>
      <w:r>
        <w:rPr>
          <w:rFonts w:ascii="Times New Roman" w:hAnsi="Times New Roman"/>
          <w:szCs w:val="24"/>
        </w:rPr>
        <w:t xml:space="preserve">Por su parte, de los supuestos contenido en el </w:t>
      </w:r>
      <w:r w:rsidR="00016B05" w:rsidRPr="00016B05">
        <w:rPr>
          <w:rFonts w:ascii="Times New Roman" w:hAnsi="Times New Roman"/>
          <w:szCs w:val="24"/>
        </w:rPr>
        <w:t>art. 24.2 C</w:t>
      </w:r>
      <w:r>
        <w:rPr>
          <w:rFonts w:ascii="Times New Roman" w:hAnsi="Times New Roman"/>
          <w:szCs w:val="24"/>
        </w:rPr>
        <w:t>E, la presunción de inocencia fue</w:t>
      </w:r>
      <w:r w:rsidR="00016B05" w:rsidRPr="00016B05">
        <w:rPr>
          <w:rFonts w:ascii="Times New Roman" w:hAnsi="Times New Roman"/>
          <w:szCs w:val="24"/>
        </w:rPr>
        <w:t xml:space="preserve"> invocada en 1.328 recursos (11,58</w:t>
      </w:r>
      <w:r>
        <w:rPr>
          <w:rFonts w:ascii="Times New Roman" w:hAnsi="Times New Roman"/>
          <w:szCs w:val="24"/>
        </w:rPr>
        <w:t>%</w:t>
      </w:r>
      <w:r w:rsidR="00016B05" w:rsidRPr="00016B05">
        <w:rPr>
          <w:rFonts w:ascii="Times New Roman" w:hAnsi="Times New Roman"/>
          <w:szCs w:val="24"/>
        </w:rPr>
        <w:t xml:space="preserve">); el derecho a un proceso con todas las garantías, en 661 demandas (5,76 </w:t>
      </w:r>
      <w:r>
        <w:rPr>
          <w:rFonts w:ascii="Times New Roman" w:hAnsi="Times New Roman"/>
          <w:szCs w:val="24"/>
        </w:rPr>
        <w:t>%p</w:t>
      </w:r>
      <w:r w:rsidR="00016B05" w:rsidRPr="00016B05">
        <w:rPr>
          <w:rFonts w:ascii="Times New Roman" w:hAnsi="Times New Roman"/>
          <w:szCs w:val="24"/>
        </w:rPr>
        <w:t>); el derecho a la prueba pertinente, en 261 (2,28</w:t>
      </w:r>
      <w:r>
        <w:rPr>
          <w:rFonts w:ascii="Times New Roman" w:hAnsi="Times New Roman"/>
          <w:szCs w:val="24"/>
        </w:rPr>
        <w:t>%</w:t>
      </w:r>
      <w:r w:rsidR="00016B05" w:rsidRPr="00016B05">
        <w:rPr>
          <w:rFonts w:ascii="Times New Roman" w:hAnsi="Times New Roman"/>
          <w:szCs w:val="24"/>
        </w:rPr>
        <w:t>); y el derecho a un proceso sin dilacio</w:t>
      </w:r>
      <w:r>
        <w:rPr>
          <w:rFonts w:ascii="Times New Roman" w:hAnsi="Times New Roman"/>
          <w:szCs w:val="24"/>
        </w:rPr>
        <w:t>nes indebidas, en 144 (1,26%</w:t>
      </w:r>
      <w:r w:rsidR="00016B05" w:rsidRPr="00016B05">
        <w:rPr>
          <w:rFonts w:ascii="Times New Roman" w:hAnsi="Times New Roman"/>
          <w:szCs w:val="24"/>
        </w:rPr>
        <w:t>).</w:t>
      </w:r>
    </w:p>
    <w:p w14:paraId="466B3838" w14:textId="3B6E7A1D" w:rsidR="00433944" w:rsidRPr="00031CA2" w:rsidRDefault="007A592D" w:rsidP="00AA2BB1">
      <w:pPr>
        <w:pStyle w:val="texto"/>
        <w:ind w:firstLine="0"/>
        <w:rPr>
          <w:rFonts w:ascii="Times New Roman" w:hAnsi="Times New Roman"/>
          <w:szCs w:val="24"/>
        </w:rPr>
      </w:pPr>
      <w:r>
        <w:rPr>
          <w:rFonts w:ascii="Times New Roman" w:hAnsi="Times New Roman"/>
          <w:szCs w:val="24"/>
        </w:rPr>
        <w:t>Analizando estas cifras podemos ver claramente que la carga de trabajo de nuestro TC disminuiría enormemente si elimináramos la posibilidad de alegar este artículo en las demandas de amparo.</w:t>
      </w:r>
    </w:p>
    <w:p w14:paraId="6F7587AE" w14:textId="24035E7B" w:rsidR="0096530E" w:rsidRPr="0097072F" w:rsidRDefault="0097072F" w:rsidP="00AA2BB1">
      <w:pPr>
        <w:pStyle w:val="texto"/>
        <w:ind w:firstLine="0"/>
        <w:rPr>
          <w:rFonts w:ascii="Times New Roman" w:hAnsi="Times New Roman"/>
          <w:szCs w:val="24"/>
        </w:rPr>
      </w:pPr>
      <w:r w:rsidRPr="0097072F">
        <w:rPr>
          <w:rFonts w:ascii="Times New Roman" w:hAnsi="Times New Roman"/>
          <w:szCs w:val="24"/>
        </w:rPr>
        <w:t>Atendiendo a D</w:t>
      </w:r>
      <w:r>
        <w:rPr>
          <w:rFonts w:ascii="Times New Roman" w:hAnsi="Times New Roman"/>
          <w:szCs w:val="24"/>
        </w:rPr>
        <w:t xml:space="preserve">E LA OLIVA, se pretendía encontrar apoyo a </w:t>
      </w:r>
      <w:r w:rsidR="0096530E" w:rsidRPr="0097072F">
        <w:rPr>
          <w:rFonts w:ascii="Times New Roman" w:hAnsi="Times New Roman"/>
          <w:szCs w:val="24"/>
        </w:rPr>
        <w:t xml:space="preserve">esta propuesta </w:t>
      </w:r>
      <w:r>
        <w:rPr>
          <w:rFonts w:ascii="Times New Roman" w:hAnsi="Times New Roman"/>
          <w:szCs w:val="24"/>
        </w:rPr>
        <w:t xml:space="preserve">en lo establecido en </w:t>
      </w:r>
      <w:r w:rsidR="0096530E" w:rsidRPr="0097072F">
        <w:rPr>
          <w:rFonts w:ascii="Times New Roman" w:hAnsi="Times New Roman"/>
          <w:szCs w:val="24"/>
        </w:rPr>
        <w:t xml:space="preserve">la letra </w:t>
      </w:r>
      <w:r w:rsidRPr="0097072F">
        <w:rPr>
          <w:rFonts w:ascii="Times New Roman" w:hAnsi="Times New Roman"/>
          <w:szCs w:val="24"/>
        </w:rPr>
        <w:t>b) del art. 161.1 CE, que remitía</w:t>
      </w:r>
      <w:r w:rsidR="0096530E" w:rsidRPr="0097072F">
        <w:rPr>
          <w:rFonts w:ascii="Times New Roman" w:hAnsi="Times New Roman"/>
          <w:szCs w:val="24"/>
        </w:rPr>
        <w:t xml:space="preserve"> a la ley para establecer “los casos y formas” del recurso de amparo.</w:t>
      </w:r>
      <w:r w:rsidR="00AA2BB1">
        <w:rPr>
          <w:rFonts w:ascii="Times New Roman" w:hAnsi="Times New Roman"/>
          <w:szCs w:val="24"/>
        </w:rPr>
        <w:t xml:space="preserve"> Según el</w:t>
      </w:r>
      <w:r w:rsidRPr="0097072F">
        <w:rPr>
          <w:rFonts w:ascii="Times New Roman" w:hAnsi="Times New Roman"/>
          <w:szCs w:val="24"/>
        </w:rPr>
        <w:t xml:space="preserve"> autor</w:t>
      </w:r>
      <w:r w:rsidR="00AA2BB1">
        <w:rPr>
          <w:rFonts w:ascii="Times New Roman" w:hAnsi="Times New Roman"/>
          <w:szCs w:val="24"/>
        </w:rPr>
        <w:t>:</w:t>
      </w:r>
      <w:r w:rsidRPr="0097072F">
        <w:rPr>
          <w:rFonts w:ascii="Times New Roman" w:hAnsi="Times New Roman"/>
          <w:szCs w:val="24"/>
        </w:rPr>
        <w:t xml:space="preserve"> </w:t>
      </w:r>
      <w:r w:rsidRPr="0097072F">
        <w:rPr>
          <w:rFonts w:ascii="Times New Roman" w:hAnsi="Times New Roman"/>
          <w:i/>
          <w:szCs w:val="24"/>
        </w:rPr>
        <w:t>“</w:t>
      </w:r>
      <w:r w:rsidR="0096530E" w:rsidRPr="0097072F">
        <w:rPr>
          <w:rFonts w:ascii="Times New Roman" w:hAnsi="Times New Roman"/>
          <w:i/>
          <w:szCs w:val="24"/>
        </w:rPr>
        <w:t>La extrema debilidad de esa apoyatura constitucional consistía en prescindir de que la misma letra b) del art. 161.1 CE prevé el recurso de amparo ante el TC “por violación de los derechos y libertades referidos en el artículo 53.2 de esta Constitución”, de suerte que excluir del amparo los derechos fundamentales del art. 24 CE supondría infringir ese texto constitucional, porque el art. 53.2 CE incluye indudablemente los derechos del art. 24 CE. Por lo demás, nada en la Constitución autorizaba ni autoriza al legislador ordinario para atribuir a priori a unos derechos fundamentales una mayor categoría, eficacia y protección que a otros.</w:t>
      </w:r>
      <w:r w:rsidRPr="0097072F">
        <w:rPr>
          <w:rFonts w:ascii="Times New Roman" w:hAnsi="Times New Roman"/>
          <w:i/>
          <w:szCs w:val="24"/>
        </w:rPr>
        <w:t>”</w:t>
      </w:r>
      <w:r w:rsidRPr="0097072F">
        <w:rPr>
          <w:rStyle w:val="Refdenotaalpie"/>
          <w:rFonts w:ascii="Times New Roman" w:hAnsi="Times New Roman"/>
          <w:szCs w:val="24"/>
        </w:rPr>
        <w:t xml:space="preserve"> </w:t>
      </w:r>
      <w:r w:rsidRPr="0097072F">
        <w:rPr>
          <w:rStyle w:val="Refdenotaalpie"/>
          <w:rFonts w:ascii="Times New Roman" w:hAnsi="Times New Roman"/>
          <w:szCs w:val="24"/>
        </w:rPr>
        <w:footnoteReference w:id="76"/>
      </w:r>
    </w:p>
    <w:p w14:paraId="6C48830F" w14:textId="77777777" w:rsidR="008A2FC2" w:rsidRPr="00500DB3" w:rsidRDefault="008A2FC2" w:rsidP="00AA2BB1">
      <w:pPr>
        <w:pStyle w:val="texto"/>
        <w:ind w:firstLine="0"/>
        <w:rPr>
          <w:rFonts w:ascii="Times New Roman" w:hAnsi="Times New Roman"/>
          <w:szCs w:val="24"/>
        </w:rPr>
      </w:pPr>
      <w:r>
        <w:rPr>
          <w:rFonts w:ascii="Times New Roman" w:hAnsi="Times New Roman"/>
          <w:szCs w:val="24"/>
        </w:rPr>
        <w:t xml:space="preserve">No faltaron, sin embargo, autores que rechazan esta idea de sacar de los derechos susceptibles de amparo al artículo 24 CE. </w:t>
      </w:r>
      <w:r w:rsidRPr="00500DB3">
        <w:rPr>
          <w:rFonts w:ascii="Times New Roman" w:hAnsi="Times New Roman"/>
          <w:szCs w:val="24"/>
        </w:rPr>
        <w:t>Podemos destacar a GARRO VARGAS</w:t>
      </w:r>
      <w:r w:rsidRPr="00500DB3">
        <w:rPr>
          <w:rStyle w:val="Refdenotaalpie"/>
          <w:rFonts w:ascii="Times New Roman" w:hAnsi="Times New Roman"/>
          <w:szCs w:val="24"/>
        </w:rPr>
        <w:footnoteReference w:id="77"/>
      </w:r>
      <w:r w:rsidRPr="00500DB3">
        <w:rPr>
          <w:rFonts w:ascii="Times New Roman" w:hAnsi="Times New Roman"/>
          <w:szCs w:val="24"/>
        </w:rPr>
        <w:t xml:space="preserve">, la cual mantiene que, si el TC en su momento determinó el alcance material del art. 53.2 CE, en lo que respecta a cuáles son los derechos fundamentales protegidos por las garantías jurisdiccionales y ello en la práctica supone perfilar su propia competencia, </w:t>
      </w:r>
      <w:r w:rsidRPr="00500DB3">
        <w:rPr>
          <w:rFonts w:ascii="Times New Roman" w:hAnsi="Times New Roman"/>
          <w:i/>
          <w:szCs w:val="24"/>
        </w:rPr>
        <w:t xml:space="preserve">«conviene que esa labor interpretativa se extienda también a las garantías procesales establecidas en ese art. 24 CE. (…) Pero ciertamente se puede sostener que el art. 53.2 </w:t>
      </w:r>
      <w:r w:rsidRPr="00500DB3">
        <w:rPr>
          <w:rFonts w:ascii="Times New Roman" w:hAnsi="Times New Roman"/>
          <w:i/>
          <w:szCs w:val="24"/>
        </w:rPr>
        <w:lastRenderedPageBreak/>
        <w:t>CE, al establecer esas garantías jurisdiccionales y al fijarles su ámbito, se refiere más al campo del derecho sustantivo; en cambio, el contenido propio del art. 24 CE es el alcance, las características e incluso el modo de hacer valer unos derechos y éste de suyo pertenece al campo del derecho adjetivo, y vincula de manera particular a quienes ejercen la jurisdicción ordinaria»</w:t>
      </w:r>
      <w:r w:rsidRPr="00500DB3">
        <w:rPr>
          <w:rFonts w:ascii="Times New Roman" w:hAnsi="Times New Roman"/>
          <w:szCs w:val="24"/>
        </w:rPr>
        <w:t>. Añade a continuación la conveniencia de no restar del ámbito de los derechos amparables el art. 24 CE, pues este artículo tiene su fundamento, precisamente, en el afán de dar consistencia y unidad al ordenamiento en materia de tan capital importancia.</w:t>
      </w:r>
    </w:p>
    <w:p w14:paraId="0AE3052A" w14:textId="6E27A037" w:rsidR="0096530E" w:rsidRDefault="008A2FC2" w:rsidP="00AA2BB1">
      <w:pPr>
        <w:pStyle w:val="texto"/>
        <w:ind w:firstLine="0"/>
        <w:rPr>
          <w:rFonts w:ascii="Times New Roman" w:hAnsi="Times New Roman"/>
          <w:szCs w:val="24"/>
        </w:rPr>
      </w:pPr>
      <w:r>
        <w:rPr>
          <w:rFonts w:ascii="Times New Roman" w:hAnsi="Times New Roman"/>
          <w:szCs w:val="24"/>
        </w:rPr>
        <w:t>En definitiva,</w:t>
      </w:r>
      <w:r w:rsidR="0097072F" w:rsidRPr="006A18D7">
        <w:rPr>
          <w:rFonts w:ascii="Times New Roman" w:hAnsi="Times New Roman"/>
          <w:szCs w:val="24"/>
        </w:rPr>
        <w:t xml:space="preserve"> aunque esta propuesta pareciese en un principio un buen remedio para el colapso del TC,</w:t>
      </w:r>
      <w:r w:rsidR="0097072F">
        <w:rPr>
          <w:rFonts w:ascii="Times New Roman" w:hAnsi="Times New Roman"/>
          <w:szCs w:val="24"/>
        </w:rPr>
        <w:t xml:space="preserve"> </w:t>
      </w:r>
      <w:r>
        <w:rPr>
          <w:rFonts w:ascii="Times New Roman" w:hAnsi="Times New Roman"/>
          <w:szCs w:val="24"/>
        </w:rPr>
        <w:t>no dejaba de presentar múltiples inconvenientes además de carecer de cobertura constitucional para su ejecución.</w:t>
      </w:r>
    </w:p>
    <w:p w14:paraId="53C3C67E" w14:textId="51995514" w:rsidR="008478C1" w:rsidRPr="00500DB3" w:rsidRDefault="00FD270E" w:rsidP="00AA2BB1">
      <w:pPr>
        <w:pStyle w:val="Ttulo3"/>
      </w:pPr>
      <w:bookmarkStart w:id="153" w:name="_Toc400644288"/>
      <w:bookmarkStart w:id="154" w:name="_Toc401009644"/>
      <w:bookmarkStart w:id="155" w:name="_Toc468382156"/>
      <w:bookmarkStart w:id="156" w:name="_Toc530596847"/>
      <w:bookmarkStart w:id="157" w:name="_Toc49423611"/>
      <w:bookmarkStart w:id="158" w:name="_Toc49708566"/>
      <w:bookmarkStart w:id="159" w:name="_Toc49790252"/>
      <w:bookmarkStart w:id="160" w:name="_Toc49866488"/>
      <w:bookmarkStart w:id="161" w:name="_Toc50373142"/>
      <w:r w:rsidRPr="00500DB3">
        <w:t>La ampliación del contenido de otros derechos</w:t>
      </w:r>
      <w:bookmarkEnd w:id="153"/>
      <w:bookmarkEnd w:id="154"/>
      <w:bookmarkEnd w:id="155"/>
      <w:bookmarkEnd w:id="156"/>
      <w:bookmarkEnd w:id="157"/>
      <w:bookmarkEnd w:id="158"/>
      <w:bookmarkEnd w:id="159"/>
      <w:bookmarkEnd w:id="160"/>
      <w:bookmarkEnd w:id="161"/>
    </w:p>
    <w:p w14:paraId="18A2BFF2" w14:textId="04509E48" w:rsidR="00973BCF" w:rsidRPr="00500DB3" w:rsidRDefault="00973BCF" w:rsidP="00AA2BB1">
      <w:pPr>
        <w:pStyle w:val="texto"/>
        <w:ind w:firstLine="0"/>
        <w:rPr>
          <w:rFonts w:ascii="Times New Roman" w:hAnsi="Times New Roman"/>
          <w:szCs w:val="24"/>
        </w:rPr>
      </w:pPr>
      <w:r w:rsidRPr="00500DB3">
        <w:rPr>
          <w:rFonts w:ascii="Times New Roman" w:hAnsi="Times New Roman"/>
          <w:szCs w:val="24"/>
        </w:rPr>
        <w:t>En los últimos añ</w:t>
      </w:r>
      <w:r w:rsidR="0060590D" w:rsidRPr="00500DB3">
        <w:rPr>
          <w:rFonts w:ascii="Times New Roman" w:hAnsi="Times New Roman"/>
          <w:szCs w:val="24"/>
        </w:rPr>
        <w:t>os el TC</w:t>
      </w:r>
      <w:r w:rsidR="006A18D7">
        <w:rPr>
          <w:rFonts w:ascii="Times New Roman" w:hAnsi="Times New Roman"/>
          <w:szCs w:val="24"/>
        </w:rPr>
        <w:t xml:space="preserve"> ha ampliado el catálogo</w:t>
      </w:r>
      <w:r w:rsidRPr="00500DB3">
        <w:rPr>
          <w:rFonts w:ascii="Times New Roman" w:hAnsi="Times New Roman"/>
          <w:szCs w:val="24"/>
        </w:rPr>
        <w:t xml:space="preserve"> de los derechos fundament</w:t>
      </w:r>
      <w:r w:rsidR="006A18D7">
        <w:rPr>
          <w:rFonts w:ascii="Times New Roman" w:hAnsi="Times New Roman"/>
          <w:szCs w:val="24"/>
        </w:rPr>
        <w:t>ales al incluir nuevos derechos que no se encontraban</w:t>
      </w:r>
      <w:r w:rsidRPr="00500DB3">
        <w:rPr>
          <w:rFonts w:ascii="Times New Roman" w:hAnsi="Times New Roman"/>
          <w:szCs w:val="24"/>
        </w:rPr>
        <w:t xml:space="preserve"> expresamente recogidos </w:t>
      </w:r>
      <w:r w:rsidR="006A18D7">
        <w:rPr>
          <w:rFonts w:ascii="Times New Roman" w:hAnsi="Times New Roman"/>
          <w:szCs w:val="24"/>
        </w:rPr>
        <w:t>en el catálogo inicial de nuestra CE.</w:t>
      </w:r>
    </w:p>
    <w:p w14:paraId="36AA572B" w14:textId="77777777" w:rsidR="00547B77" w:rsidRPr="00500DB3" w:rsidRDefault="00547B77" w:rsidP="00AA2BB1">
      <w:pPr>
        <w:pStyle w:val="texto"/>
        <w:ind w:firstLine="0"/>
        <w:rPr>
          <w:rFonts w:ascii="Times New Roman" w:hAnsi="Times New Roman"/>
          <w:szCs w:val="24"/>
        </w:rPr>
      </w:pPr>
      <w:r w:rsidRPr="00500DB3">
        <w:rPr>
          <w:rFonts w:ascii="Times New Roman" w:hAnsi="Times New Roman"/>
          <w:szCs w:val="24"/>
        </w:rPr>
        <w:t>BUSTOS GISBERT</w:t>
      </w:r>
      <w:r w:rsidRPr="00500DB3">
        <w:rPr>
          <w:rStyle w:val="Refdenotaalpie"/>
          <w:rFonts w:ascii="Times New Roman" w:hAnsi="Times New Roman"/>
          <w:szCs w:val="24"/>
        </w:rPr>
        <w:footnoteReference w:id="78"/>
      </w:r>
      <w:r w:rsidRPr="00500DB3">
        <w:rPr>
          <w:rFonts w:ascii="Times New Roman" w:hAnsi="Times New Roman"/>
          <w:szCs w:val="24"/>
        </w:rPr>
        <w:t xml:space="preserve"> señala que nos podríamos referir a los llamados derechos de configuración legal (básicamente el art. 23 y el 28), la actuación amplificadora del artículo 14 (que ha permitido la inclusión de nuevos derechos como consecuencia de las eventuales desigualdades producidas en su aplicación judicial) y la inclusión de derechos por conexión con algunos de los contenidos en la Sección 1ª.</w:t>
      </w:r>
    </w:p>
    <w:p w14:paraId="3FDEE590" w14:textId="6623D38E" w:rsidR="00D91802" w:rsidRDefault="0013099D" w:rsidP="00AA2BB1">
      <w:pPr>
        <w:pStyle w:val="texto"/>
        <w:ind w:firstLine="0"/>
        <w:rPr>
          <w:rFonts w:ascii="Times New Roman" w:hAnsi="Times New Roman"/>
          <w:szCs w:val="24"/>
        </w:rPr>
      </w:pPr>
      <w:r w:rsidRPr="00500DB3">
        <w:rPr>
          <w:rFonts w:ascii="Times New Roman" w:hAnsi="Times New Roman"/>
          <w:szCs w:val="24"/>
        </w:rPr>
        <w:t>Cabe destacar en este punto que los derechos de configuración legal, como sabemos, son derechos cuyo contenido y extensión concreta no puede</w:t>
      </w:r>
      <w:r w:rsidR="006A18D7">
        <w:rPr>
          <w:rFonts w:ascii="Times New Roman" w:hAnsi="Times New Roman"/>
          <w:szCs w:val="24"/>
        </w:rPr>
        <w:t>n</w:t>
      </w:r>
      <w:r w:rsidRPr="00500DB3">
        <w:rPr>
          <w:rFonts w:ascii="Times New Roman" w:hAnsi="Times New Roman"/>
          <w:szCs w:val="24"/>
        </w:rPr>
        <w:t xml:space="preserve"> ser determinado</w:t>
      </w:r>
      <w:r w:rsidR="006A18D7">
        <w:rPr>
          <w:rFonts w:ascii="Times New Roman" w:hAnsi="Times New Roman"/>
          <w:szCs w:val="24"/>
        </w:rPr>
        <w:t>s</w:t>
      </w:r>
      <w:r w:rsidRPr="00500DB3">
        <w:rPr>
          <w:rFonts w:ascii="Times New Roman" w:hAnsi="Times New Roman"/>
          <w:szCs w:val="24"/>
        </w:rPr>
        <w:t xml:space="preserve"> sin hacer referencia a la correspondiente legislación de desarrollo. Lo que el TC ha hecho en su labor ha sido incluir dentro del contenido esencial de los citados derechos algunas de estas normas legales de desarrollo con el objeto de concretar así el contenido de éstos para su invocación en un recurso de amparo. Por tanto, podríamos decir que más que “ampliar” </w:t>
      </w:r>
      <w:r w:rsidRPr="00500DB3">
        <w:rPr>
          <w:rFonts w:ascii="Times New Roman" w:hAnsi="Times New Roman"/>
          <w:szCs w:val="24"/>
        </w:rPr>
        <w:lastRenderedPageBreak/>
        <w:t xml:space="preserve">el contenido de estos derechos, lo que el TC ha hecho ha sido determinar el contenido esencial de éstos para su correcta invocación en el recurso de amparo. </w:t>
      </w:r>
    </w:p>
    <w:p w14:paraId="65199017" w14:textId="5A77546E" w:rsidR="00547B77" w:rsidRPr="00500DB3" w:rsidRDefault="00FD270E" w:rsidP="00AA2BB1">
      <w:pPr>
        <w:pStyle w:val="Ttulo3"/>
      </w:pPr>
      <w:bookmarkStart w:id="162" w:name="_Toc400644289"/>
      <w:bookmarkStart w:id="163" w:name="_Toc401009645"/>
      <w:bookmarkStart w:id="164" w:name="_Toc468382157"/>
      <w:bookmarkStart w:id="165" w:name="_Toc530596848"/>
      <w:bookmarkStart w:id="166" w:name="_Toc49423612"/>
      <w:bookmarkStart w:id="167" w:name="_Toc49708567"/>
      <w:bookmarkStart w:id="168" w:name="_Toc49790253"/>
      <w:bookmarkStart w:id="169" w:name="_Toc49866489"/>
      <w:bookmarkStart w:id="170" w:name="_Toc50373143"/>
      <w:r w:rsidRPr="00500DB3">
        <w:t>La ampliación de la legitimación pasiva</w:t>
      </w:r>
      <w:bookmarkEnd w:id="162"/>
      <w:bookmarkEnd w:id="163"/>
      <w:bookmarkEnd w:id="164"/>
      <w:bookmarkEnd w:id="165"/>
      <w:bookmarkEnd w:id="166"/>
      <w:bookmarkEnd w:id="167"/>
      <w:bookmarkEnd w:id="168"/>
      <w:bookmarkEnd w:id="169"/>
      <w:bookmarkEnd w:id="170"/>
    </w:p>
    <w:p w14:paraId="20B9A6D6" w14:textId="06151708" w:rsidR="00547B77" w:rsidRPr="00500DB3" w:rsidRDefault="0060590D" w:rsidP="00AA2BB1">
      <w:pPr>
        <w:pStyle w:val="texto"/>
        <w:ind w:firstLine="0"/>
        <w:rPr>
          <w:rFonts w:ascii="Times New Roman" w:hAnsi="Times New Roman"/>
          <w:szCs w:val="24"/>
        </w:rPr>
      </w:pPr>
      <w:r w:rsidRPr="00500DB3">
        <w:rPr>
          <w:rFonts w:ascii="Times New Roman" w:hAnsi="Times New Roman"/>
          <w:szCs w:val="24"/>
        </w:rPr>
        <w:t>El TC</w:t>
      </w:r>
      <w:r w:rsidR="00547B77" w:rsidRPr="00500DB3">
        <w:rPr>
          <w:rFonts w:ascii="Times New Roman" w:hAnsi="Times New Roman"/>
          <w:szCs w:val="24"/>
        </w:rPr>
        <w:t>, en aras de garantizar y promover la efectividad de los derechos y libertades públicas, desde su posición de intérprete supremo de la Constitución, ha originado la apertura de un cauce que posibilita acudir al amparo constitucional en los casos de violaciones de derechos fundamentales causadas en relaciones entre particulares</w:t>
      </w:r>
      <w:r w:rsidR="00D84EE4" w:rsidRPr="00500DB3">
        <w:rPr>
          <w:rFonts w:ascii="Times New Roman" w:hAnsi="Times New Roman"/>
          <w:szCs w:val="24"/>
        </w:rPr>
        <w:t xml:space="preserve"> en los casos en que los jueces y tribunales ordinarios no han dispensado la tutela necesaria. De esta forma, podemos apreciar una extensión de la garantía constitucional de forma indirecta al ámbito de las relaciones entre particulares.</w:t>
      </w:r>
    </w:p>
    <w:p w14:paraId="15F95E23" w14:textId="6856F1EA" w:rsidR="005252A6" w:rsidRDefault="00B75A60" w:rsidP="00AA2BB1">
      <w:pPr>
        <w:pStyle w:val="texto"/>
        <w:ind w:firstLine="0"/>
        <w:rPr>
          <w:rFonts w:ascii="Times New Roman" w:hAnsi="Times New Roman"/>
          <w:szCs w:val="24"/>
        </w:rPr>
      </w:pPr>
      <w:r w:rsidRPr="00500DB3">
        <w:rPr>
          <w:rFonts w:ascii="Times New Roman" w:hAnsi="Times New Roman"/>
          <w:szCs w:val="24"/>
        </w:rPr>
        <w:t>No obstante, debemos tener en cuenta que esta ampliación de la legitimación pasiva tiene su lógica en relación con la efectiva tutela de los derechos fundamentales</w:t>
      </w:r>
      <w:r w:rsidR="00BB755B" w:rsidRPr="00500DB3">
        <w:rPr>
          <w:rFonts w:ascii="Times New Roman" w:hAnsi="Times New Roman"/>
          <w:szCs w:val="24"/>
        </w:rPr>
        <w:t xml:space="preserve">. Cerrar esta legitimación indirecta para acudir al TC en caso de vulneración de un derecho fundamental por </w:t>
      </w:r>
      <w:r w:rsidR="00F1749E" w:rsidRPr="00500DB3">
        <w:rPr>
          <w:rFonts w:ascii="Times New Roman" w:hAnsi="Times New Roman"/>
          <w:szCs w:val="24"/>
        </w:rPr>
        <w:t>un particular</w:t>
      </w:r>
      <w:r w:rsidR="00BB755B" w:rsidRPr="00500DB3">
        <w:rPr>
          <w:rFonts w:ascii="Times New Roman" w:hAnsi="Times New Roman"/>
          <w:szCs w:val="24"/>
        </w:rPr>
        <w:t xml:space="preserve"> sería dejar fuera del ámbito de esta garantía constitucional muchísimos casos en los que se vulnera un derecho fundamental y su protección no ha sido efectiva en la vía ordinaria. No podemos olvidar, además, que en estos casos lo que alegamos es la vulneración por parte del juez ordinario al no haber reconocido la vulneración del derecho, en ningún caso la vulneración del particular. Por tanto, cerraríamos la puerta de recurrir en amparo a multitud de vulneraciones por parte de tribunales ordinarios.</w:t>
      </w:r>
    </w:p>
    <w:p w14:paraId="3E3DD69B" w14:textId="581D827C" w:rsidR="00D3337E" w:rsidRPr="00500DB3" w:rsidRDefault="00AA2BB1" w:rsidP="00AA2BB1">
      <w:pPr>
        <w:pStyle w:val="Ttulo2"/>
      </w:pPr>
      <w:bookmarkStart w:id="171" w:name="_Toc400017055"/>
      <w:bookmarkStart w:id="172" w:name="_Toc400644290"/>
      <w:bookmarkStart w:id="173" w:name="_Toc401009646"/>
      <w:bookmarkStart w:id="174" w:name="_Toc468382158"/>
      <w:bookmarkStart w:id="175" w:name="_Toc530596849"/>
      <w:bookmarkStart w:id="176" w:name="_Toc49423613"/>
      <w:bookmarkStart w:id="177" w:name="_Toc49708568"/>
      <w:bookmarkStart w:id="178" w:name="_Toc49790254"/>
      <w:bookmarkStart w:id="179" w:name="_Toc49866490"/>
      <w:bookmarkStart w:id="180" w:name="_Toc50373144"/>
      <w:r>
        <w:t>Soluciones</w:t>
      </w:r>
      <w:r w:rsidRPr="00500DB3">
        <w:t xml:space="preserve"> propuestas</w:t>
      </w:r>
      <w:bookmarkEnd w:id="171"/>
      <w:bookmarkEnd w:id="172"/>
      <w:bookmarkEnd w:id="173"/>
      <w:bookmarkEnd w:id="174"/>
      <w:bookmarkEnd w:id="175"/>
      <w:bookmarkEnd w:id="176"/>
      <w:bookmarkEnd w:id="177"/>
      <w:bookmarkEnd w:id="178"/>
      <w:bookmarkEnd w:id="179"/>
      <w:bookmarkEnd w:id="180"/>
    </w:p>
    <w:p w14:paraId="655ED55E" w14:textId="324B4271" w:rsidR="00C91A80" w:rsidRDefault="002E3762" w:rsidP="00AA2BB1">
      <w:pPr>
        <w:pStyle w:val="texto"/>
        <w:ind w:firstLine="0"/>
        <w:rPr>
          <w:rFonts w:ascii="Times New Roman" w:hAnsi="Times New Roman"/>
          <w:szCs w:val="24"/>
        </w:rPr>
      </w:pPr>
      <w:r>
        <w:rPr>
          <w:rFonts w:ascii="Times New Roman" w:hAnsi="Times New Roman"/>
          <w:szCs w:val="24"/>
        </w:rPr>
        <w:t>Frente</w:t>
      </w:r>
      <w:r w:rsidR="00824D5F" w:rsidRPr="00500DB3">
        <w:rPr>
          <w:rFonts w:ascii="Times New Roman" w:hAnsi="Times New Roman"/>
          <w:szCs w:val="24"/>
        </w:rPr>
        <w:t xml:space="preserve"> la difícil situación ante la que se encontraba</w:t>
      </w:r>
      <w:r w:rsidR="0060590D" w:rsidRPr="00500DB3">
        <w:rPr>
          <w:rFonts w:ascii="Times New Roman" w:hAnsi="Times New Roman"/>
          <w:szCs w:val="24"/>
        </w:rPr>
        <w:t xml:space="preserve"> nuestro Tribunal,</w:t>
      </w:r>
      <w:r w:rsidR="00824D5F" w:rsidRPr="00500DB3">
        <w:rPr>
          <w:rFonts w:ascii="Times New Roman" w:hAnsi="Times New Roman"/>
          <w:szCs w:val="24"/>
        </w:rPr>
        <w:t xml:space="preserve"> fueron muchas las reformas propuestas para mejorar estos hechos. </w:t>
      </w:r>
      <w:r w:rsidR="008444A4" w:rsidRPr="00500DB3">
        <w:rPr>
          <w:rFonts w:ascii="Times New Roman" w:hAnsi="Times New Roman"/>
          <w:szCs w:val="24"/>
        </w:rPr>
        <w:t>A continuación, nos detendremos en los puntos más relevantes de cada una de estas propuestas:</w:t>
      </w:r>
    </w:p>
    <w:p w14:paraId="7C9B6401" w14:textId="279363C4" w:rsidR="00DE79CF" w:rsidRPr="00500DB3" w:rsidRDefault="00AA1D31" w:rsidP="001A4310">
      <w:pPr>
        <w:pStyle w:val="Ttulo3"/>
        <w:numPr>
          <w:ilvl w:val="0"/>
          <w:numId w:val="41"/>
        </w:numPr>
      </w:pPr>
      <w:bookmarkStart w:id="181" w:name="_Toc400644292"/>
      <w:bookmarkStart w:id="182" w:name="_Toc401009648"/>
      <w:bookmarkStart w:id="183" w:name="_Toc468382160"/>
      <w:bookmarkStart w:id="184" w:name="_Toc530596850"/>
      <w:bookmarkStart w:id="185" w:name="_Toc49423614"/>
      <w:bookmarkStart w:id="186" w:name="_Toc49708569"/>
      <w:bookmarkStart w:id="187" w:name="_Toc49790255"/>
      <w:bookmarkStart w:id="188" w:name="_Toc49866491"/>
      <w:bookmarkStart w:id="189" w:name="_Toc50373145"/>
      <w:r w:rsidRPr="00500DB3">
        <w:lastRenderedPageBreak/>
        <w:t>R</w:t>
      </w:r>
      <w:r w:rsidR="00DE79CF" w:rsidRPr="00500DB3">
        <w:t xml:space="preserve">eforma del propio </w:t>
      </w:r>
      <w:r w:rsidR="002E3762">
        <w:t>T</w:t>
      </w:r>
      <w:r w:rsidR="00DE79CF" w:rsidRPr="00500DB3">
        <w:t>ribunal constitucional</w:t>
      </w:r>
      <w:bookmarkEnd w:id="181"/>
      <w:bookmarkEnd w:id="182"/>
      <w:bookmarkEnd w:id="183"/>
      <w:bookmarkEnd w:id="184"/>
      <w:bookmarkEnd w:id="185"/>
      <w:bookmarkEnd w:id="186"/>
      <w:bookmarkEnd w:id="187"/>
      <w:bookmarkEnd w:id="188"/>
      <w:bookmarkEnd w:id="189"/>
    </w:p>
    <w:p w14:paraId="70587F10" w14:textId="195B35E6" w:rsidR="00A50610" w:rsidRPr="00500DB3" w:rsidRDefault="00A50610" w:rsidP="00AA2BB1">
      <w:pPr>
        <w:pStyle w:val="texto"/>
        <w:ind w:firstLine="0"/>
        <w:rPr>
          <w:rFonts w:ascii="Times New Roman" w:hAnsi="Times New Roman"/>
          <w:szCs w:val="24"/>
        </w:rPr>
      </w:pPr>
      <w:r w:rsidRPr="00500DB3">
        <w:rPr>
          <w:rFonts w:ascii="Times New Roman" w:hAnsi="Times New Roman"/>
          <w:szCs w:val="24"/>
        </w:rPr>
        <w:t>Una de las medidas que se propusieron fue el posible aumento del número de los Magistr</w:t>
      </w:r>
      <w:r w:rsidR="0060590D" w:rsidRPr="00500DB3">
        <w:rPr>
          <w:rFonts w:ascii="Times New Roman" w:hAnsi="Times New Roman"/>
          <w:szCs w:val="24"/>
        </w:rPr>
        <w:t>ados del TC</w:t>
      </w:r>
      <w:r w:rsidRPr="00500DB3">
        <w:rPr>
          <w:rFonts w:ascii="Times New Roman" w:hAnsi="Times New Roman"/>
          <w:szCs w:val="24"/>
        </w:rPr>
        <w:t xml:space="preserve">. Esto conllevaría consecuentemente a un aumento del número </w:t>
      </w:r>
      <w:r w:rsidR="00F1749E" w:rsidRPr="00500DB3">
        <w:rPr>
          <w:rFonts w:ascii="Times New Roman" w:hAnsi="Times New Roman"/>
          <w:szCs w:val="24"/>
        </w:rPr>
        <w:t>de Salas</w:t>
      </w:r>
      <w:r w:rsidRPr="00500DB3">
        <w:rPr>
          <w:rFonts w:ascii="Times New Roman" w:hAnsi="Times New Roman"/>
          <w:szCs w:val="24"/>
        </w:rPr>
        <w:t xml:space="preserve"> y Secciones del TC y, por tanto, la multiplicación de las resoluciones dictadas sobre recursos de amparo.</w:t>
      </w:r>
    </w:p>
    <w:p w14:paraId="0E0F6D98" w14:textId="452418B6" w:rsidR="00C9752D" w:rsidRDefault="00ED540D" w:rsidP="00AA2BB1">
      <w:pPr>
        <w:pStyle w:val="texto"/>
        <w:ind w:firstLine="0"/>
        <w:rPr>
          <w:rFonts w:ascii="Times New Roman" w:hAnsi="Times New Roman"/>
          <w:szCs w:val="24"/>
        </w:rPr>
      </w:pPr>
      <w:r w:rsidRPr="00500DB3">
        <w:rPr>
          <w:rFonts w:ascii="Times New Roman" w:hAnsi="Times New Roman"/>
          <w:szCs w:val="24"/>
        </w:rPr>
        <w:t>Si</w:t>
      </w:r>
      <w:r w:rsidR="00A50610" w:rsidRPr="00500DB3">
        <w:rPr>
          <w:rFonts w:ascii="Times New Roman" w:hAnsi="Times New Roman"/>
          <w:szCs w:val="24"/>
        </w:rPr>
        <w:t>n embargo, esta propuesta conllevaba numerosos problemas. Por una parte, debemos tener en cuenta que la composi</w:t>
      </w:r>
      <w:r w:rsidR="0060590D" w:rsidRPr="00500DB3">
        <w:rPr>
          <w:rFonts w:ascii="Times New Roman" w:hAnsi="Times New Roman"/>
          <w:szCs w:val="24"/>
        </w:rPr>
        <w:t>ción del TC</w:t>
      </w:r>
      <w:r w:rsidR="00A50610" w:rsidRPr="00500DB3">
        <w:rPr>
          <w:rFonts w:ascii="Times New Roman" w:hAnsi="Times New Roman"/>
          <w:szCs w:val="24"/>
        </w:rPr>
        <w:t xml:space="preserve"> viene definida en la Constitución y que, para aprobar esta medida, sería necesaria una reforma constitucional, con las consecuentes dificultades que esto conllevaría. Por otra parte, el aumento de los Magistrados podría acarrear consecuencias no deseadas como pueden ser el aumento en la disparidad de las resoluciones (ya existentes habiendo sólo dos Salas y con un menor número de Magistrados) y mayores discrepancias en las decisiones que corresponden al Pleno al ser mayor el número de personas que deben alcanzar una postura común</w:t>
      </w:r>
      <w:r w:rsidR="00A50610" w:rsidRPr="00500DB3">
        <w:rPr>
          <w:rStyle w:val="Refdenotaalpie"/>
          <w:rFonts w:ascii="Times New Roman" w:hAnsi="Times New Roman"/>
          <w:szCs w:val="24"/>
        </w:rPr>
        <w:footnoteReference w:id="79"/>
      </w:r>
      <w:r w:rsidR="00A50610" w:rsidRPr="00500DB3">
        <w:rPr>
          <w:rFonts w:ascii="Times New Roman" w:hAnsi="Times New Roman"/>
          <w:szCs w:val="24"/>
        </w:rPr>
        <w:t>.</w:t>
      </w:r>
    </w:p>
    <w:p w14:paraId="00EC1F8A" w14:textId="7E59E6EB" w:rsidR="000D32F7" w:rsidRPr="00500DB3" w:rsidRDefault="000D32F7" w:rsidP="00AA2BB1">
      <w:pPr>
        <w:pStyle w:val="Ttulo3"/>
      </w:pPr>
      <w:bookmarkStart w:id="190" w:name="_Toc400644293"/>
      <w:bookmarkStart w:id="191" w:name="_Toc401009649"/>
      <w:bookmarkStart w:id="192" w:name="_Toc468382161"/>
      <w:bookmarkStart w:id="193" w:name="_Toc530596851"/>
      <w:bookmarkStart w:id="194" w:name="_Toc49423615"/>
      <w:bookmarkStart w:id="195" w:name="_Toc49708570"/>
      <w:bookmarkStart w:id="196" w:name="_Toc49790256"/>
      <w:bookmarkStart w:id="197" w:name="_Toc49866492"/>
      <w:bookmarkStart w:id="198" w:name="_Toc50373146"/>
      <w:r w:rsidRPr="00500DB3">
        <w:t>Reforzar la protección de los derechos fundamentales en la vía ordinaria</w:t>
      </w:r>
      <w:bookmarkEnd w:id="190"/>
      <w:bookmarkEnd w:id="191"/>
      <w:bookmarkEnd w:id="192"/>
      <w:bookmarkEnd w:id="193"/>
      <w:bookmarkEnd w:id="194"/>
      <w:bookmarkEnd w:id="195"/>
      <w:bookmarkEnd w:id="196"/>
      <w:bookmarkEnd w:id="197"/>
      <w:bookmarkEnd w:id="198"/>
    </w:p>
    <w:p w14:paraId="7D8290E6" w14:textId="77777777" w:rsidR="000D32F7" w:rsidRPr="00500DB3" w:rsidRDefault="009C1CAF" w:rsidP="00AA2BB1">
      <w:pPr>
        <w:pStyle w:val="texto"/>
        <w:ind w:firstLine="0"/>
        <w:rPr>
          <w:rFonts w:ascii="Times New Roman" w:hAnsi="Times New Roman"/>
          <w:szCs w:val="24"/>
        </w:rPr>
      </w:pPr>
      <w:r w:rsidRPr="00500DB3">
        <w:rPr>
          <w:rFonts w:ascii="Times New Roman" w:hAnsi="Times New Roman"/>
          <w:szCs w:val="24"/>
        </w:rPr>
        <w:t>Otro punto muy aceptado ha sido el relativo a la necesidad de reforzar la protección de los derechos fundamentales en la jurisdicción ordinaria, especialmente mediante el desarrollo de un procedimiento preferente y sumario unificado, que hiciera más eficaz su protección. De esta manera, desaparecería la errónea percepción de que el recurso de amparo es el único mecanismo existente para la resolución de este tipo de conflictos y se acentuaría su carácter extraordinario. También se ha puesto de relieve la necesidad de articular mejor los recursos ordinarios y extraordinarios en sede judicial</w:t>
      </w:r>
      <w:r w:rsidRPr="00500DB3">
        <w:rPr>
          <w:rStyle w:val="Refdenotaalpie"/>
          <w:rFonts w:ascii="Times New Roman" w:hAnsi="Times New Roman"/>
          <w:szCs w:val="24"/>
        </w:rPr>
        <w:footnoteReference w:id="80"/>
      </w:r>
      <w:r w:rsidRPr="00500DB3">
        <w:rPr>
          <w:rFonts w:ascii="Times New Roman" w:hAnsi="Times New Roman"/>
          <w:szCs w:val="24"/>
        </w:rPr>
        <w:t>.</w:t>
      </w:r>
    </w:p>
    <w:p w14:paraId="14FDC85C" w14:textId="58C3D8C7" w:rsidR="00907D27" w:rsidRPr="00500DB3" w:rsidRDefault="00907D27" w:rsidP="00AA2BB1">
      <w:pPr>
        <w:pStyle w:val="texto"/>
        <w:ind w:firstLine="0"/>
        <w:rPr>
          <w:rFonts w:ascii="Times New Roman" w:hAnsi="Times New Roman"/>
          <w:szCs w:val="24"/>
        </w:rPr>
      </w:pPr>
      <w:r w:rsidRPr="00500DB3">
        <w:rPr>
          <w:rFonts w:ascii="Times New Roman" w:hAnsi="Times New Roman"/>
          <w:szCs w:val="24"/>
        </w:rPr>
        <w:t>También se sugirió para potenciar la protección de los derechos fundamentales en la vía judicial, la creación de una n</w:t>
      </w:r>
      <w:r w:rsidR="00EA0E20" w:rsidRPr="00500DB3">
        <w:rPr>
          <w:rFonts w:ascii="Times New Roman" w:hAnsi="Times New Roman"/>
          <w:szCs w:val="24"/>
        </w:rPr>
        <w:t>ueva sala en el TS</w:t>
      </w:r>
      <w:r w:rsidRPr="00500DB3">
        <w:rPr>
          <w:rFonts w:ascii="Times New Roman" w:hAnsi="Times New Roman"/>
          <w:szCs w:val="24"/>
        </w:rPr>
        <w:t xml:space="preserve"> que fuese competente para los casos relativos a estos derechos. En efecto, como anteriormente mencionamos, FERNÁNDEZ </w:t>
      </w:r>
      <w:r w:rsidRPr="00500DB3">
        <w:rPr>
          <w:rFonts w:ascii="Times New Roman" w:hAnsi="Times New Roman"/>
          <w:szCs w:val="24"/>
        </w:rPr>
        <w:lastRenderedPageBreak/>
        <w:t>FARRERES</w:t>
      </w:r>
      <w:r w:rsidRPr="00500DB3">
        <w:rPr>
          <w:rStyle w:val="Refdenotaalpie"/>
          <w:rFonts w:ascii="Times New Roman" w:hAnsi="Times New Roman"/>
          <w:szCs w:val="24"/>
        </w:rPr>
        <w:footnoteReference w:id="81"/>
      </w:r>
      <w:r w:rsidR="002E3762">
        <w:rPr>
          <w:rFonts w:ascii="Times New Roman" w:hAnsi="Times New Roman"/>
          <w:szCs w:val="24"/>
        </w:rPr>
        <w:t xml:space="preserve"> propuso la</w:t>
      </w:r>
      <w:r w:rsidRPr="00500DB3">
        <w:rPr>
          <w:rFonts w:ascii="Times New Roman" w:hAnsi="Times New Roman"/>
          <w:szCs w:val="24"/>
        </w:rPr>
        <w:t xml:space="preserve"> creación de </w:t>
      </w:r>
      <w:r w:rsidRPr="00500DB3">
        <w:rPr>
          <w:rFonts w:ascii="Times New Roman" w:hAnsi="Times New Roman"/>
          <w:i/>
          <w:szCs w:val="24"/>
        </w:rPr>
        <w:t>«un “recurso de amparo judicial” (...) ante una sala especial o ad hoc del Tribunal Supremo».</w:t>
      </w:r>
      <w:r w:rsidRPr="00500DB3">
        <w:rPr>
          <w:rFonts w:ascii="Times New Roman" w:hAnsi="Times New Roman"/>
          <w:szCs w:val="24"/>
        </w:rPr>
        <w:t xml:space="preserve"> </w:t>
      </w:r>
    </w:p>
    <w:p w14:paraId="66FC39BA" w14:textId="0405FA3F" w:rsidR="00907D27" w:rsidRPr="00500DB3" w:rsidRDefault="00CB0C59" w:rsidP="00AA2BB1">
      <w:pPr>
        <w:pStyle w:val="texto"/>
        <w:ind w:firstLine="0"/>
        <w:rPr>
          <w:rFonts w:ascii="Times New Roman" w:hAnsi="Times New Roman"/>
          <w:szCs w:val="24"/>
        </w:rPr>
      </w:pPr>
      <w:r w:rsidRPr="00500DB3">
        <w:rPr>
          <w:rFonts w:ascii="Times New Roman" w:hAnsi="Times New Roman"/>
          <w:szCs w:val="24"/>
        </w:rPr>
        <w:t>Según GARRO VARGAS</w:t>
      </w:r>
      <w:r w:rsidRPr="00500DB3">
        <w:rPr>
          <w:rStyle w:val="Refdenotaalpie"/>
          <w:rFonts w:ascii="Times New Roman" w:hAnsi="Times New Roman"/>
          <w:szCs w:val="24"/>
        </w:rPr>
        <w:footnoteReference w:id="82"/>
      </w:r>
      <w:r w:rsidRPr="00500DB3">
        <w:rPr>
          <w:rFonts w:ascii="Times New Roman" w:hAnsi="Times New Roman"/>
          <w:szCs w:val="24"/>
        </w:rPr>
        <w:t>, d</w:t>
      </w:r>
      <w:r w:rsidR="00907D27" w:rsidRPr="00500DB3">
        <w:rPr>
          <w:rFonts w:ascii="Times New Roman" w:hAnsi="Times New Roman"/>
          <w:szCs w:val="24"/>
        </w:rPr>
        <w:t>icho recurso procedería únicamente frente a las vulneraciones del derecho fundamental a la tutela judicial efectiva sin indefensión imputables a cualesquiera órganos de los diversos órdenes jurisdiccionales, y sólo cabría una vez agotados todos los recursos útiles de los que, en cada caso, en función del momento en que se haya producido la vulneración, se pueda disponer para la reparación de la misma. La intervención del Ministerio Fiscal sería preceptiva y la demanda de «amparo judicial» podría sujetarse a similares requisitos de admisibilidad previstos en la actualidad para el recurso de amparo constitucional. La decisión desestimatoria</w:t>
      </w:r>
      <w:r w:rsidR="00EA0E20" w:rsidRPr="00500DB3">
        <w:rPr>
          <w:rFonts w:ascii="Times New Roman" w:hAnsi="Times New Roman"/>
          <w:szCs w:val="24"/>
        </w:rPr>
        <w:t xml:space="preserve"> de la sala del TS</w:t>
      </w:r>
      <w:r w:rsidR="00907D27" w:rsidRPr="00500DB3">
        <w:rPr>
          <w:rFonts w:ascii="Times New Roman" w:hAnsi="Times New Roman"/>
          <w:szCs w:val="24"/>
        </w:rPr>
        <w:t xml:space="preserve"> abriría la vía del recurso de amparo constitucional</w:t>
      </w:r>
      <w:r w:rsidRPr="00500DB3">
        <w:rPr>
          <w:rStyle w:val="Refdenotaalpie"/>
          <w:rFonts w:ascii="Times New Roman" w:hAnsi="Times New Roman"/>
          <w:szCs w:val="24"/>
        </w:rPr>
        <w:footnoteReference w:id="83"/>
      </w:r>
      <w:r w:rsidR="00907D27" w:rsidRPr="00500DB3">
        <w:rPr>
          <w:rFonts w:ascii="Times New Roman" w:hAnsi="Times New Roman"/>
          <w:szCs w:val="24"/>
        </w:rPr>
        <w:t>.</w:t>
      </w:r>
    </w:p>
    <w:p w14:paraId="753F7945" w14:textId="77777777" w:rsidR="00BD2373" w:rsidRDefault="00BD2373" w:rsidP="00AA2BB1">
      <w:pPr>
        <w:pStyle w:val="texto"/>
        <w:ind w:firstLine="0"/>
        <w:rPr>
          <w:rFonts w:ascii="Times New Roman" w:hAnsi="Times New Roman"/>
          <w:szCs w:val="24"/>
        </w:rPr>
      </w:pPr>
      <w:r w:rsidRPr="00500DB3">
        <w:rPr>
          <w:rFonts w:ascii="Times New Roman" w:hAnsi="Times New Roman"/>
          <w:szCs w:val="24"/>
        </w:rPr>
        <w:t>Cabe destacar que, con la intención de reforzar la vía ordinaria, se aprobó la LO 5/1997, que introdujo el incidente de nulidad de actuaciones, cuyo objeto era la revisión de resoluciones que, a juicio del interesado, hayan vulnerado la tutela judicial efectiva por haber creado indefensión o ser incongruentes. Sin embargo, al quedar siempre abierta la vía de interposición de un recurso de amparo para el demandante en caso de que el incidente no haya satisfecho su pretensión, con lo que realmente no se estaría contribuyendo a la disminución de demandas ante el TC, hecho que ha quedado demostrado pues, desde la aprobación de esta ley, el número de demandas de amparo por vulneración de la tutela judicial efectiva no ha disminuido.</w:t>
      </w:r>
    </w:p>
    <w:p w14:paraId="1F1C5111" w14:textId="3251D893" w:rsidR="003B5FB6" w:rsidRPr="00500DB3" w:rsidRDefault="001431E3" w:rsidP="00AA2BB1">
      <w:pPr>
        <w:pStyle w:val="Ttulo3"/>
      </w:pPr>
      <w:bookmarkStart w:id="199" w:name="_Toc400644294"/>
      <w:bookmarkStart w:id="200" w:name="_Toc401009650"/>
      <w:bookmarkStart w:id="201" w:name="_Toc468382162"/>
      <w:bookmarkStart w:id="202" w:name="_Toc530596852"/>
      <w:bookmarkStart w:id="203" w:name="_Toc49423616"/>
      <w:bookmarkStart w:id="204" w:name="_Toc49708571"/>
      <w:bookmarkStart w:id="205" w:name="_Toc49790257"/>
      <w:bookmarkStart w:id="206" w:name="_Toc49866493"/>
      <w:bookmarkStart w:id="207" w:name="_Toc50373147"/>
      <w:r w:rsidRPr="00500DB3">
        <w:t>Exclusión de algunos derechos fundamentales del ámbito de protección del recurso de amparo</w:t>
      </w:r>
      <w:bookmarkEnd w:id="199"/>
      <w:bookmarkEnd w:id="200"/>
      <w:bookmarkEnd w:id="201"/>
      <w:bookmarkEnd w:id="202"/>
      <w:bookmarkEnd w:id="203"/>
      <w:bookmarkEnd w:id="204"/>
      <w:bookmarkEnd w:id="205"/>
      <w:bookmarkEnd w:id="206"/>
      <w:bookmarkEnd w:id="207"/>
    </w:p>
    <w:p w14:paraId="1C5EBC8A" w14:textId="6DA267F8" w:rsidR="001431E3" w:rsidRPr="00500DB3" w:rsidRDefault="001431E3" w:rsidP="00AA2BB1">
      <w:pPr>
        <w:pStyle w:val="texto"/>
        <w:ind w:firstLine="0"/>
        <w:rPr>
          <w:rFonts w:ascii="Times New Roman" w:hAnsi="Times New Roman"/>
          <w:szCs w:val="24"/>
        </w:rPr>
      </w:pPr>
      <w:r w:rsidRPr="00500DB3">
        <w:rPr>
          <w:rFonts w:ascii="Times New Roman" w:hAnsi="Times New Roman"/>
          <w:szCs w:val="24"/>
        </w:rPr>
        <w:t xml:space="preserve">Debido a que la mayor parte de los recursos de amparo que se presentan invocan el derecho a la tutela judicial efectiva </w:t>
      </w:r>
      <w:r w:rsidR="002E3762">
        <w:rPr>
          <w:rFonts w:ascii="Times New Roman" w:hAnsi="Times New Roman"/>
          <w:szCs w:val="24"/>
        </w:rPr>
        <w:t>del artículo 24 CE</w:t>
      </w:r>
      <w:r w:rsidRPr="00500DB3">
        <w:rPr>
          <w:rFonts w:ascii="Times New Roman" w:hAnsi="Times New Roman"/>
          <w:szCs w:val="24"/>
        </w:rPr>
        <w:t xml:space="preserve">, se ha considerado la posibilidad </w:t>
      </w:r>
      <w:r w:rsidRPr="00500DB3">
        <w:rPr>
          <w:rFonts w:ascii="Times New Roman" w:hAnsi="Times New Roman"/>
          <w:szCs w:val="24"/>
        </w:rPr>
        <w:lastRenderedPageBreak/>
        <w:t>de excluir este derecho de los protegidos mediante el recurso de amparo, pues así disminuiría considerablemente el número de demandas de las que tendría que conocer el TC. Según sus defensores, esta reforma sería posible, a través de la expresión “en su caso” que incluye el artículo 53.2 CE al hacer referencia al recurso de amparo.</w:t>
      </w:r>
    </w:p>
    <w:p w14:paraId="7973B8EB" w14:textId="4076F469" w:rsidR="001431E3" w:rsidRPr="00500DB3" w:rsidRDefault="001431E3" w:rsidP="00AA2BB1">
      <w:pPr>
        <w:pStyle w:val="texto"/>
        <w:ind w:firstLine="0"/>
        <w:rPr>
          <w:rFonts w:ascii="Times New Roman" w:hAnsi="Times New Roman"/>
          <w:szCs w:val="24"/>
        </w:rPr>
      </w:pPr>
      <w:r w:rsidRPr="00500DB3">
        <w:rPr>
          <w:rFonts w:ascii="Times New Roman" w:hAnsi="Times New Roman"/>
          <w:szCs w:val="24"/>
        </w:rPr>
        <w:t xml:space="preserve">Esta propuesta recibió numerosas críticas ya que la posibilidad de interponer un recurso de amparo mediante la vulneración de este precepto es la vía idónea para confirmar que los jueces y tribunales actúan conforme a lo establecido por la Constitución. </w:t>
      </w:r>
    </w:p>
    <w:p w14:paraId="37C07DED" w14:textId="3D14C4EE" w:rsidR="002D4142" w:rsidRPr="00500DB3" w:rsidRDefault="002D4142" w:rsidP="00AA2BB1">
      <w:pPr>
        <w:pStyle w:val="texto"/>
        <w:ind w:firstLine="0"/>
        <w:rPr>
          <w:rFonts w:ascii="Times New Roman" w:hAnsi="Times New Roman"/>
          <w:szCs w:val="24"/>
        </w:rPr>
      </w:pPr>
      <w:r w:rsidRPr="008A2FC2">
        <w:rPr>
          <w:rFonts w:ascii="Times New Roman" w:hAnsi="Times New Roman"/>
          <w:szCs w:val="24"/>
        </w:rPr>
        <w:t>DÍEZ-PICAZO</w:t>
      </w:r>
      <w:r w:rsidRPr="008A2FC2">
        <w:rPr>
          <w:rStyle w:val="Refdenotaalpie"/>
          <w:rFonts w:ascii="Times New Roman" w:hAnsi="Times New Roman"/>
          <w:szCs w:val="24"/>
        </w:rPr>
        <w:footnoteReference w:id="84"/>
      </w:r>
      <w:r w:rsidR="008A2FC2">
        <w:rPr>
          <w:rFonts w:ascii="Times New Roman" w:hAnsi="Times New Roman"/>
          <w:szCs w:val="24"/>
        </w:rPr>
        <w:t>, establecía</w:t>
      </w:r>
      <w:r w:rsidRPr="008A2FC2">
        <w:rPr>
          <w:rFonts w:ascii="Times New Roman" w:hAnsi="Times New Roman"/>
          <w:szCs w:val="24"/>
        </w:rPr>
        <w:t xml:space="preserve"> que el Tribunal debe </w:t>
      </w:r>
      <w:r w:rsidRPr="008A2FC2">
        <w:rPr>
          <w:rFonts w:ascii="Times New Roman" w:hAnsi="Times New Roman"/>
          <w:i/>
          <w:szCs w:val="24"/>
        </w:rPr>
        <w:t>«asegurar la efectiva aplicación del acervo jurisprudencial existente»,</w:t>
      </w:r>
      <w:r w:rsidRPr="008A2FC2">
        <w:rPr>
          <w:rFonts w:ascii="Times New Roman" w:hAnsi="Times New Roman"/>
          <w:szCs w:val="24"/>
        </w:rPr>
        <w:t xml:space="preserve"> </w:t>
      </w:r>
      <w:proofErr w:type="gramStart"/>
      <w:r w:rsidRPr="008A2FC2">
        <w:rPr>
          <w:rFonts w:ascii="Times New Roman" w:hAnsi="Times New Roman"/>
          <w:szCs w:val="24"/>
        </w:rPr>
        <w:t>ya que</w:t>
      </w:r>
      <w:proofErr w:type="gramEnd"/>
      <w:r w:rsidRPr="008A2FC2">
        <w:rPr>
          <w:rFonts w:ascii="Times New Roman" w:hAnsi="Times New Roman"/>
          <w:szCs w:val="24"/>
        </w:rPr>
        <w:t xml:space="preserve"> si no se incluyese este derecho entre los derechos susceptibles de recurrir en amparo, no habría ninguna vía de subsanación a favor del ciudadano que viese motivado su caso de forma contraria a la jurisprudencia constitucional.</w:t>
      </w:r>
    </w:p>
    <w:p w14:paraId="6EABAE22" w14:textId="6A737632" w:rsidR="00506E81" w:rsidRPr="00500DB3" w:rsidRDefault="00506E81" w:rsidP="00AA2BB1">
      <w:pPr>
        <w:pStyle w:val="texto"/>
        <w:ind w:firstLine="0"/>
        <w:rPr>
          <w:rFonts w:ascii="Times New Roman" w:hAnsi="Times New Roman"/>
          <w:szCs w:val="24"/>
        </w:rPr>
      </w:pPr>
      <w:r w:rsidRPr="00500DB3">
        <w:rPr>
          <w:rFonts w:ascii="Times New Roman" w:hAnsi="Times New Roman"/>
          <w:szCs w:val="24"/>
        </w:rPr>
        <w:t>Otro de los ar</w:t>
      </w:r>
      <w:r w:rsidR="008A2FC2">
        <w:rPr>
          <w:rFonts w:ascii="Times New Roman" w:hAnsi="Times New Roman"/>
          <w:szCs w:val="24"/>
        </w:rPr>
        <w:t>tículos que más recursos suscitó</w:t>
      </w:r>
      <w:r w:rsidRPr="00500DB3">
        <w:rPr>
          <w:rFonts w:ascii="Times New Roman" w:hAnsi="Times New Roman"/>
          <w:szCs w:val="24"/>
        </w:rPr>
        <w:t>, aun</w:t>
      </w:r>
      <w:r w:rsidR="007D04CB" w:rsidRPr="00500DB3">
        <w:rPr>
          <w:rFonts w:ascii="Times New Roman" w:hAnsi="Times New Roman"/>
          <w:szCs w:val="24"/>
        </w:rPr>
        <w:t xml:space="preserve">que de forma menor al artículo </w:t>
      </w:r>
      <w:r w:rsidR="008A2FC2">
        <w:rPr>
          <w:rFonts w:ascii="Times New Roman" w:hAnsi="Times New Roman"/>
          <w:szCs w:val="24"/>
        </w:rPr>
        <w:t xml:space="preserve">24, fue el artículo </w:t>
      </w:r>
      <w:r w:rsidR="007D04CB" w:rsidRPr="00500DB3">
        <w:rPr>
          <w:rFonts w:ascii="Times New Roman" w:hAnsi="Times New Roman"/>
          <w:szCs w:val="24"/>
        </w:rPr>
        <w:t>1</w:t>
      </w:r>
      <w:r w:rsidR="008A2FC2">
        <w:rPr>
          <w:rFonts w:ascii="Times New Roman" w:hAnsi="Times New Roman"/>
          <w:szCs w:val="24"/>
        </w:rPr>
        <w:t>4 CE. Se propuso</w:t>
      </w:r>
      <w:r w:rsidRPr="00500DB3">
        <w:rPr>
          <w:rFonts w:ascii="Times New Roman" w:hAnsi="Times New Roman"/>
          <w:szCs w:val="24"/>
        </w:rPr>
        <w:t>, junto con el anterior artículo, la posibilidad de excluirlo de la protección del amparo constitucional. Sin embargo, esta propuesta no tuvo gran calado, pues a los inconvenientes anteriormente señalados en relación con el artículo 24, hemos de añadir el hecho de que este artículo no representa un porcentaje tan alto de recursos como el anterior.</w:t>
      </w:r>
    </w:p>
    <w:p w14:paraId="4B4441AA" w14:textId="55771CD1" w:rsidR="00F83C92" w:rsidRDefault="00506E81" w:rsidP="00AA2BB1">
      <w:pPr>
        <w:pStyle w:val="texto"/>
        <w:ind w:firstLine="0"/>
        <w:rPr>
          <w:rFonts w:ascii="Times New Roman" w:hAnsi="Times New Roman"/>
          <w:szCs w:val="24"/>
        </w:rPr>
      </w:pPr>
      <w:r w:rsidRPr="00500DB3">
        <w:rPr>
          <w:rFonts w:ascii="Times New Roman" w:hAnsi="Times New Roman"/>
          <w:szCs w:val="24"/>
        </w:rPr>
        <w:t>Por tanto, no pareció que la reducció</w:t>
      </w:r>
      <w:r w:rsidR="008A2FC2">
        <w:rPr>
          <w:rFonts w:ascii="Times New Roman" w:hAnsi="Times New Roman"/>
          <w:szCs w:val="24"/>
        </w:rPr>
        <w:t>n de los derechos protegidos fuese</w:t>
      </w:r>
      <w:r w:rsidRPr="00500DB3">
        <w:rPr>
          <w:rFonts w:ascii="Times New Roman" w:hAnsi="Times New Roman"/>
          <w:szCs w:val="24"/>
        </w:rPr>
        <w:t xml:space="preserve"> una medida que el legislador debiera adoptar, debido a los perjuicios que pudiera ocasionar la exclusión de estos derechos de la vía del amparo.</w:t>
      </w:r>
    </w:p>
    <w:p w14:paraId="138D3C75" w14:textId="2DDC971B" w:rsidR="007F4029" w:rsidRPr="00500DB3" w:rsidRDefault="006025B5" w:rsidP="00AA2BB1">
      <w:pPr>
        <w:pStyle w:val="Ttulo3"/>
      </w:pPr>
      <w:bookmarkStart w:id="208" w:name="_Toc530596853"/>
      <w:bookmarkStart w:id="209" w:name="_Toc49423617"/>
      <w:bookmarkStart w:id="210" w:name="_Toc49708572"/>
      <w:bookmarkStart w:id="211" w:name="_Toc49790258"/>
      <w:bookmarkStart w:id="212" w:name="_Toc49866494"/>
      <w:bookmarkStart w:id="213" w:name="_Toc50373148"/>
      <w:r>
        <w:t xml:space="preserve">Limitación </w:t>
      </w:r>
      <w:r w:rsidR="00203A5A" w:rsidRPr="00203A5A">
        <w:t>de la posibilidad de interponer recursos de amparo</w:t>
      </w:r>
      <w:bookmarkEnd w:id="208"/>
      <w:bookmarkEnd w:id="209"/>
      <w:bookmarkEnd w:id="210"/>
      <w:bookmarkEnd w:id="211"/>
      <w:bookmarkEnd w:id="212"/>
      <w:bookmarkEnd w:id="213"/>
    </w:p>
    <w:p w14:paraId="4E2B5DA2" w14:textId="77777777" w:rsidR="00203A5A" w:rsidRPr="00203A5A" w:rsidRDefault="00203A5A" w:rsidP="00AA2BB1">
      <w:pPr>
        <w:rPr>
          <w:szCs w:val="24"/>
        </w:rPr>
      </w:pPr>
      <w:r w:rsidRPr="00203A5A">
        <w:rPr>
          <w:szCs w:val="24"/>
        </w:rPr>
        <w:t xml:space="preserve">En esta posibilidad de solución primaba la idea de disminuir el número de recursos interpuestos ante el TC, de modo que éste pudiese evitar el costoso trabajo que venía haciendo en el trámite de admisión de las demandas. </w:t>
      </w:r>
    </w:p>
    <w:p w14:paraId="70B3F108" w14:textId="290C3CC3" w:rsidR="00203A5A" w:rsidRPr="00203A5A" w:rsidRDefault="00203A5A" w:rsidP="00203A5A">
      <w:pPr>
        <w:rPr>
          <w:szCs w:val="24"/>
        </w:rPr>
      </w:pPr>
      <w:r>
        <w:rPr>
          <w:szCs w:val="24"/>
        </w:rPr>
        <w:lastRenderedPageBreak/>
        <w:t>Siguiendo a ESPINOSA DÍAZ</w:t>
      </w:r>
      <w:r w:rsidRPr="00203A5A">
        <w:rPr>
          <w:szCs w:val="24"/>
        </w:rPr>
        <w:t>,</w:t>
      </w:r>
      <w:r>
        <w:rPr>
          <w:rStyle w:val="Refdenotaalpie"/>
          <w:szCs w:val="24"/>
        </w:rPr>
        <w:footnoteReference w:id="85"/>
      </w:r>
      <w:r w:rsidRPr="00203A5A">
        <w:rPr>
          <w:szCs w:val="24"/>
        </w:rPr>
        <w:t xml:space="preserve"> se barajaron diversas propuestas a raíz de esta teoría:</w:t>
      </w:r>
    </w:p>
    <w:p w14:paraId="2DA23F22" w14:textId="78B8BFA5" w:rsidR="00203A5A" w:rsidRDefault="00203A5A" w:rsidP="001A4310">
      <w:pPr>
        <w:pStyle w:val="Ttulo4"/>
        <w:numPr>
          <w:ilvl w:val="0"/>
          <w:numId w:val="42"/>
        </w:numPr>
      </w:pPr>
      <w:bookmarkStart w:id="214" w:name="_Toc530596854"/>
      <w:bookmarkStart w:id="215" w:name="_Toc49423618"/>
      <w:bookmarkStart w:id="216" w:name="_Toc49866495"/>
      <w:r w:rsidRPr="00203A5A">
        <w:t>Limitación subjetiva</w:t>
      </w:r>
      <w:bookmarkEnd w:id="214"/>
      <w:bookmarkEnd w:id="215"/>
      <w:bookmarkEnd w:id="216"/>
    </w:p>
    <w:p w14:paraId="445CC7EE" w14:textId="056D23D6" w:rsidR="00203A5A" w:rsidRDefault="00203A5A" w:rsidP="00AA2BB1">
      <w:pPr>
        <w:rPr>
          <w:i/>
          <w:szCs w:val="24"/>
        </w:rPr>
      </w:pPr>
      <w:r w:rsidRPr="00203A5A">
        <w:rPr>
          <w:szCs w:val="24"/>
        </w:rPr>
        <w:t>La primera de ella fue la de disminuir los sujetos legitimados para interponer el recurso de amparo.</w:t>
      </w:r>
      <w:r>
        <w:rPr>
          <w:szCs w:val="24"/>
        </w:rPr>
        <w:t xml:space="preserve"> </w:t>
      </w:r>
      <w:r w:rsidRPr="00203A5A">
        <w:rPr>
          <w:szCs w:val="24"/>
        </w:rPr>
        <w:t>PÉREZ TREMPS</w:t>
      </w:r>
      <w:r>
        <w:rPr>
          <w:rStyle w:val="Refdenotaalpie"/>
          <w:szCs w:val="24"/>
        </w:rPr>
        <w:footnoteReference w:id="86"/>
      </w:r>
      <w:r>
        <w:rPr>
          <w:szCs w:val="24"/>
        </w:rPr>
        <w:t xml:space="preserve"> </w:t>
      </w:r>
      <w:r w:rsidRPr="00203A5A">
        <w:rPr>
          <w:szCs w:val="24"/>
        </w:rPr>
        <w:t xml:space="preserve">señala que esta hipótesis estaría constitucionalmente vedada por cuanto la regla básica de legitimación del amparo está en el art. 162.1.b) de la Constitución y el margen de maniobra del legislador es ínfimo en este punto. Añade además que </w:t>
      </w:r>
      <w:r w:rsidRPr="006660DC">
        <w:rPr>
          <w:i/>
          <w:szCs w:val="24"/>
        </w:rPr>
        <w:t>«siendo el recurso de amparo, como se ha visto, un recurso cuya finalidad sólo es proteger derechos, resulta complicado fijar criterios de legitimación que no sean los actuales».</w:t>
      </w:r>
    </w:p>
    <w:p w14:paraId="767EE872" w14:textId="77777777" w:rsidR="006660DC" w:rsidRPr="006660DC" w:rsidRDefault="006660DC" w:rsidP="00203A5A">
      <w:pPr>
        <w:ind w:firstLine="708"/>
        <w:rPr>
          <w:i/>
          <w:szCs w:val="24"/>
        </w:rPr>
      </w:pPr>
    </w:p>
    <w:p w14:paraId="366EC15D" w14:textId="77777777" w:rsidR="00203A5A" w:rsidRPr="00203A5A" w:rsidRDefault="00203A5A" w:rsidP="00AA2BB1">
      <w:pPr>
        <w:rPr>
          <w:szCs w:val="24"/>
        </w:rPr>
      </w:pPr>
      <w:r w:rsidRPr="00203A5A">
        <w:rPr>
          <w:szCs w:val="24"/>
        </w:rPr>
        <w:t>La legitimación para la presentación del recurso de amparo la ostentan, conforme al artículo 162.1 b) CE, el Ministerio Fiscal, el Defensor del Pueblo y toda persona natural o jurídica que invoque un interés legítimo.  Al venir impuesta desde la propia</w:t>
      </w:r>
    </w:p>
    <w:p w14:paraId="51FCE6B3" w14:textId="77777777" w:rsidR="00203A5A" w:rsidRPr="00203A5A" w:rsidRDefault="00203A5A" w:rsidP="00203A5A">
      <w:pPr>
        <w:rPr>
          <w:szCs w:val="24"/>
        </w:rPr>
      </w:pPr>
      <w:r w:rsidRPr="00203A5A">
        <w:rPr>
          <w:szCs w:val="24"/>
        </w:rPr>
        <w:t>Constitución, toda reforma que se proponga a este respecto conllevaría una reforma</w:t>
      </w:r>
    </w:p>
    <w:p w14:paraId="6E2B39AA" w14:textId="222B6999" w:rsidR="00203A5A" w:rsidRDefault="006660DC" w:rsidP="00203A5A">
      <w:pPr>
        <w:rPr>
          <w:szCs w:val="24"/>
        </w:rPr>
      </w:pPr>
      <w:r w:rsidRPr="00203A5A">
        <w:rPr>
          <w:szCs w:val="24"/>
        </w:rPr>
        <w:t>Constitucional</w:t>
      </w:r>
      <w:r w:rsidR="00203A5A" w:rsidRPr="00203A5A">
        <w:rPr>
          <w:szCs w:val="24"/>
        </w:rPr>
        <w:t>, lo que la dificulta sustancialmente.</w:t>
      </w:r>
    </w:p>
    <w:p w14:paraId="7DA863C2" w14:textId="77777777" w:rsidR="006660DC" w:rsidRPr="00203A5A" w:rsidRDefault="006660DC" w:rsidP="00203A5A">
      <w:pPr>
        <w:rPr>
          <w:szCs w:val="24"/>
        </w:rPr>
      </w:pPr>
    </w:p>
    <w:p w14:paraId="0B502A65" w14:textId="111E7790" w:rsidR="00203A5A" w:rsidRPr="00203A5A" w:rsidRDefault="00203A5A" w:rsidP="00AA2BB1">
      <w:pPr>
        <w:rPr>
          <w:szCs w:val="24"/>
        </w:rPr>
      </w:pPr>
      <w:r w:rsidRPr="00203A5A">
        <w:rPr>
          <w:szCs w:val="24"/>
        </w:rPr>
        <w:t xml:space="preserve">Coincidimos en este punto con PÉREZ TREMPS, ya que esta reforma conllevaría necesariamente una reforma constitucional, por </w:t>
      </w:r>
      <w:r w:rsidR="00F1749E" w:rsidRPr="00203A5A">
        <w:rPr>
          <w:szCs w:val="24"/>
        </w:rPr>
        <w:t>tanto,</w:t>
      </w:r>
      <w:r w:rsidRPr="00203A5A">
        <w:rPr>
          <w:szCs w:val="24"/>
        </w:rPr>
        <w:t xml:space="preserve"> sería muy complicada su aplicación.</w:t>
      </w:r>
    </w:p>
    <w:p w14:paraId="2912D27A" w14:textId="4007FD8A" w:rsidR="00AA1D31" w:rsidRDefault="00203A5A" w:rsidP="00203A5A">
      <w:pPr>
        <w:rPr>
          <w:szCs w:val="24"/>
        </w:rPr>
      </w:pPr>
      <w:r w:rsidRPr="00203A5A">
        <w:rPr>
          <w:szCs w:val="24"/>
        </w:rPr>
        <w:t>Por otro lado, atendiendo a la naturaleza del propio recurso de amparo, parece lógico que las personas legitimadas para interponerlo sean las mínima</w:t>
      </w:r>
      <w:r w:rsidR="006660DC">
        <w:rPr>
          <w:szCs w:val="24"/>
        </w:rPr>
        <w:t>s</w:t>
      </w:r>
      <w:r w:rsidRPr="00203A5A">
        <w:rPr>
          <w:szCs w:val="24"/>
        </w:rPr>
        <w:t xml:space="preserve"> dado el carácter extraordinario del mismo. Por tanto, no parece viable la exclusión de ninguno de los sujetos legitimados para su interposición.</w:t>
      </w:r>
    </w:p>
    <w:p w14:paraId="514BD52A" w14:textId="629D1A25" w:rsidR="00B91157" w:rsidRDefault="00805D00" w:rsidP="00AA2BB1">
      <w:pPr>
        <w:pStyle w:val="Ttulo4"/>
      </w:pPr>
      <w:bookmarkStart w:id="217" w:name="_Toc530596855"/>
      <w:bookmarkStart w:id="218" w:name="_Toc49423619"/>
      <w:bookmarkStart w:id="219" w:name="_Toc49866496"/>
      <w:r>
        <w:lastRenderedPageBreak/>
        <w:t>Limitación</w:t>
      </w:r>
      <w:r w:rsidR="00B91157" w:rsidRPr="00B91157">
        <w:t xml:space="preserve"> objetiva</w:t>
      </w:r>
      <w:bookmarkEnd w:id="217"/>
      <w:bookmarkEnd w:id="218"/>
      <w:bookmarkEnd w:id="219"/>
    </w:p>
    <w:p w14:paraId="618F7A13" w14:textId="653D9275" w:rsidR="006660DC" w:rsidRDefault="00B91157" w:rsidP="00AA2BB1">
      <w:pPr>
        <w:rPr>
          <w:szCs w:val="24"/>
        </w:rPr>
      </w:pPr>
      <w:r w:rsidRPr="00B91157">
        <w:rPr>
          <w:szCs w:val="24"/>
        </w:rPr>
        <w:t>Algunos autores, entre los que destacan PÉREZ TREMPS, sugirieron la posibilidad de restricción de acceso al TC mediante la disminución del número de asuntos que pudiesen ser objeto de amparo, si bien, como señala este autor, la dificultad radicaba en la determinación de los criterios a seguir para la admisión de los recursos.</w:t>
      </w:r>
    </w:p>
    <w:p w14:paraId="0057EC56" w14:textId="77777777" w:rsidR="00B91157" w:rsidRDefault="00B91157" w:rsidP="00B91157">
      <w:pPr>
        <w:ind w:firstLine="576"/>
        <w:rPr>
          <w:szCs w:val="24"/>
        </w:rPr>
      </w:pPr>
    </w:p>
    <w:p w14:paraId="03F62622" w14:textId="3A3F23DA" w:rsidR="00B91157" w:rsidRDefault="00B91157" w:rsidP="00AA2BB1">
      <w:pPr>
        <w:rPr>
          <w:szCs w:val="24"/>
        </w:rPr>
      </w:pPr>
      <w:r w:rsidRPr="00B91157">
        <w:rPr>
          <w:szCs w:val="24"/>
        </w:rPr>
        <w:t xml:space="preserve">Entre las posibilidades barajadas destacan la exclusión completa de los actos provenientes de alguno de los poderes públicos, concretamente los del poder judicial, debido a que es el que más recursos origina (el 99,95% en 2006), y la posibilidad de que </w:t>
      </w:r>
      <w:r>
        <w:rPr>
          <w:szCs w:val="24"/>
        </w:rPr>
        <w:t xml:space="preserve">no fuesen </w:t>
      </w:r>
      <w:r w:rsidRPr="00B91157">
        <w:rPr>
          <w:szCs w:val="24"/>
        </w:rPr>
        <w:t xml:space="preserve">recurribles en amparo los actos </w:t>
      </w:r>
      <w:r>
        <w:rPr>
          <w:szCs w:val="24"/>
        </w:rPr>
        <w:t xml:space="preserve">de los tribunales inferiores. </w:t>
      </w:r>
    </w:p>
    <w:p w14:paraId="21AEDCEE" w14:textId="77777777" w:rsidR="00B91157" w:rsidRDefault="00B91157" w:rsidP="00B91157">
      <w:pPr>
        <w:ind w:firstLine="576"/>
        <w:rPr>
          <w:szCs w:val="24"/>
        </w:rPr>
      </w:pPr>
    </w:p>
    <w:p w14:paraId="30B91C12" w14:textId="77777777" w:rsidR="00A53D40" w:rsidRPr="00A53D40" w:rsidRDefault="00A53D40" w:rsidP="00AA2BB1">
      <w:pPr>
        <w:rPr>
          <w:szCs w:val="24"/>
        </w:rPr>
      </w:pPr>
      <w:r w:rsidRPr="00A53D40">
        <w:rPr>
          <w:szCs w:val="24"/>
        </w:rPr>
        <w:t>Respecto a la primera, esta posibilidad tiene la ventaja de excluir la inmensa mayoría de demandas de amparo que llegan ante el TC, pues como ya sabemos estas proceden mayoritariamente del poder judicial. Sin embargo, estaríamos vaciando de contenido el artículo 123.1 CE al eliminar la supremacía de la jurisdicción constitucional en materia de garantías constitucionales. Por otra parte, esta propuesta conllevaría las mismas objeciones que al excluir el derecho a la tutela judicial efectiva puesto sería una consecuencia indirecta de esta medida.</w:t>
      </w:r>
    </w:p>
    <w:p w14:paraId="4876A50C" w14:textId="77777777" w:rsidR="00A53D40" w:rsidRPr="00A53D40" w:rsidRDefault="00A53D40" w:rsidP="00A53D40">
      <w:pPr>
        <w:ind w:firstLine="576"/>
        <w:rPr>
          <w:szCs w:val="24"/>
        </w:rPr>
      </w:pPr>
    </w:p>
    <w:p w14:paraId="0AA69448" w14:textId="427DBF1C" w:rsidR="00A53D40" w:rsidRDefault="00A53D40" w:rsidP="00AA2BB1">
      <w:pPr>
        <w:rPr>
          <w:szCs w:val="24"/>
        </w:rPr>
      </w:pPr>
      <w:r w:rsidRPr="00A53D40">
        <w:rPr>
          <w:szCs w:val="24"/>
        </w:rPr>
        <w:t>En cuanto a la propuesta de descongestión limitando los tribunales cuyas resoluciones pudieran recurrirse en amparo. En esta línea se ha propuesto que el recurso de amparo ante el TC se limite a las resoluciones del TS y a las de los Tribunales Superiores de Justici</w:t>
      </w:r>
      <w:r>
        <w:rPr>
          <w:szCs w:val="24"/>
        </w:rPr>
        <w:t>a de las Comunidades Autónomas.</w:t>
      </w:r>
      <w:r>
        <w:rPr>
          <w:rStyle w:val="Refdenotaalpie"/>
          <w:szCs w:val="24"/>
        </w:rPr>
        <w:footnoteReference w:id="87"/>
      </w:r>
    </w:p>
    <w:p w14:paraId="3E0ECF62" w14:textId="77777777" w:rsidR="006025B5" w:rsidRDefault="006025B5" w:rsidP="00AA2BB1">
      <w:pPr>
        <w:rPr>
          <w:szCs w:val="24"/>
        </w:rPr>
      </w:pPr>
      <w:r w:rsidRPr="00A53D40">
        <w:rPr>
          <w:szCs w:val="24"/>
        </w:rPr>
        <w:t>Podemos decir que esta reforma pese a que descongestionaría en cierta medida nuestro TC, no supondría ninguna mejora entre las discrepancias ya mencionadas entre TS y TC, pues seguirían latentes los problemas de competencias existentes.</w:t>
      </w:r>
    </w:p>
    <w:p w14:paraId="029DA66D" w14:textId="3C45CD45" w:rsidR="006025B5" w:rsidRDefault="00072018" w:rsidP="00AA2BB1">
      <w:pPr>
        <w:pStyle w:val="Ttulo4"/>
      </w:pPr>
      <w:bookmarkStart w:id="220" w:name="_Toc530596856"/>
      <w:bookmarkStart w:id="221" w:name="_Toc49423620"/>
      <w:bookmarkStart w:id="222" w:name="_Toc49866497"/>
      <w:r>
        <w:lastRenderedPageBreak/>
        <w:t>Desincentivar</w:t>
      </w:r>
      <w:r w:rsidR="006025B5" w:rsidRPr="006025B5">
        <w:t xml:space="preserve"> la presentación de recursos</w:t>
      </w:r>
      <w:bookmarkEnd w:id="220"/>
      <w:bookmarkEnd w:id="221"/>
      <w:bookmarkEnd w:id="222"/>
    </w:p>
    <w:p w14:paraId="5CE0B358" w14:textId="6C01AD27" w:rsidR="00072018" w:rsidRDefault="00183732" w:rsidP="00AA2BB1">
      <w:r w:rsidRPr="00183732">
        <w:t>La última propuesta dentro de este grupo fue la del establecimiento de una sanción a los abogados y/o a los procuradores. Esta medida está fundamentada en el hecho de que la mayoría de demandas de amparo son inadmitidas (en torno al 96% en 2006).</w:t>
      </w:r>
    </w:p>
    <w:p w14:paraId="175C9054" w14:textId="77777777" w:rsidR="00183732" w:rsidRDefault="00183732" w:rsidP="00183732">
      <w:pPr>
        <w:ind w:firstLine="708"/>
      </w:pPr>
    </w:p>
    <w:p w14:paraId="5519B45D" w14:textId="5969490C" w:rsidR="00183732" w:rsidRDefault="00183732" w:rsidP="00AA2BB1">
      <w:r w:rsidRPr="00183732">
        <w:t>Atendiendo a ESPINOSA DÍAZ, podemos decir que es de suponer que en gran parte de los casos el abogado puede tener conocimiento en el momento que comunica a su cliente la posibilidad de interponer el amparo que éste muy probablemente será inadmitido.</w:t>
      </w:r>
      <w:r w:rsidR="00BC489B">
        <w:t xml:space="preserve"> S</w:t>
      </w:r>
      <w:r w:rsidR="00BC489B" w:rsidRPr="00BC489B">
        <w:t>e planteó, por consiguiente, la posibilidad de exigir responsabilidad a los abogados y procuradores que intervienen en estos hechos y que con ello posibilitan la interposición de un recurso que ya desde sus inicios sabían que no tenía ninguna posibilidad de prosperar.</w:t>
      </w:r>
      <w:r w:rsidR="00BC489B">
        <w:t xml:space="preserve"> </w:t>
      </w:r>
      <w:r w:rsidR="00BC489B" w:rsidRPr="00BC489B">
        <w:t>Con esta solución, los abogados y procuradores sólo presentarían aquellos recursos que considerasen que tienen la suficiente entidad para ser admitidos a trámite por el TC, evitando asó los casos que se interponen con el objeto de dilatar el procedimiento.</w:t>
      </w:r>
      <w:r w:rsidR="00BC489B">
        <w:rPr>
          <w:rStyle w:val="Refdenotaalpie"/>
        </w:rPr>
        <w:footnoteReference w:id="88"/>
      </w:r>
    </w:p>
    <w:p w14:paraId="612064E7" w14:textId="77777777" w:rsidR="00BC489B" w:rsidRDefault="00BC489B" w:rsidP="00183732">
      <w:pPr>
        <w:ind w:firstLine="708"/>
      </w:pPr>
    </w:p>
    <w:p w14:paraId="29486372" w14:textId="77777777" w:rsidR="00BC489B" w:rsidRDefault="00BC489B" w:rsidP="00AA2BB1">
      <w:r>
        <w:t>Respecto a la sanción que podría imponerse, se proponían fundamentalmente sanciones de naturaleza disciplinaria, consistentes en la incapacitación para el ejercicio de la abogacía.</w:t>
      </w:r>
    </w:p>
    <w:p w14:paraId="1CD34F01" w14:textId="77777777" w:rsidR="00BC489B" w:rsidRDefault="00BC489B" w:rsidP="00BC489B">
      <w:pPr>
        <w:ind w:firstLine="708"/>
      </w:pPr>
    </w:p>
    <w:p w14:paraId="32CBDA25" w14:textId="73DF897A" w:rsidR="00BC489B" w:rsidRDefault="00BC489B" w:rsidP="00AA2BB1">
      <w:r>
        <w:t>Sin embargo, finalmente esta propuesta no tuvo cabida debido a ser considerada de dudosa eficacia por parte de la doctrina.</w:t>
      </w:r>
    </w:p>
    <w:p w14:paraId="78B9F02D" w14:textId="77777777" w:rsidR="00183732" w:rsidRDefault="00183732" w:rsidP="00183732">
      <w:pPr>
        <w:ind w:firstLine="708"/>
      </w:pPr>
    </w:p>
    <w:p w14:paraId="22578E50" w14:textId="6F579717" w:rsidR="007F4029" w:rsidRPr="00500DB3" w:rsidRDefault="00BC489B" w:rsidP="00AA2BB1">
      <w:pPr>
        <w:pStyle w:val="Ttulo3"/>
      </w:pPr>
      <w:bookmarkStart w:id="223" w:name="_Toc400644297"/>
      <w:bookmarkStart w:id="224" w:name="_Toc401009653"/>
      <w:bookmarkStart w:id="225" w:name="_Toc468382165"/>
      <w:bookmarkStart w:id="226" w:name="_Toc530596857"/>
      <w:bookmarkStart w:id="227" w:name="_Toc49423621"/>
      <w:bookmarkStart w:id="228" w:name="_Toc49708573"/>
      <w:bookmarkStart w:id="229" w:name="_Toc49790259"/>
      <w:bookmarkStart w:id="230" w:name="_Toc49866498"/>
      <w:bookmarkStart w:id="231" w:name="_Toc50373149"/>
      <w:r>
        <w:t>L</w:t>
      </w:r>
      <w:r w:rsidR="001C54A9" w:rsidRPr="00500DB3">
        <w:t>a reforma propuesta por el Tribunal Constitucional</w:t>
      </w:r>
      <w:bookmarkEnd w:id="223"/>
      <w:bookmarkEnd w:id="224"/>
      <w:bookmarkEnd w:id="225"/>
      <w:bookmarkEnd w:id="226"/>
      <w:bookmarkEnd w:id="227"/>
      <w:bookmarkEnd w:id="228"/>
      <w:bookmarkEnd w:id="229"/>
      <w:bookmarkEnd w:id="230"/>
      <w:bookmarkEnd w:id="231"/>
    </w:p>
    <w:p w14:paraId="13FB554D" w14:textId="4B03110F" w:rsidR="0070337F" w:rsidRPr="00500DB3" w:rsidRDefault="0070337F" w:rsidP="00AA2BB1">
      <w:pPr>
        <w:pStyle w:val="texto"/>
        <w:ind w:firstLine="0"/>
        <w:rPr>
          <w:rFonts w:ascii="Times New Roman" w:hAnsi="Times New Roman"/>
          <w:szCs w:val="24"/>
        </w:rPr>
      </w:pPr>
      <w:r w:rsidRPr="00500DB3">
        <w:rPr>
          <w:rFonts w:ascii="Times New Roman" w:hAnsi="Times New Roman"/>
          <w:szCs w:val="24"/>
        </w:rPr>
        <w:t>En mayo de</w:t>
      </w:r>
      <w:r w:rsidR="0060590D" w:rsidRPr="00500DB3">
        <w:rPr>
          <w:rFonts w:ascii="Times New Roman" w:hAnsi="Times New Roman"/>
          <w:szCs w:val="24"/>
        </w:rPr>
        <w:t xml:space="preserve"> 1998 el TC</w:t>
      </w:r>
      <w:r w:rsidRPr="00500DB3">
        <w:rPr>
          <w:rFonts w:ascii="Times New Roman" w:hAnsi="Times New Roman"/>
          <w:szCs w:val="24"/>
        </w:rPr>
        <w:t xml:space="preserve"> elaboró un borrador de reforma de la Ley Orgánica del</w:t>
      </w:r>
      <w:r w:rsidR="0060590D" w:rsidRPr="00500DB3">
        <w:rPr>
          <w:rFonts w:ascii="Times New Roman" w:hAnsi="Times New Roman"/>
          <w:szCs w:val="24"/>
        </w:rPr>
        <w:t xml:space="preserve"> Tribunal Constitucional</w:t>
      </w:r>
      <w:r w:rsidRPr="00500DB3">
        <w:rPr>
          <w:rFonts w:ascii="Times New Roman" w:hAnsi="Times New Roman"/>
          <w:szCs w:val="24"/>
        </w:rPr>
        <w:t xml:space="preserve"> intentando así resolver los problemas que ya por entonces padecía.</w:t>
      </w:r>
    </w:p>
    <w:p w14:paraId="2C043454" w14:textId="77777777" w:rsidR="002D4142" w:rsidRPr="00500DB3" w:rsidRDefault="001C54A9" w:rsidP="00AA2BB1">
      <w:pPr>
        <w:pStyle w:val="texto"/>
        <w:ind w:firstLine="0"/>
        <w:rPr>
          <w:rFonts w:ascii="Times New Roman" w:hAnsi="Times New Roman"/>
          <w:szCs w:val="24"/>
        </w:rPr>
      </w:pPr>
      <w:r w:rsidRPr="00500DB3">
        <w:rPr>
          <w:rFonts w:ascii="Times New Roman" w:hAnsi="Times New Roman"/>
          <w:szCs w:val="24"/>
        </w:rPr>
        <w:lastRenderedPageBreak/>
        <w:t>En relación con</w:t>
      </w:r>
      <w:r w:rsidR="0070337F" w:rsidRPr="00500DB3">
        <w:rPr>
          <w:rFonts w:ascii="Times New Roman" w:hAnsi="Times New Roman"/>
          <w:szCs w:val="24"/>
        </w:rPr>
        <w:t xml:space="preserve"> el trámite de admisión, propuso</w:t>
      </w:r>
      <w:r w:rsidRPr="00500DB3">
        <w:rPr>
          <w:rFonts w:ascii="Times New Roman" w:hAnsi="Times New Roman"/>
          <w:szCs w:val="24"/>
        </w:rPr>
        <w:t xml:space="preserve"> la reforma del artículo 50 LOTC incidiendo en dos aspectos </w:t>
      </w:r>
      <w:r w:rsidR="0070337F" w:rsidRPr="00500DB3">
        <w:rPr>
          <w:rFonts w:ascii="Times New Roman" w:hAnsi="Times New Roman"/>
          <w:szCs w:val="24"/>
        </w:rPr>
        <w:t>principalmente</w:t>
      </w:r>
      <w:r w:rsidRPr="00500DB3">
        <w:rPr>
          <w:rFonts w:ascii="Times New Roman" w:hAnsi="Times New Roman"/>
          <w:szCs w:val="24"/>
        </w:rPr>
        <w:t xml:space="preserve">: </w:t>
      </w:r>
    </w:p>
    <w:p w14:paraId="38584DB0" w14:textId="77777777" w:rsidR="001C54A9" w:rsidRPr="00500DB3" w:rsidRDefault="002D4142" w:rsidP="00AA2BB1">
      <w:pPr>
        <w:pStyle w:val="texto"/>
        <w:ind w:firstLine="0"/>
        <w:rPr>
          <w:rFonts w:ascii="Times New Roman" w:hAnsi="Times New Roman"/>
          <w:szCs w:val="24"/>
        </w:rPr>
      </w:pPr>
      <w:r w:rsidRPr="00500DB3">
        <w:rPr>
          <w:rFonts w:ascii="Times New Roman" w:hAnsi="Times New Roman"/>
          <w:szCs w:val="24"/>
        </w:rPr>
        <w:t>P</w:t>
      </w:r>
      <w:r w:rsidR="0070337F" w:rsidRPr="00500DB3">
        <w:rPr>
          <w:rFonts w:ascii="Times New Roman" w:hAnsi="Times New Roman"/>
          <w:szCs w:val="24"/>
        </w:rPr>
        <w:t xml:space="preserve">or una parte, este borrador </w:t>
      </w:r>
      <w:r w:rsidR="001C54A9" w:rsidRPr="00500DB3">
        <w:rPr>
          <w:rFonts w:ascii="Times New Roman" w:hAnsi="Times New Roman"/>
          <w:szCs w:val="24"/>
        </w:rPr>
        <w:t>introducía un nuevo requisito para la admisión conforme al cual sólo superarían esta fase los recursos que justificaran la existencia de un interés constitucional en la resolución del mismo o la existencia de un grave perjuicio para los de</w:t>
      </w:r>
      <w:r w:rsidR="0070337F" w:rsidRPr="00500DB3">
        <w:rPr>
          <w:rFonts w:ascii="Times New Roman" w:hAnsi="Times New Roman"/>
          <w:szCs w:val="24"/>
        </w:rPr>
        <w:t>rechos del recurrente</w:t>
      </w:r>
      <w:r w:rsidR="001C54A9" w:rsidRPr="00500DB3">
        <w:rPr>
          <w:rFonts w:ascii="Times New Roman" w:hAnsi="Times New Roman"/>
          <w:szCs w:val="24"/>
        </w:rPr>
        <w:t>, invirtiendo el trámite de admisión.</w:t>
      </w:r>
    </w:p>
    <w:p w14:paraId="2EA9243E" w14:textId="77777777" w:rsidR="001C54A9" w:rsidRPr="00500DB3" w:rsidRDefault="0070337F" w:rsidP="00AA2BB1">
      <w:pPr>
        <w:pStyle w:val="texto"/>
        <w:ind w:firstLine="0"/>
        <w:rPr>
          <w:rFonts w:ascii="Times New Roman" w:hAnsi="Times New Roman"/>
          <w:szCs w:val="24"/>
        </w:rPr>
      </w:pPr>
      <w:r w:rsidRPr="00500DB3">
        <w:rPr>
          <w:rFonts w:ascii="Times New Roman" w:hAnsi="Times New Roman"/>
          <w:szCs w:val="24"/>
        </w:rPr>
        <w:t xml:space="preserve">Por otra parte, en este borrador se proponía la </w:t>
      </w:r>
      <w:r w:rsidR="001C54A9" w:rsidRPr="00500DB3">
        <w:rPr>
          <w:rFonts w:ascii="Times New Roman" w:hAnsi="Times New Roman"/>
          <w:szCs w:val="24"/>
        </w:rPr>
        <w:t xml:space="preserve">modificación de los trámites y mayorías para la admisión del recurso, de manera que, según esta propuesta, se requeriría la unanimidad de la Sección a favor </w:t>
      </w:r>
      <w:r w:rsidR="002D4142" w:rsidRPr="00500DB3">
        <w:rPr>
          <w:rFonts w:ascii="Times New Roman" w:hAnsi="Times New Roman"/>
          <w:szCs w:val="24"/>
        </w:rPr>
        <w:t>de la misma, decisión que adoptaría l</w:t>
      </w:r>
      <w:r w:rsidR="001C54A9" w:rsidRPr="00500DB3">
        <w:rPr>
          <w:rFonts w:ascii="Times New Roman" w:hAnsi="Times New Roman"/>
          <w:szCs w:val="24"/>
        </w:rPr>
        <w:t>a forma de providencia, y, en caso de estar a favor de la admisión la mayoría (pero sin unanimidad), decidiría la Sala, también mediante providencia</w:t>
      </w:r>
      <w:r w:rsidR="002D4142" w:rsidRPr="00500DB3">
        <w:rPr>
          <w:rStyle w:val="Refdenotaalpie"/>
          <w:rFonts w:ascii="Times New Roman" w:hAnsi="Times New Roman"/>
          <w:szCs w:val="24"/>
        </w:rPr>
        <w:footnoteReference w:id="89"/>
      </w:r>
      <w:r w:rsidR="001C54A9" w:rsidRPr="00500DB3">
        <w:rPr>
          <w:rFonts w:ascii="Times New Roman" w:hAnsi="Times New Roman"/>
          <w:szCs w:val="24"/>
        </w:rPr>
        <w:t>.</w:t>
      </w:r>
    </w:p>
    <w:p w14:paraId="29E0270E" w14:textId="77777777" w:rsidR="001C54A9" w:rsidRPr="00500DB3" w:rsidRDefault="001C54A9" w:rsidP="00AA2BB1">
      <w:pPr>
        <w:pStyle w:val="texto"/>
        <w:ind w:firstLine="0"/>
        <w:rPr>
          <w:rFonts w:ascii="Times New Roman" w:hAnsi="Times New Roman"/>
          <w:szCs w:val="24"/>
        </w:rPr>
      </w:pPr>
      <w:r w:rsidRPr="00500DB3">
        <w:rPr>
          <w:rFonts w:ascii="Times New Roman" w:hAnsi="Times New Roman"/>
          <w:szCs w:val="24"/>
        </w:rPr>
        <w:t>Ninguna</w:t>
      </w:r>
      <w:r w:rsidR="002D4142" w:rsidRPr="00500DB3">
        <w:rPr>
          <w:rFonts w:ascii="Times New Roman" w:hAnsi="Times New Roman"/>
          <w:szCs w:val="24"/>
        </w:rPr>
        <w:t xml:space="preserve"> de estas propuestas se asumió en</w:t>
      </w:r>
      <w:r w:rsidRPr="00500DB3">
        <w:rPr>
          <w:rFonts w:ascii="Times New Roman" w:hAnsi="Times New Roman"/>
          <w:szCs w:val="24"/>
        </w:rPr>
        <w:t xml:space="preserve"> la reforma que el legislador llevó a cabo mediante la LO 7/1999.</w:t>
      </w:r>
    </w:p>
    <w:p w14:paraId="17471756" w14:textId="45733906" w:rsidR="001C54A9" w:rsidRPr="00424E97" w:rsidRDefault="00AA2BB1" w:rsidP="00AA2BB1">
      <w:pPr>
        <w:pStyle w:val="Ttulo2"/>
      </w:pPr>
      <w:bookmarkStart w:id="232" w:name="_Toc530596858"/>
      <w:bookmarkStart w:id="233" w:name="_Toc49423622"/>
      <w:bookmarkStart w:id="234" w:name="_Toc49708574"/>
      <w:bookmarkStart w:id="235" w:name="_Toc49790260"/>
      <w:bookmarkStart w:id="236" w:name="_Toc49866499"/>
      <w:bookmarkStart w:id="237" w:name="_Toc50373150"/>
      <w:r>
        <w:t>P</w:t>
      </w:r>
      <w:r w:rsidR="00724957" w:rsidRPr="00424E97">
        <w:t>aradigmas de derecho comparado</w:t>
      </w:r>
      <w:bookmarkEnd w:id="232"/>
      <w:bookmarkEnd w:id="233"/>
      <w:bookmarkEnd w:id="234"/>
      <w:bookmarkEnd w:id="235"/>
      <w:bookmarkEnd w:id="236"/>
      <w:bookmarkEnd w:id="237"/>
    </w:p>
    <w:p w14:paraId="3C29EC01" w14:textId="1F12795A" w:rsidR="008A2FC2" w:rsidRPr="00424E97" w:rsidRDefault="00724957" w:rsidP="001A4310">
      <w:pPr>
        <w:pStyle w:val="Ttulo3"/>
        <w:numPr>
          <w:ilvl w:val="0"/>
          <w:numId w:val="43"/>
        </w:numPr>
      </w:pPr>
      <w:bookmarkStart w:id="238" w:name="_Toc530596859"/>
      <w:bookmarkStart w:id="239" w:name="_Toc49423623"/>
      <w:bookmarkStart w:id="240" w:name="_Toc49708575"/>
      <w:bookmarkStart w:id="241" w:name="_Toc49790261"/>
      <w:bookmarkStart w:id="242" w:name="_Toc49866500"/>
      <w:bookmarkStart w:id="243" w:name="_Toc50373151"/>
      <w:r w:rsidRPr="00424E97">
        <w:t>Estados Unidos</w:t>
      </w:r>
      <w:bookmarkEnd w:id="238"/>
      <w:bookmarkEnd w:id="239"/>
      <w:bookmarkEnd w:id="240"/>
      <w:bookmarkEnd w:id="241"/>
      <w:bookmarkEnd w:id="242"/>
      <w:bookmarkEnd w:id="243"/>
    </w:p>
    <w:p w14:paraId="35DC9AA4" w14:textId="5E1350BF" w:rsidR="00812397" w:rsidRPr="00812397" w:rsidRDefault="00812397" w:rsidP="00AA2BB1">
      <w:pPr>
        <w:pStyle w:val="texto"/>
        <w:ind w:firstLine="0"/>
        <w:rPr>
          <w:rFonts w:ascii="Times New Roman" w:hAnsi="Times New Roman"/>
          <w:szCs w:val="24"/>
        </w:rPr>
      </w:pPr>
      <w:r w:rsidRPr="00812397">
        <w:rPr>
          <w:rFonts w:ascii="Times New Roman" w:hAnsi="Times New Roman"/>
          <w:szCs w:val="24"/>
        </w:rPr>
        <w:t>Comenzando por una breve referencia histórica, John Marshall, presidente del Tribunal Supremo de los Estados Unidos</w:t>
      </w:r>
      <w:r w:rsidR="003C1804">
        <w:rPr>
          <w:rStyle w:val="Refdenotaalpie"/>
          <w:rFonts w:ascii="Times New Roman" w:hAnsi="Times New Roman"/>
          <w:szCs w:val="24"/>
        </w:rPr>
        <w:footnoteReference w:id="90"/>
      </w:r>
      <w:r w:rsidRPr="00812397">
        <w:rPr>
          <w:rFonts w:ascii="Times New Roman" w:hAnsi="Times New Roman"/>
          <w:szCs w:val="24"/>
        </w:rPr>
        <w:t xml:space="preserve"> desde 1801, realizó una gran revolución. Cabe destacar entre otros logros el asentamiento del poder de la </w:t>
      </w:r>
      <w:r w:rsidRPr="00F1749E">
        <w:rPr>
          <w:rFonts w:ascii="Times New Roman" w:hAnsi="Times New Roman"/>
          <w:i/>
          <w:szCs w:val="24"/>
        </w:rPr>
        <w:t xml:space="preserve">judicial </w:t>
      </w:r>
      <w:proofErr w:type="spellStart"/>
      <w:r w:rsidRPr="00F1749E">
        <w:rPr>
          <w:rFonts w:ascii="Times New Roman" w:hAnsi="Times New Roman"/>
          <w:i/>
          <w:szCs w:val="24"/>
        </w:rPr>
        <w:t>review</w:t>
      </w:r>
      <w:proofErr w:type="spellEnd"/>
      <w:r w:rsidRPr="00F1749E">
        <w:rPr>
          <w:rFonts w:ascii="Times New Roman" w:hAnsi="Times New Roman"/>
          <w:i/>
          <w:szCs w:val="24"/>
        </w:rPr>
        <w:t xml:space="preserve"> </w:t>
      </w:r>
      <w:proofErr w:type="spellStart"/>
      <w:r w:rsidRPr="00F1749E">
        <w:rPr>
          <w:rFonts w:ascii="Times New Roman" w:hAnsi="Times New Roman"/>
          <w:i/>
          <w:szCs w:val="24"/>
        </w:rPr>
        <w:t>of</w:t>
      </w:r>
      <w:proofErr w:type="spellEnd"/>
      <w:r w:rsidRPr="00F1749E">
        <w:rPr>
          <w:rFonts w:ascii="Times New Roman" w:hAnsi="Times New Roman"/>
          <w:i/>
          <w:szCs w:val="24"/>
        </w:rPr>
        <w:t xml:space="preserve"> </w:t>
      </w:r>
      <w:proofErr w:type="spellStart"/>
      <w:r w:rsidRPr="00F1749E">
        <w:rPr>
          <w:rFonts w:ascii="Times New Roman" w:hAnsi="Times New Roman"/>
          <w:i/>
          <w:szCs w:val="24"/>
        </w:rPr>
        <w:t>legislation</w:t>
      </w:r>
      <w:proofErr w:type="spellEnd"/>
      <w:r w:rsidRPr="00812397">
        <w:rPr>
          <w:rFonts w:ascii="Times New Roman" w:hAnsi="Times New Roman"/>
          <w:szCs w:val="24"/>
        </w:rPr>
        <w:t xml:space="preserve"> y el crecimiento de poder que el Tribunal experimentó en estos años. </w:t>
      </w:r>
    </w:p>
    <w:p w14:paraId="6B254AA9" w14:textId="77777777" w:rsidR="00812397" w:rsidRPr="00812397" w:rsidRDefault="00812397" w:rsidP="00AA2BB1">
      <w:pPr>
        <w:pStyle w:val="texto"/>
        <w:ind w:firstLine="0"/>
        <w:rPr>
          <w:rFonts w:ascii="Times New Roman" w:hAnsi="Times New Roman"/>
          <w:szCs w:val="24"/>
        </w:rPr>
      </w:pPr>
      <w:r w:rsidRPr="00812397">
        <w:rPr>
          <w:rFonts w:ascii="Times New Roman" w:hAnsi="Times New Roman"/>
          <w:szCs w:val="24"/>
        </w:rPr>
        <w:lastRenderedPageBreak/>
        <w:t xml:space="preserve">Unos años después, en la segunda mitad del siglo XIX, el volumen de trabajo del Tribunal en materia de apelación comenzó a crecer considerablemente, hecho que nos recuerda a lo que ocurrirá con nuestro Alto Tribunal aproximadamente un siglo después. Esta carga de trabajo siguió creciendo año tras año lo que </w:t>
      </w:r>
      <w:proofErr w:type="spellStart"/>
      <w:r w:rsidRPr="00812397">
        <w:rPr>
          <w:rFonts w:ascii="Times New Roman" w:hAnsi="Times New Roman"/>
          <w:szCs w:val="24"/>
        </w:rPr>
        <w:t>provoco</w:t>
      </w:r>
      <w:proofErr w:type="spellEnd"/>
      <w:r w:rsidRPr="00812397">
        <w:rPr>
          <w:rFonts w:ascii="Times New Roman" w:hAnsi="Times New Roman"/>
          <w:szCs w:val="24"/>
        </w:rPr>
        <w:t xml:space="preserve"> la reforma del sistema de apelación federal introduciendo los tribunales de apelación intermedia para descargar así la carga de trabajo del Tribunal Supremo. Mediante este nuevo mecanismo, ya no será tarea del Alto Tribunal la corrección de los errores cometidos por los tribunales inferiores, sino que se encargará de establecer unas directrices generales y vinculantes para hacer efectiva la interpretación del derecho federal asegurando así la uniformidad a la hora de aplicarlo en los estados federados. </w:t>
      </w:r>
    </w:p>
    <w:p w14:paraId="10AE215F" w14:textId="77777777" w:rsidR="00812397" w:rsidRPr="00812397" w:rsidRDefault="00812397" w:rsidP="00AA2BB1">
      <w:pPr>
        <w:pStyle w:val="texto"/>
        <w:ind w:firstLine="0"/>
        <w:rPr>
          <w:rFonts w:ascii="Times New Roman" w:hAnsi="Times New Roman"/>
          <w:szCs w:val="24"/>
        </w:rPr>
      </w:pPr>
      <w:r w:rsidRPr="00812397">
        <w:rPr>
          <w:rFonts w:ascii="Times New Roman" w:hAnsi="Times New Roman"/>
          <w:szCs w:val="24"/>
        </w:rPr>
        <w:t>Sin embargo, como sucedió con los intentos de descarga de trabajo de nuestro TC, este remedio no resultó ser más que un mero parche, por lo que el número de casos pendientes siguió creciendo de manera exponencial, especialmente a partir de 1950.</w:t>
      </w:r>
    </w:p>
    <w:p w14:paraId="0342E340" w14:textId="4070069F" w:rsidR="00812397" w:rsidRPr="00812397" w:rsidRDefault="003C1804" w:rsidP="00AA2BB1">
      <w:pPr>
        <w:pStyle w:val="texto"/>
        <w:ind w:firstLine="0"/>
        <w:rPr>
          <w:rFonts w:ascii="Times New Roman" w:hAnsi="Times New Roman"/>
          <w:szCs w:val="24"/>
        </w:rPr>
      </w:pPr>
      <w:r>
        <w:rPr>
          <w:rFonts w:ascii="Times New Roman" w:hAnsi="Times New Roman"/>
          <w:szCs w:val="24"/>
        </w:rPr>
        <w:t>Al igual que</w:t>
      </w:r>
      <w:r w:rsidR="00812397" w:rsidRPr="00812397">
        <w:rPr>
          <w:rFonts w:ascii="Times New Roman" w:hAnsi="Times New Roman"/>
          <w:szCs w:val="24"/>
        </w:rPr>
        <w:t xml:space="preserve"> </w:t>
      </w:r>
      <w:r w:rsidR="00F1749E" w:rsidRPr="00812397">
        <w:rPr>
          <w:rFonts w:ascii="Times New Roman" w:hAnsi="Times New Roman"/>
          <w:szCs w:val="24"/>
        </w:rPr>
        <w:t>en España</w:t>
      </w:r>
      <w:r w:rsidR="00812397" w:rsidRPr="00812397">
        <w:rPr>
          <w:rFonts w:ascii="Times New Roman" w:hAnsi="Times New Roman"/>
          <w:szCs w:val="24"/>
        </w:rPr>
        <w:t xml:space="preserve">, esta crisis por sobrecarga de trabajo tuvo grandes consecuencias, entre ellas, el descenso de la calidad de las decisiones, la pendencia de los asuntos, así como el deterioro de la propia institución. </w:t>
      </w:r>
    </w:p>
    <w:p w14:paraId="794755F1" w14:textId="5C853BF1" w:rsidR="00812397" w:rsidRDefault="00812397" w:rsidP="00AA2BB1">
      <w:pPr>
        <w:pStyle w:val="texto"/>
        <w:ind w:firstLine="0"/>
        <w:rPr>
          <w:rFonts w:ascii="Times New Roman" w:hAnsi="Times New Roman"/>
          <w:szCs w:val="24"/>
        </w:rPr>
      </w:pPr>
      <w:r w:rsidRPr="00812397">
        <w:rPr>
          <w:rFonts w:ascii="Times New Roman" w:hAnsi="Times New Roman"/>
          <w:szCs w:val="24"/>
        </w:rPr>
        <w:t>La preocupación por el bienestar del Tribunal dio lugar</w:t>
      </w:r>
      <w:r w:rsidR="003C1804">
        <w:rPr>
          <w:rFonts w:ascii="Times New Roman" w:hAnsi="Times New Roman"/>
          <w:szCs w:val="24"/>
        </w:rPr>
        <w:t>, al igual que en España,</w:t>
      </w:r>
      <w:r w:rsidRPr="00812397">
        <w:rPr>
          <w:rFonts w:ascii="Times New Roman" w:hAnsi="Times New Roman"/>
          <w:szCs w:val="24"/>
        </w:rPr>
        <w:t xml:space="preserve"> a numerosas propuestas para su reforma</w:t>
      </w:r>
      <w:r w:rsidR="003C1804">
        <w:rPr>
          <w:rFonts w:ascii="Times New Roman" w:hAnsi="Times New Roman"/>
          <w:szCs w:val="24"/>
        </w:rPr>
        <w:t xml:space="preserve"> por parte de la doctrina y otros operadores jurídicos</w:t>
      </w:r>
      <w:r w:rsidRPr="00812397">
        <w:rPr>
          <w:rFonts w:ascii="Times New Roman" w:hAnsi="Times New Roman"/>
          <w:szCs w:val="24"/>
        </w:rPr>
        <w:t>. De entre todas las propuestas</w:t>
      </w:r>
      <w:r w:rsidR="003C1804">
        <w:rPr>
          <w:rFonts w:ascii="Times New Roman" w:hAnsi="Times New Roman"/>
          <w:szCs w:val="24"/>
        </w:rPr>
        <w:t>,</w:t>
      </w:r>
      <w:r w:rsidRPr="00812397">
        <w:rPr>
          <w:rFonts w:ascii="Times New Roman" w:hAnsi="Times New Roman"/>
          <w:szCs w:val="24"/>
        </w:rPr>
        <w:t xml:space="preserve"> se optó por la supresión de la apelación improrrogable del Tribunal. Ésta fue sustituida por la apelación de ejercicio discrecional mediante </w:t>
      </w:r>
      <w:proofErr w:type="spellStart"/>
      <w:r w:rsidRPr="00812397">
        <w:rPr>
          <w:rFonts w:ascii="Times New Roman" w:hAnsi="Times New Roman"/>
          <w:szCs w:val="24"/>
        </w:rPr>
        <w:t>certiorari</w:t>
      </w:r>
      <w:proofErr w:type="spellEnd"/>
      <w:r w:rsidRPr="00812397">
        <w:rPr>
          <w:rFonts w:ascii="Times New Roman" w:hAnsi="Times New Roman"/>
          <w:szCs w:val="24"/>
        </w:rPr>
        <w:t>, lo que otorga al Tribunal el control sobre su agenda de casos a decidir.</w:t>
      </w:r>
    </w:p>
    <w:p w14:paraId="2F4FB1B7" w14:textId="7DFD072F" w:rsidR="008A2FC2" w:rsidRDefault="008A2FC2" w:rsidP="00AA2BB1">
      <w:pPr>
        <w:pStyle w:val="texto"/>
        <w:ind w:firstLine="0"/>
        <w:rPr>
          <w:rFonts w:ascii="Times New Roman" w:hAnsi="Times New Roman"/>
          <w:szCs w:val="24"/>
        </w:rPr>
      </w:pPr>
      <w:r w:rsidRPr="00500DB3">
        <w:rPr>
          <w:rFonts w:ascii="Times New Roman" w:hAnsi="Times New Roman"/>
          <w:szCs w:val="24"/>
        </w:rPr>
        <w:t>El sistema de</w:t>
      </w:r>
      <w:r w:rsidR="003C1804">
        <w:rPr>
          <w:rFonts w:ascii="Times New Roman" w:hAnsi="Times New Roman"/>
          <w:szCs w:val="24"/>
        </w:rPr>
        <w:t xml:space="preserve"> </w:t>
      </w:r>
      <w:proofErr w:type="spellStart"/>
      <w:r w:rsidR="003C1804">
        <w:rPr>
          <w:rFonts w:ascii="Times New Roman" w:hAnsi="Times New Roman"/>
          <w:szCs w:val="24"/>
        </w:rPr>
        <w:t>writ</w:t>
      </w:r>
      <w:proofErr w:type="spellEnd"/>
      <w:r w:rsidR="003C1804">
        <w:rPr>
          <w:rFonts w:ascii="Times New Roman" w:hAnsi="Times New Roman"/>
          <w:szCs w:val="24"/>
        </w:rPr>
        <w:t xml:space="preserve"> </w:t>
      </w:r>
      <w:proofErr w:type="spellStart"/>
      <w:r w:rsidR="003C1804">
        <w:rPr>
          <w:rFonts w:ascii="Times New Roman" w:hAnsi="Times New Roman"/>
          <w:szCs w:val="24"/>
        </w:rPr>
        <w:t>of</w:t>
      </w:r>
      <w:proofErr w:type="spellEnd"/>
      <w:r w:rsidR="003C1804">
        <w:rPr>
          <w:rFonts w:ascii="Times New Roman" w:hAnsi="Times New Roman"/>
          <w:szCs w:val="24"/>
        </w:rPr>
        <w:t xml:space="preserve"> </w:t>
      </w:r>
      <w:proofErr w:type="spellStart"/>
      <w:r w:rsidR="003C1804">
        <w:rPr>
          <w:rFonts w:ascii="Times New Roman" w:hAnsi="Times New Roman"/>
          <w:szCs w:val="24"/>
        </w:rPr>
        <w:t>certiorari</w:t>
      </w:r>
      <w:proofErr w:type="spellEnd"/>
      <w:r w:rsidR="003C1804">
        <w:rPr>
          <w:rFonts w:ascii="Times New Roman" w:hAnsi="Times New Roman"/>
          <w:szCs w:val="24"/>
        </w:rPr>
        <w:t xml:space="preserve"> se basa</w:t>
      </w:r>
      <w:r w:rsidRPr="00500DB3">
        <w:rPr>
          <w:rFonts w:ascii="Times New Roman" w:hAnsi="Times New Roman"/>
          <w:szCs w:val="24"/>
        </w:rPr>
        <w:t xml:space="preserve"> en una concepción objetiva del recurso de amparo, el cual limitaría el conocimiento del TC a aquellos casos en los que se estimase le existencia de un interés objetivo. Con este sistema, sólo se admitirían aquellos recursos en los que el Tribunal (o el órgano de admisión) comprobase que existe un interés objetivo para la defensa de la Constitución y la interpretación de los derechos fundamentales.</w:t>
      </w:r>
    </w:p>
    <w:p w14:paraId="13504584" w14:textId="1951FC59" w:rsidR="003C1804" w:rsidRPr="003C1804" w:rsidRDefault="003C1804" w:rsidP="00AA2BB1">
      <w:pPr>
        <w:pStyle w:val="texto"/>
        <w:ind w:firstLine="0"/>
        <w:rPr>
          <w:rFonts w:ascii="Times New Roman" w:hAnsi="Times New Roman"/>
          <w:szCs w:val="24"/>
        </w:rPr>
      </w:pPr>
      <w:r>
        <w:rPr>
          <w:rFonts w:ascii="Times New Roman" w:hAnsi="Times New Roman"/>
          <w:szCs w:val="24"/>
        </w:rPr>
        <w:t xml:space="preserve">Cabe destacar en este punto la </w:t>
      </w:r>
      <w:r w:rsidR="00F1749E">
        <w:rPr>
          <w:rFonts w:ascii="Times New Roman" w:hAnsi="Times New Roman"/>
          <w:szCs w:val="24"/>
        </w:rPr>
        <w:t xml:space="preserve">opinión </w:t>
      </w:r>
      <w:r w:rsidR="00F1749E" w:rsidRPr="003C1804">
        <w:rPr>
          <w:rFonts w:ascii="Times New Roman" w:hAnsi="Times New Roman"/>
          <w:szCs w:val="24"/>
        </w:rPr>
        <w:t>AHUMADA</w:t>
      </w:r>
      <w:r>
        <w:rPr>
          <w:rFonts w:ascii="Times New Roman" w:hAnsi="Times New Roman"/>
          <w:szCs w:val="24"/>
        </w:rPr>
        <w:t xml:space="preserve"> RUÍZ al afirmar lo siguiente: </w:t>
      </w:r>
      <w:r w:rsidRPr="003C1804">
        <w:rPr>
          <w:rFonts w:ascii="Times New Roman" w:hAnsi="Times New Roman"/>
          <w:szCs w:val="24"/>
        </w:rPr>
        <w:t xml:space="preserve">“Lo que parece evidente es que el </w:t>
      </w:r>
      <w:proofErr w:type="spellStart"/>
      <w:r w:rsidRPr="003C1804">
        <w:rPr>
          <w:rFonts w:ascii="Times New Roman" w:hAnsi="Times New Roman"/>
          <w:szCs w:val="24"/>
        </w:rPr>
        <w:t>certiorari</w:t>
      </w:r>
      <w:proofErr w:type="spellEnd"/>
      <w:r w:rsidRPr="003C1804">
        <w:rPr>
          <w:rFonts w:ascii="Times New Roman" w:hAnsi="Times New Roman"/>
          <w:szCs w:val="24"/>
        </w:rPr>
        <w:t xml:space="preserve"> ya no es por si sólo —si alguna vez lo fue— el remedio a los males del Tribunal; pero su historia, desde hace algo más de un siglo, discurre en paralelo a la de las crisis recurrentes del Tribunal por exceso de trabajo”.  </w:t>
      </w:r>
      <w:r w:rsidRPr="003C1804">
        <w:rPr>
          <w:rFonts w:ascii="Times New Roman" w:hAnsi="Times New Roman"/>
          <w:szCs w:val="24"/>
        </w:rPr>
        <w:lastRenderedPageBreak/>
        <w:t xml:space="preserve">Añade la autora a continuación: “Podemos afirmar que la introducción y generalización del </w:t>
      </w:r>
      <w:proofErr w:type="spellStart"/>
      <w:r w:rsidRPr="003C1804">
        <w:rPr>
          <w:rFonts w:ascii="Times New Roman" w:hAnsi="Times New Roman"/>
          <w:szCs w:val="24"/>
        </w:rPr>
        <w:t>certiorari</w:t>
      </w:r>
      <w:proofErr w:type="spellEnd"/>
      <w:r w:rsidRPr="003C1804">
        <w:rPr>
          <w:rFonts w:ascii="Times New Roman" w:hAnsi="Times New Roman"/>
          <w:szCs w:val="24"/>
        </w:rPr>
        <w:t xml:space="preserve"> ha impulsado y favorecido la transformación de la función “constitucional” del Tribunal Supremo y aun del carácter de la litigación que tiene lugar en él”.  </w:t>
      </w:r>
      <w:r>
        <w:rPr>
          <w:rStyle w:val="Refdenotaalpie"/>
          <w:rFonts w:ascii="Times New Roman" w:hAnsi="Times New Roman"/>
          <w:szCs w:val="24"/>
        </w:rPr>
        <w:footnoteReference w:id="91"/>
      </w:r>
    </w:p>
    <w:p w14:paraId="09879C78" w14:textId="65C45C57" w:rsidR="003C1804" w:rsidRPr="003C1804" w:rsidRDefault="003C1804" w:rsidP="00AA2BB1">
      <w:pPr>
        <w:pStyle w:val="texto"/>
        <w:ind w:firstLine="0"/>
        <w:rPr>
          <w:rFonts w:ascii="Times New Roman" w:hAnsi="Times New Roman"/>
          <w:szCs w:val="24"/>
        </w:rPr>
      </w:pPr>
      <w:r>
        <w:rPr>
          <w:rFonts w:ascii="Times New Roman" w:hAnsi="Times New Roman"/>
          <w:szCs w:val="24"/>
        </w:rPr>
        <w:t>E</w:t>
      </w:r>
      <w:r w:rsidRPr="003C1804">
        <w:rPr>
          <w:rFonts w:ascii="Times New Roman" w:hAnsi="Times New Roman"/>
          <w:szCs w:val="24"/>
        </w:rPr>
        <w:t xml:space="preserve">l </w:t>
      </w:r>
      <w:proofErr w:type="spellStart"/>
      <w:r w:rsidRPr="003C1804">
        <w:rPr>
          <w:rFonts w:ascii="Times New Roman" w:hAnsi="Times New Roman"/>
          <w:szCs w:val="24"/>
        </w:rPr>
        <w:t>certiorari</w:t>
      </w:r>
      <w:proofErr w:type="spellEnd"/>
      <w:r w:rsidRPr="003C1804">
        <w:rPr>
          <w:rFonts w:ascii="Times New Roman" w:hAnsi="Times New Roman"/>
          <w:szCs w:val="24"/>
        </w:rPr>
        <w:t xml:space="preserve"> otorga al Tribunal la facultad para seleccionar bajo su criterio, de entre todos aquellos casos que le llegan, aquellos casos que le resultan más interesantes o trascendentes o que “le permiten desempeñar mejor su función institucional”. </w:t>
      </w:r>
    </w:p>
    <w:p w14:paraId="328A4DF5" w14:textId="77777777" w:rsidR="003C1804" w:rsidRPr="003C1804" w:rsidRDefault="003C1804" w:rsidP="00AA2BB1">
      <w:pPr>
        <w:pStyle w:val="texto"/>
        <w:ind w:firstLine="0"/>
        <w:rPr>
          <w:rFonts w:ascii="Times New Roman" w:hAnsi="Times New Roman"/>
          <w:szCs w:val="24"/>
        </w:rPr>
      </w:pPr>
      <w:r w:rsidRPr="003C1804">
        <w:rPr>
          <w:rFonts w:ascii="Times New Roman" w:hAnsi="Times New Roman"/>
          <w:szCs w:val="24"/>
        </w:rPr>
        <w:t xml:space="preserve">Conviene destacar en este punto lo que, a mi parecer, resulta más peligroso, la discrecionalidad (o posible arbitrariedad) por parte del Tribunal a la hora de decidir qué asuntos va a resolver. </w:t>
      </w:r>
    </w:p>
    <w:p w14:paraId="7EDD89D7" w14:textId="4E0C1DA9" w:rsidR="003C1804" w:rsidRPr="003C1804" w:rsidRDefault="003C1804" w:rsidP="00AA2BB1">
      <w:pPr>
        <w:pStyle w:val="texto"/>
        <w:ind w:firstLine="0"/>
        <w:rPr>
          <w:rFonts w:ascii="Times New Roman" w:hAnsi="Times New Roman"/>
          <w:szCs w:val="24"/>
        </w:rPr>
      </w:pPr>
      <w:r w:rsidRPr="003C1804">
        <w:rPr>
          <w:rFonts w:ascii="Times New Roman" w:hAnsi="Times New Roman"/>
          <w:szCs w:val="24"/>
        </w:rPr>
        <w:t xml:space="preserve">En el caso del Tribunal estadounidense, cabe destacar que éste no ha facilitado, como habría sido de esperar, unos criterios que ayuden a los demandantes a saber en qué casos el Tribunal </w:t>
      </w:r>
      <w:proofErr w:type="gramStart"/>
      <w:r w:rsidRPr="003C1804">
        <w:rPr>
          <w:rFonts w:ascii="Times New Roman" w:hAnsi="Times New Roman"/>
          <w:szCs w:val="24"/>
        </w:rPr>
        <w:t>tiende</w:t>
      </w:r>
      <w:proofErr w:type="gramEnd"/>
      <w:r w:rsidRPr="003C1804">
        <w:rPr>
          <w:rFonts w:ascii="Times New Roman" w:hAnsi="Times New Roman"/>
          <w:szCs w:val="24"/>
        </w:rPr>
        <w:t xml:space="preserve"> a la admisión de los asuntos en qué caso al rechazo. Según AHUMADA</w:t>
      </w:r>
      <w:r w:rsidR="00323F1F">
        <w:rPr>
          <w:rFonts w:ascii="Times New Roman" w:hAnsi="Times New Roman"/>
          <w:szCs w:val="24"/>
        </w:rPr>
        <w:t xml:space="preserve"> RUÍZ el Tribunal pretendería con</w:t>
      </w:r>
      <w:r w:rsidRPr="003C1804">
        <w:rPr>
          <w:rFonts w:ascii="Times New Roman" w:hAnsi="Times New Roman"/>
          <w:szCs w:val="24"/>
        </w:rPr>
        <w:t xml:space="preserve"> este comportamiento que el </w:t>
      </w:r>
      <w:proofErr w:type="spellStart"/>
      <w:r w:rsidRPr="003C1804">
        <w:rPr>
          <w:rFonts w:ascii="Times New Roman" w:hAnsi="Times New Roman"/>
          <w:szCs w:val="24"/>
        </w:rPr>
        <w:t>certiorari</w:t>
      </w:r>
      <w:proofErr w:type="spellEnd"/>
      <w:r w:rsidRPr="003C1804">
        <w:rPr>
          <w:rFonts w:ascii="Times New Roman" w:hAnsi="Times New Roman"/>
          <w:szCs w:val="24"/>
        </w:rPr>
        <w:t xml:space="preserve"> conserve el carácter de prerrogativa y que la petición </w:t>
      </w:r>
      <w:proofErr w:type="spellStart"/>
      <w:r w:rsidRPr="003C1804">
        <w:rPr>
          <w:rFonts w:ascii="Times New Roman" w:hAnsi="Times New Roman"/>
          <w:szCs w:val="24"/>
        </w:rPr>
        <w:t>writ</w:t>
      </w:r>
      <w:proofErr w:type="spellEnd"/>
      <w:r w:rsidRPr="003C1804">
        <w:rPr>
          <w:rFonts w:ascii="Times New Roman" w:hAnsi="Times New Roman"/>
          <w:szCs w:val="24"/>
        </w:rPr>
        <w:t xml:space="preserve"> </w:t>
      </w:r>
      <w:proofErr w:type="spellStart"/>
      <w:r w:rsidRPr="003C1804">
        <w:rPr>
          <w:rFonts w:ascii="Times New Roman" w:hAnsi="Times New Roman"/>
          <w:szCs w:val="24"/>
        </w:rPr>
        <w:t>of</w:t>
      </w:r>
      <w:proofErr w:type="spellEnd"/>
      <w:r w:rsidRPr="003C1804">
        <w:rPr>
          <w:rFonts w:ascii="Times New Roman" w:hAnsi="Times New Roman"/>
          <w:szCs w:val="24"/>
        </w:rPr>
        <w:t xml:space="preserve"> </w:t>
      </w:r>
      <w:proofErr w:type="spellStart"/>
      <w:r w:rsidRPr="003C1804">
        <w:rPr>
          <w:rFonts w:ascii="Times New Roman" w:hAnsi="Times New Roman"/>
          <w:szCs w:val="24"/>
        </w:rPr>
        <w:t>certiorari</w:t>
      </w:r>
      <w:proofErr w:type="spellEnd"/>
      <w:r w:rsidRPr="003C1804">
        <w:rPr>
          <w:rFonts w:ascii="Times New Roman" w:hAnsi="Times New Roman"/>
          <w:szCs w:val="24"/>
        </w:rPr>
        <w:t xml:space="preserve"> siga siendo materia graciable pues así lo fue desde su origen. </w:t>
      </w:r>
      <w:r w:rsidR="00323F1F">
        <w:rPr>
          <w:rStyle w:val="Refdenotaalpie"/>
          <w:rFonts w:ascii="Times New Roman" w:hAnsi="Times New Roman"/>
          <w:szCs w:val="24"/>
        </w:rPr>
        <w:footnoteReference w:id="92"/>
      </w:r>
    </w:p>
    <w:p w14:paraId="6F0997D9" w14:textId="13FDF525" w:rsidR="003C1804" w:rsidRPr="00500DB3" w:rsidRDefault="003C1804" w:rsidP="00AA2BB1">
      <w:pPr>
        <w:pStyle w:val="texto"/>
        <w:ind w:firstLine="0"/>
        <w:rPr>
          <w:rFonts w:ascii="Times New Roman" w:hAnsi="Times New Roman"/>
          <w:szCs w:val="24"/>
        </w:rPr>
      </w:pPr>
      <w:r w:rsidRPr="003C1804">
        <w:rPr>
          <w:rFonts w:ascii="Times New Roman" w:hAnsi="Times New Roman"/>
          <w:szCs w:val="24"/>
        </w:rPr>
        <w:t xml:space="preserve">Por este y otros muchos motivos no estoy de acuerdo de la inserción en nuestro sistema jurídico de un mecanismo similar al </w:t>
      </w:r>
      <w:proofErr w:type="spellStart"/>
      <w:r w:rsidRPr="003C1804">
        <w:rPr>
          <w:rFonts w:ascii="Times New Roman" w:hAnsi="Times New Roman"/>
          <w:szCs w:val="24"/>
        </w:rPr>
        <w:t>certiorari</w:t>
      </w:r>
      <w:proofErr w:type="spellEnd"/>
      <w:r w:rsidRPr="003C1804">
        <w:rPr>
          <w:rFonts w:ascii="Times New Roman" w:hAnsi="Times New Roman"/>
          <w:szCs w:val="24"/>
        </w:rPr>
        <w:t xml:space="preserve"> estadounidense. He mencionado anteriormente mi discrepancia con la reforma introducida por la LO 6/2007 debido a la inseguridad jurídica que, en mi opinión, ocasiona el indeterminado concepto de la especial trascendencia constitucional. Si tenemos en cuenta que el </w:t>
      </w:r>
      <w:proofErr w:type="spellStart"/>
      <w:r w:rsidRPr="003C1804">
        <w:rPr>
          <w:rFonts w:ascii="Times New Roman" w:hAnsi="Times New Roman"/>
          <w:szCs w:val="24"/>
        </w:rPr>
        <w:t>certiorari</w:t>
      </w:r>
      <w:proofErr w:type="spellEnd"/>
      <w:r w:rsidRPr="003C1804">
        <w:rPr>
          <w:rFonts w:ascii="Times New Roman" w:hAnsi="Times New Roman"/>
          <w:szCs w:val="24"/>
        </w:rPr>
        <w:t xml:space="preserve"> ni siquiera ofrece, al menos así sucede en Estados Unidos, unos criterios aproximados que ayuden a saber en qué casos </w:t>
      </w:r>
      <w:proofErr w:type="gramStart"/>
      <w:r w:rsidRPr="003C1804">
        <w:rPr>
          <w:rFonts w:ascii="Times New Roman" w:hAnsi="Times New Roman"/>
          <w:szCs w:val="24"/>
        </w:rPr>
        <w:t>puede</w:t>
      </w:r>
      <w:proofErr w:type="gramEnd"/>
      <w:r w:rsidRPr="003C1804">
        <w:rPr>
          <w:rFonts w:ascii="Times New Roman" w:hAnsi="Times New Roman"/>
          <w:szCs w:val="24"/>
        </w:rPr>
        <w:t xml:space="preserve"> ser admitida la demanda, estaríamos acentuando más aún el problema que ya plantea el actual amparo.</w:t>
      </w:r>
    </w:p>
    <w:p w14:paraId="1F617AAC" w14:textId="77777777" w:rsidR="008A2FC2" w:rsidRPr="00500DB3" w:rsidRDefault="008A2FC2" w:rsidP="00AA2BB1">
      <w:pPr>
        <w:pStyle w:val="texto"/>
        <w:spacing w:after="100"/>
        <w:ind w:firstLine="0"/>
        <w:rPr>
          <w:rFonts w:ascii="Times New Roman" w:hAnsi="Times New Roman"/>
          <w:i/>
          <w:szCs w:val="24"/>
        </w:rPr>
      </w:pPr>
      <w:r w:rsidRPr="00500DB3">
        <w:rPr>
          <w:rFonts w:ascii="Times New Roman" w:hAnsi="Times New Roman"/>
          <w:szCs w:val="24"/>
        </w:rPr>
        <w:lastRenderedPageBreak/>
        <w:t>CABAÑAS GARCÍA</w:t>
      </w:r>
      <w:r w:rsidRPr="00500DB3">
        <w:rPr>
          <w:rStyle w:val="Refdenotaalpie"/>
          <w:rFonts w:ascii="Times New Roman" w:hAnsi="Times New Roman"/>
          <w:szCs w:val="24"/>
        </w:rPr>
        <w:footnoteReference w:id="93"/>
      </w:r>
      <w:r w:rsidRPr="00500DB3">
        <w:rPr>
          <w:rFonts w:ascii="Times New Roman" w:hAnsi="Times New Roman"/>
          <w:szCs w:val="24"/>
        </w:rPr>
        <w:t xml:space="preserve"> opina que no resulta una medida idónea para contener la tentación de justiciables y abogados en interponer demandas de amparo claramente infundadas, el implantar la inseguridad jurídica a través de un sistema de admisión discrecional de los recursos ante el TC, es decir, sin una delimitación legal de los supuestos de admisión al modo del </w:t>
      </w:r>
      <w:proofErr w:type="spellStart"/>
      <w:r w:rsidRPr="00500DB3">
        <w:rPr>
          <w:rFonts w:ascii="Times New Roman" w:hAnsi="Times New Roman"/>
          <w:i/>
          <w:szCs w:val="24"/>
        </w:rPr>
        <w:t>writ</w:t>
      </w:r>
      <w:proofErr w:type="spellEnd"/>
      <w:r w:rsidRPr="00500DB3">
        <w:rPr>
          <w:rFonts w:ascii="Times New Roman" w:hAnsi="Times New Roman"/>
          <w:i/>
          <w:szCs w:val="24"/>
        </w:rPr>
        <w:t xml:space="preserve"> </w:t>
      </w:r>
      <w:proofErr w:type="spellStart"/>
      <w:r w:rsidRPr="00500DB3">
        <w:rPr>
          <w:rFonts w:ascii="Times New Roman" w:hAnsi="Times New Roman"/>
          <w:i/>
          <w:szCs w:val="24"/>
        </w:rPr>
        <w:t>of</w:t>
      </w:r>
      <w:proofErr w:type="spellEnd"/>
      <w:r w:rsidRPr="00500DB3">
        <w:rPr>
          <w:rFonts w:ascii="Times New Roman" w:hAnsi="Times New Roman"/>
          <w:i/>
          <w:szCs w:val="24"/>
        </w:rPr>
        <w:t xml:space="preserve"> </w:t>
      </w:r>
      <w:proofErr w:type="spellStart"/>
      <w:r w:rsidRPr="00500DB3">
        <w:rPr>
          <w:rFonts w:ascii="Times New Roman" w:hAnsi="Times New Roman"/>
          <w:i/>
          <w:szCs w:val="24"/>
        </w:rPr>
        <w:t>certiorari</w:t>
      </w:r>
      <w:proofErr w:type="spellEnd"/>
      <w:r w:rsidRPr="00500DB3">
        <w:rPr>
          <w:rFonts w:ascii="Times New Roman" w:hAnsi="Times New Roman"/>
          <w:szCs w:val="24"/>
        </w:rPr>
        <w:t xml:space="preserve"> norteamericano. Añade el autor que «</w:t>
      </w:r>
      <w:r w:rsidRPr="00500DB3">
        <w:rPr>
          <w:rFonts w:ascii="Times New Roman" w:hAnsi="Times New Roman"/>
          <w:i/>
          <w:szCs w:val="24"/>
        </w:rPr>
        <w:t>con la introducción de un sistema similar se pretendería evitar que la gran mayoría de amparos pasen de la fase de admisión, facultando al Tribunal a autorizarlo sólo en aquellas causas que se antojen trascendentes para sus Magistrados, bien por las peculiares circunstancias que rodean al caso y/o sus repercusiones colectivas, bien desde un fin abstracto de formar doctrina».</w:t>
      </w:r>
    </w:p>
    <w:p w14:paraId="79ABCD02" w14:textId="77777777" w:rsidR="008A2FC2" w:rsidRPr="00500DB3" w:rsidRDefault="008A2FC2" w:rsidP="00AA2BB1">
      <w:pPr>
        <w:pStyle w:val="texto"/>
        <w:spacing w:after="100"/>
        <w:ind w:firstLine="0"/>
        <w:rPr>
          <w:rFonts w:ascii="Times New Roman" w:hAnsi="Times New Roman"/>
          <w:szCs w:val="24"/>
        </w:rPr>
      </w:pPr>
      <w:r w:rsidRPr="00500DB3">
        <w:rPr>
          <w:rFonts w:ascii="Times New Roman" w:hAnsi="Times New Roman"/>
          <w:szCs w:val="24"/>
        </w:rPr>
        <w:t xml:space="preserve">Otro inconveniente de este sistema, también mencionado por CABAÑAS GARCÍA, es el hecho de </w:t>
      </w:r>
      <w:proofErr w:type="spellStart"/>
      <w:r w:rsidRPr="00500DB3">
        <w:rPr>
          <w:rFonts w:ascii="Times New Roman" w:hAnsi="Times New Roman"/>
          <w:szCs w:val="24"/>
        </w:rPr>
        <w:t>se</w:t>
      </w:r>
      <w:proofErr w:type="spellEnd"/>
      <w:r w:rsidRPr="00500DB3">
        <w:rPr>
          <w:rFonts w:ascii="Times New Roman" w:hAnsi="Times New Roman"/>
          <w:szCs w:val="24"/>
        </w:rPr>
        <w:t xml:space="preserve"> podría producir un desplazamiento en la carga de trabajo de los Magistrados a la fase de admisión. De esta forma, pese a que en un principio se detendría el número de demandas que entran en el TC, la carga de trabajo a la que se verían sometidos los Magistrados a la hora de admitir o no las demandas implicarían una vuelta a las antiguas dilaciones que ya sufrió nuestro TC.</w:t>
      </w:r>
    </w:p>
    <w:p w14:paraId="438BDD49" w14:textId="490FCB4F" w:rsidR="00724957" w:rsidRPr="00424E97" w:rsidRDefault="00724957" w:rsidP="00AA2BB1">
      <w:pPr>
        <w:pStyle w:val="Ttulo3"/>
      </w:pPr>
      <w:bookmarkStart w:id="244" w:name="_Toc530596860"/>
      <w:bookmarkStart w:id="245" w:name="_Toc49423624"/>
      <w:bookmarkStart w:id="246" w:name="_Toc49708576"/>
      <w:bookmarkStart w:id="247" w:name="_Toc49790262"/>
      <w:bookmarkStart w:id="248" w:name="_Toc49866501"/>
      <w:bookmarkStart w:id="249" w:name="_Toc50373152"/>
      <w:r w:rsidRPr="00424E97">
        <w:t>Alemania</w:t>
      </w:r>
      <w:bookmarkEnd w:id="244"/>
      <w:bookmarkEnd w:id="245"/>
      <w:bookmarkEnd w:id="246"/>
      <w:bookmarkEnd w:id="247"/>
      <w:bookmarkEnd w:id="248"/>
      <w:bookmarkEnd w:id="249"/>
    </w:p>
    <w:p w14:paraId="3AD95A6E" w14:textId="00668CFC" w:rsidR="002B670B" w:rsidRPr="00500DB3" w:rsidRDefault="002B670B" w:rsidP="00AA2BB1">
      <w:pPr>
        <w:pStyle w:val="texto"/>
        <w:spacing w:after="100"/>
        <w:ind w:firstLine="0"/>
        <w:rPr>
          <w:rFonts w:ascii="Times New Roman" w:hAnsi="Times New Roman"/>
          <w:szCs w:val="24"/>
        </w:rPr>
      </w:pPr>
      <w:r w:rsidRPr="00500DB3">
        <w:rPr>
          <w:rFonts w:ascii="Times New Roman" w:hAnsi="Times New Roman"/>
          <w:szCs w:val="24"/>
        </w:rPr>
        <w:t xml:space="preserve">HESSE afirmaba que, </w:t>
      </w:r>
      <w:r w:rsidR="00424E97">
        <w:rPr>
          <w:rFonts w:ascii="Times New Roman" w:hAnsi="Times New Roman"/>
          <w:szCs w:val="24"/>
        </w:rPr>
        <w:t>en las últimas décadas h</w:t>
      </w:r>
      <w:r w:rsidRPr="00500DB3">
        <w:rPr>
          <w:rFonts w:ascii="Times New Roman" w:hAnsi="Times New Roman"/>
          <w:szCs w:val="24"/>
        </w:rPr>
        <w:t>a</w:t>
      </w:r>
      <w:r w:rsidR="00424E97">
        <w:rPr>
          <w:rFonts w:ascii="Times New Roman" w:hAnsi="Times New Roman"/>
          <w:szCs w:val="24"/>
        </w:rPr>
        <w:t>bía</w:t>
      </w:r>
      <w:r w:rsidRPr="00500DB3">
        <w:rPr>
          <w:rFonts w:ascii="Times New Roman" w:hAnsi="Times New Roman"/>
          <w:szCs w:val="24"/>
        </w:rPr>
        <w:t xml:space="preserve"> tenido lugar </w:t>
      </w:r>
      <w:r w:rsidR="00424E97">
        <w:rPr>
          <w:rFonts w:ascii="Times New Roman" w:hAnsi="Times New Roman"/>
          <w:szCs w:val="24"/>
        </w:rPr>
        <w:t xml:space="preserve">en Europa </w:t>
      </w:r>
      <w:r w:rsidRPr="00500DB3">
        <w:rPr>
          <w:rFonts w:ascii="Times New Roman" w:hAnsi="Times New Roman"/>
          <w:szCs w:val="24"/>
        </w:rPr>
        <w:t>un triunfo de la Jurisdicción constitucional. La transición de los totalitarismos hacia un régimen democrático ha favorecido el surgimiento de tribunales constitucionales o a la ampliación de sus competencias donde ya existían. Pero ese proceso no se detuvo en el ámbito del Estado nacional. Surgieron también tribunales supranacionales con tareas propias a las de los tribunales constitucionales nacionales: la Corte Europea de Derechos Humanos y el Tribunal de Justicia de las Comunidades</w:t>
      </w:r>
      <w:r w:rsidR="00424E97">
        <w:rPr>
          <w:rFonts w:ascii="Times New Roman" w:hAnsi="Times New Roman"/>
          <w:szCs w:val="24"/>
        </w:rPr>
        <w:t>.</w:t>
      </w:r>
      <w:r w:rsidR="00236CCD" w:rsidRPr="00500DB3">
        <w:rPr>
          <w:rStyle w:val="Refdenotaalpie"/>
          <w:rFonts w:ascii="Times New Roman" w:hAnsi="Times New Roman"/>
          <w:szCs w:val="24"/>
        </w:rPr>
        <w:footnoteReference w:id="94"/>
      </w:r>
    </w:p>
    <w:p w14:paraId="58454747" w14:textId="16F4D676" w:rsidR="002B670B" w:rsidRPr="00500DB3" w:rsidRDefault="00424E97" w:rsidP="00AA2BB1">
      <w:pPr>
        <w:pStyle w:val="texto"/>
        <w:spacing w:after="100"/>
        <w:ind w:firstLine="0"/>
        <w:rPr>
          <w:rFonts w:ascii="Times New Roman" w:hAnsi="Times New Roman"/>
          <w:szCs w:val="24"/>
        </w:rPr>
      </w:pPr>
      <w:r>
        <w:rPr>
          <w:rFonts w:ascii="Times New Roman" w:hAnsi="Times New Roman"/>
          <w:szCs w:val="24"/>
        </w:rPr>
        <w:lastRenderedPageBreak/>
        <w:t>L</w:t>
      </w:r>
      <w:r w:rsidR="00236CCD" w:rsidRPr="00500DB3">
        <w:rPr>
          <w:rFonts w:ascii="Times New Roman" w:hAnsi="Times New Roman"/>
          <w:szCs w:val="24"/>
        </w:rPr>
        <w:t>a Jurisdicción constitucional alemana no se mantuvo separada de tales desarrollos.  Desde su creación a raíz de la Segunda Guerra Mundial, la República F</w:t>
      </w:r>
      <w:r>
        <w:rPr>
          <w:rFonts w:ascii="Times New Roman" w:hAnsi="Times New Roman"/>
          <w:szCs w:val="24"/>
        </w:rPr>
        <w:t>ederal fue más lejos que otros E</w:t>
      </w:r>
      <w:r w:rsidR="00236CCD" w:rsidRPr="00500DB3">
        <w:rPr>
          <w:rFonts w:ascii="Times New Roman" w:hAnsi="Times New Roman"/>
          <w:szCs w:val="24"/>
        </w:rPr>
        <w:t xml:space="preserve">stados.   </w:t>
      </w:r>
    </w:p>
    <w:p w14:paraId="669C8537" w14:textId="070A4245" w:rsidR="00236CCD" w:rsidRPr="00500DB3" w:rsidRDefault="00236CCD" w:rsidP="00AA2BB1">
      <w:pPr>
        <w:pStyle w:val="texto"/>
        <w:spacing w:after="100"/>
        <w:ind w:firstLine="0"/>
        <w:rPr>
          <w:rFonts w:ascii="Times New Roman" w:hAnsi="Times New Roman"/>
          <w:szCs w:val="24"/>
        </w:rPr>
      </w:pPr>
      <w:r w:rsidRPr="00500DB3">
        <w:rPr>
          <w:rFonts w:ascii="Times New Roman" w:hAnsi="Times New Roman"/>
          <w:szCs w:val="24"/>
        </w:rPr>
        <w:t xml:space="preserve">En el mes de septiembre de 1951, se constituyó solemnemente en Karlsruhe el Tribunal Constitucional Federal alemán. Hasta ese momento, nunca en la historia constitucional alemana se había conferido a un Tribunal competencias de tanto alcance como al Tribunal Constitucional Federal. En efecto, y en palabras de JOACHIM FALLER , al Tribunal le competía: </w:t>
      </w:r>
      <w:r w:rsidRPr="00500DB3">
        <w:rPr>
          <w:rFonts w:ascii="Times New Roman" w:hAnsi="Times New Roman"/>
          <w:i/>
          <w:szCs w:val="24"/>
        </w:rPr>
        <w:t>“interpretar vinculantemente la Constitución —la Ley Fundamental—, garantizar la acción conjuntada de los distintos órganos del Estado —en el seno de la Federación y en los Lander— conforme al plan contenido en el Texto constitucional, velar por la observancia de los límites del poder del Estado frente a los ciudadanos individuales y, finalmente, defender las bases de la existencia del orden democrático liberal fundamental contra los ataques de fuerzas anticonstitucionales.”</w:t>
      </w:r>
      <w:r w:rsidRPr="00500DB3">
        <w:rPr>
          <w:rStyle w:val="Refdenotaalpie"/>
          <w:rFonts w:ascii="Times New Roman" w:hAnsi="Times New Roman"/>
          <w:i/>
          <w:szCs w:val="24"/>
        </w:rPr>
        <w:footnoteReference w:id="95"/>
      </w:r>
    </w:p>
    <w:p w14:paraId="2F9CF628" w14:textId="24B76C03" w:rsidR="00062ED7" w:rsidRPr="00500DB3" w:rsidRDefault="00062ED7" w:rsidP="00AA2BB1">
      <w:pPr>
        <w:pStyle w:val="texto"/>
        <w:spacing w:after="100"/>
        <w:ind w:firstLine="0"/>
        <w:rPr>
          <w:rFonts w:ascii="Times New Roman" w:hAnsi="Times New Roman"/>
          <w:szCs w:val="24"/>
        </w:rPr>
      </w:pPr>
      <w:r w:rsidRPr="00500DB3">
        <w:rPr>
          <w:rFonts w:ascii="Times New Roman" w:hAnsi="Times New Roman"/>
          <w:szCs w:val="24"/>
        </w:rPr>
        <w:t>La Ley reguladora del Tribunal Constitucional Federal de 12 de marzo de 1951 sufrió diversas reformas a lo largo de sus primeros cuarenta años de vida. Las tres primeras leyes de reforma realizaron cambios en la organización del Tribunal, tales como un nuevo sistema de reparto de los asuntos entre las dos Salas, la reducción del número de magistrados de 24 a 16, la supresión de los dictámenes a emitir por el Pleno, etc., así como nuevos preceptos en relación con el procedimiento de control concreto de normas y tendentes a la simplificación del recurso de amparo. Con ello pretendían aliviar la carga de trabajo del Tribunal. Respecto a los recursos de amparo, se estableció un procedimiento de admisión que hacía posible rechazar un recurso mediante la decisión unánime e inapelable de una comisión de tres magistrados en el supuesto de que se hubiera presentado con violación de las formalidades exigidas, fuera de plazo, estuviera incurso en causa de inadmisión o careciera manifiestamente de fundamento</w:t>
      </w:r>
      <w:r w:rsidRPr="00500DB3">
        <w:rPr>
          <w:rStyle w:val="Refdenotaalpie"/>
          <w:rFonts w:ascii="Times New Roman" w:hAnsi="Times New Roman"/>
          <w:szCs w:val="24"/>
        </w:rPr>
        <w:footnoteReference w:id="96"/>
      </w:r>
      <w:r w:rsidRPr="00500DB3">
        <w:rPr>
          <w:rFonts w:ascii="Times New Roman" w:hAnsi="Times New Roman"/>
          <w:szCs w:val="24"/>
        </w:rPr>
        <w:t>.</w:t>
      </w:r>
    </w:p>
    <w:p w14:paraId="2BB77261" w14:textId="4CF700FF" w:rsidR="00062ED7" w:rsidRPr="00500DB3" w:rsidRDefault="00062ED7" w:rsidP="00AA2BB1">
      <w:pPr>
        <w:pStyle w:val="texto"/>
        <w:spacing w:after="100"/>
        <w:ind w:firstLine="0"/>
        <w:rPr>
          <w:rFonts w:ascii="Times New Roman" w:hAnsi="Times New Roman"/>
          <w:szCs w:val="24"/>
        </w:rPr>
      </w:pPr>
      <w:r w:rsidRPr="00500DB3">
        <w:rPr>
          <w:rFonts w:ascii="Times New Roman" w:hAnsi="Times New Roman"/>
          <w:szCs w:val="24"/>
        </w:rPr>
        <w:t>Posteriormente se volvió a modificar el procedimiento de admisión</w:t>
      </w:r>
      <w:r w:rsidR="00DD77B8" w:rsidRPr="00500DB3">
        <w:rPr>
          <w:rFonts w:ascii="Times New Roman" w:hAnsi="Times New Roman"/>
          <w:szCs w:val="24"/>
        </w:rPr>
        <w:t xml:space="preserve"> del recurso de amparo. En esta ocasión se produjo </w:t>
      </w:r>
      <w:r w:rsidRPr="00500DB3">
        <w:rPr>
          <w:rFonts w:ascii="Times New Roman" w:hAnsi="Times New Roman"/>
          <w:szCs w:val="24"/>
        </w:rPr>
        <w:t>la sustitución del motivo alternativo de no admisión de la «falta manifiesta</w:t>
      </w:r>
      <w:r w:rsidR="00DD77B8" w:rsidRPr="00500DB3">
        <w:rPr>
          <w:rFonts w:ascii="Times New Roman" w:hAnsi="Times New Roman"/>
          <w:szCs w:val="24"/>
        </w:rPr>
        <w:t xml:space="preserve"> </w:t>
      </w:r>
      <w:r w:rsidRPr="00500DB3">
        <w:rPr>
          <w:rFonts w:ascii="Times New Roman" w:hAnsi="Times New Roman"/>
          <w:szCs w:val="24"/>
        </w:rPr>
        <w:t xml:space="preserve">de fundamento» por la «falta de perspectivas suficientes de éxito», </w:t>
      </w:r>
      <w:r w:rsidRPr="00500DB3">
        <w:rPr>
          <w:rFonts w:ascii="Times New Roman" w:hAnsi="Times New Roman"/>
          <w:szCs w:val="24"/>
        </w:rPr>
        <w:lastRenderedPageBreak/>
        <w:t>con</w:t>
      </w:r>
      <w:r w:rsidR="00DD77B8" w:rsidRPr="00500DB3">
        <w:rPr>
          <w:rFonts w:ascii="Times New Roman" w:hAnsi="Times New Roman"/>
          <w:szCs w:val="24"/>
        </w:rPr>
        <w:t xml:space="preserve"> ello se pretendía fortalecer la </w:t>
      </w:r>
      <w:r w:rsidRPr="00500DB3">
        <w:rPr>
          <w:rFonts w:ascii="Times New Roman" w:hAnsi="Times New Roman"/>
          <w:szCs w:val="24"/>
        </w:rPr>
        <w:t>virtualidad selectiva del procedimiento de admisión</w:t>
      </w:r>
      <w:r w:rsidR="00DD77B8" w:rsidRPr="00500DB3">
        <w:rPr>
          <w:rFonts w:ascii="Times New Roman" w:hAnsi="Times New Roman"/>
          <w:szCs w:val="24"/>
        </w:rPr>
        <w:t>.</w:t>
      </w:r>
      <w:r w:rsidR="003B6785" w:rsidRPr="00500DB3">
        <w:rPr>
          <w:rFonts w:ascii="Times New Roman" w:hAnsi="Times New Roman"/>
          <w:szCs w:val="24"/>
        </w:rPr>
        <w:t xml:space="preserve"> A esta reforma la siguieron muchas más.</w:t>
      </w:r>
    </w:p>
    <w:p w14:paraId="720063C6" w14:textId="7C3A8CB2" w:rsidR="00DD77B8" w:rsidRPr="00500DB3" w:rsidRDefault="003B6785" w:rsidP="00AA2BB1">
      <w:pPr>
        <w:pStyle w:val="texto"/>
        <w:spacing w:after="100"/>
        <w:ind w:firstLine="0"/>
        <w:rPr>
          <w:rFonts w:ascii="Times New Roman" w:hAnsi="Times New Roman"/>
          <w:szCs w:val="24"/>
        </w:rPr>
      </w:pPr>
      <w:r w:rsidRPr="00500DB3">
        <w:rPr>
          <w:rFonts w:ascii="Times New Roman" w:hAnsi="Times New Roman"/>
          <w:szCs w:val="24"/>
        </w:rPr>
        <w:t>Pese a todos</w:t>
      </w:r>
      <w:r w:rsidR="00DD77B8" w:rsidRPr="00500DB3">
        <w:rPr>
          <w:rFonts w:ascii="Times New Roman" w:hAnsi="Times New Roman"/>
          <w:szCs w:val="24"/>
        </w:rPr>
        <w:t xml:space="preserve"> estos intentos de reforma </w:t>
      </w:r>
      <w:r w:rsidRPr="00500DB3">
        <w:rPr>
          <w:rFonts w:ascii="Times New Roman" w:hAnsi="Times New Roman"/>
          <w:szCs w:val="24"/>
        </w:rPr>
        <w:t>para</w:t>
      </w:r>
      <w:r w:rsidR="00DD77B8" w:rsidRPr="00500DB3">
        <w:rPr>
          <w:rFonts w:ascii="Times New Roman" w:hAnsi="Times New Roman"/>
          <w:szCs w:val="24"/>
        </w:rPr>
        <w:t xml:space="preserve"> descarga</w:t>
      </w:r>
      <w:r w:rsidRPr="00500DB3">
        <w:rPr>
          <w:rFonts w:ascii="Times New Roman" w:hAnsi="Times New Roman"/>
          <w:szCs w:val="24"/>
        </w:rPr>
        <w:t>r</w:t>
      </w:r>
      <w:r w:rsidR="00DD77B8" w:rsidRPr="00500DB3">
        <w:rPr>
          <w:rFonts w:ascii="Times New Roman" w:hAnsi="Times New Roman"/>
          <w:szCs w:val="24"/>
        </w:rPr>
        <w:t xml:space="preserve"> de trabajo</w:t>
      </w:r>
      <w:r w:rsidRPr="00500DB3">
        <w:rPr>
          <w:rFonts w:ascii="Times New Roman" w:hAnsi="Times New Roman"/>
          <w:szCs w:val="24"/>
        </w:rPr>
        <w:t xml:space="preserve"> al Tribunal</w:t>
      </w:r>
      <w:r w:rsidR="00DD77B8" w:rsidRPr="00500DB3">
        <w:rPr>
          <w:rFonts w:ascii="Times New Roman" w:hAnsi="Times New Roman"/>
          <w:szCs w:val="24"/>
        </w:rPr>
        <w:t>, el número de</w:t>
      </w:r>
      <w:r w:rsidRPr="00500DB3">
        <w:rPr>
          <w:rFonts w:ascii="Times New Roman" w:hAnsi="Times New Roman"/>
          <w:szCs w:val="24"/>
        </w:rPr>
        <w:t xml:space="preserve"> </w:t>
      </w:r>
      <w:r w:rsidR="00DD77B8" w:rsidRPr="00500DB3">
        <w:rPr>
          <w:rFonts w:ascii="Times New Roman" w:hAnsi="Times New Roman"/>
          <w:szCs w:val="24"/>
        </w:rPr>
        <w:t xml:space="preserve">asuntos pendientes </w:t>
      </w:r>
      <w:r w:rsidRPr="00500DB3">
        <w:rPr>
          <w:rFonts w:ascii="Times New Roman" w:hAnsi="Times New Roman"/>
          <w:szCs w:val="24"/>
        </w:rPr>
        <w:t>co</w:t>
      </w:r>
      <w:r w:rsidR="00DD77B8" w:rsidRPr="00500DB3">
        <w:rPr>
          <w:rFonts w:ascii="Times New Roman" w:hAnsi="Times New Roman"/>
          <w:szCs w:val="24"/>
        </w:rPr>
        <w:t>ntinuó creciendo</w:t>
      </w:r>
      <w:r w:rsidRPr="00500DB3">
        <w:rPr>
          <w:rFonts w:ascii="Times New Roman" w:hAnsi="Times New Roman"/>
          <w:szCs w:val="24"/>
        </w:rPr>
        <w:t xml:space="preserve"> </w:t>
      </w:r>
      <w:r w:rsidR="00DD77B8" w:rsidRPr="00500DB3">
        <w:rPr>
          <w:rFonts w:ascii="Times New Roman" w:hAnsi="Times New Roman"/>
          <w:szCs w:val="24"/>
        </w:rPr>
        <w:t>incesantemente. Ya desde la propia apertura del Tribunal en 1951 eran</w:t>
      </w:r>
      <w:r w:rsidRPr="00500DB3">
        <w:rPr>
          <w:rFonts w:ascii="Times New Roman" w:hAnsi="Times New Roman"/>
          <w:szCs w:val="24"/>
        </w:rPr>
        <w:t xml:space="preserve"> </w:t>
      </w:r>
      <w:r w:rsidR="00DD77B8" w:rsidRPr="00500DB3">
        <w:rPr>
          <w:rFonts w:ascii="Times New Roman" w:hAnsi="Times New Roman"/>
          <w:szCs w:val="24"/>
        </w:rPr>
        <w:t>numerosos los recursos de amparo presentados</w:t>
      </w:r>
      <w:r w:rsidRPr="00500DB3">
        <w:rPr>
          <w:rFonts w:ascii="Times New Roman" w:hAnsi="Times New Roman"/>
          <w:szCs w:val="24"/>
        </w:rPr>
        <w:t>.</w:t>
      </w:r>
    </w:p>
    <w:p w14:paraId="2A619E94" w14:textId="3CCE3BA0" w:rsidR="00F870F7" w:rsidRPr="00500DB3" w:rsidRDefault="00936389" w:rsidP="00AA2BB1">
      <w:pPr>
        <w:pStyle w:val="texto"/>
        <w:spacing w:after="100"/>
        <w:ind w:firstLine="0"/>
        <w:rPr>
          <w:rFonts w:ascii="Times New Roman" w:hAnsi="Times New Roman"/>
          <w:szCs w:val="24"/>
        </w:rPr>
      </w:pPr>
      <w:r w:rsidRPr="00500DB3">
        <w:rPr>
          <w:rFonts w:ascii="Times New Roman" w:hAnsi="Times New Roman"/>
          <w:szCs w:val="24"/>
        </w:rPr>
        <w:t xml:space="preserve">Podemos ver, por tanto, </w:t>
      </w:r>
      <w:r w:rsidR="00F1749E" w:rsidRPr="00500DB3">
        <w:rPr>
          <w:rFonts w:ascii="Times New Roman" w:hAnsi="Times New Roman"/>
          <w:szCs w:val="24"/>
        </w:rPr>
        <w:t>que,</w:t>
      </w:r>
      <w:r w:rsidRPr="00500DB3">
        <w:rPr>
          <w:rFonts w:ascii="Times New Roman" w:hAnsi="Times New Roman"/>
          <w:szCs w:val="24"/>
        </w:rPr>
        <w:t xml:space="preserve"> en Alemania, de manera similar a como ha sucedido en España, la sobrecarga y el desbordamiento del TC a consecuencia de los recursos de amparo hicieron necesario el planteamiento de una reforma en este órgano. En el año 1993 se procedió a flexibilizar al máximo la admisión del amparo sin que ello repercutiera en su carácter reglado. Sin embargo, esta reforma fue insuficiente lo cual determinó la creación de la Comisión </w:t>
      </w:r>
      <w:proofErr w:type="spellStart"/>
      <w:r w:rsidRPr="00500DB3">
        <w:rPr>
          <w:rFonts w:ascii="Times New Roman" w:hAnsi="Times New Roman"/>
          <w:szCs w:val="24"/>
        </w:rPr>
        <w:t>Benda</w:t>
      </w:r>
      <w:proofErr w:type="spellEnd"/>
      <w:r w:rsidRPr="00500DB3">
        <w:rPr>
          <w:rFonts w:ascii="Times New Roman" w:hAnsi="Times New Roman"/>
          <w:szCs w:val="24"/>
        </w:rPr>
        <w:t xml:space="preserve">. Esta Comisión </w:t>
      </w:r>
      <w:r w:rsidR="00F870F7" w:rsidRPr="00500DB3">
        <w:rPr>
          <w:rFonts w:ascii="Times New Roman" w:hAnsi="Times New Roman"/>
          <w:szCs w:val="24"/>
        </w:rPr>
        <w:t xml:space="preserve">fue instituida para analizar las diversas propuestas de reforma del Tribunal. Sin entrar en todo el proceso de debate de la Comisión, </w:t>
      </w:r>
      <w:r w:rsidR="004F2211" w:rsidRPr="00500DB3">
        <w:rPr>
          <w:rFonts w:ascii="Times New Roman" w:hAnsi="Times New Roman"/>
          <w:szCs w:val="24"/>
        </w:rPr>
        <w:t xml:space="preserve">nos remitiremos </w:t>
      </w:r>
      <w:r w:rsidR="00F870F7" w:rsidRPr="00500DB3">
        <w:rPr>
          <w:rFonts w:ascii="Times New Roman" w:hAnsi="Times New Roman"/>
          <w:szCs w:val="24"/>
        </w:rPr>
        <w:t>a su conclusión principal y al voto particular que emitió la Magis</w:t>
      </w:r>
      <w:r w:rsidR="004F2211" w:rsidRPr="00500DB3">
        <w:rPr>
          <w:rFonts w:ascii="Times New Roman" w:hAnsi="Times New Roman"/>
          <w:szCs w:val="24"/>
        </w:rPr>
        <w:t xml:space="preserve">trada Karin </w:t>
      </w:r>
      <w:proofErr w:type="spellStart"/>
      <w:r w:rsidR="004F2211" w:rsidRPr="00500DB3">
        <w:rPr>
          <w:rFonts w:ascii="Times New Roman" w:hAnsi="Times New Roman"/>
          <w:szCs w:val="24"/>
        </w:rPr>
        <w:t>Grasshof</w:t>
      </w:r>
      <w:proofErr w:type="spellEnd"/>
      <w:r w:rsidR="004F2211" w:rsidRPr="00500DB3">
        <w:rPr>
          <w:rFonts w:ascii="Times New Roman" w:hAnsi="Times New Roman"/>
          <w:szCs w:val="24"/>
        </w:rPr>
        <w:t>, el cual nos</w:t>
      </w:r>
      <w:r w:rsidR="00F870F7" w:rsidRPr="00500DB3">
        <w:rPr>
          <w:rFonts w:ascii="Times New Roman" w:hAnsi="Times New Roman"/>
          <w:szCs w:val="24"/>
        </w:rPr>
        <w:t xml:space="preserve"> resulta de especial interés</w:t>
      </w:r>
      <w:r w:rsidR="004F2211" w:rsidRPr="00500DB3">
        <w:rPr>
          <w:rFonts w:ascii="Times New Roman" w:hAnsi="Times New Roman"/>
          <w:szCs w:val="24"/>
        </w:rPr>
        <w:t xml:space="preserve"> en nuestro trabajo</w:t>
      </w:r>
      <w:r w:rsidR="00F870F7" w:rsidRPr="00500DB3">
        <w:rPr>
          <w:rFonts w:ascii="Times New Roman" w:hAnsi="Times New Roman"/>
          <w:szCs w:val="24"/>
        </w:rPr>
        <w:t>.</w:t>
      </w:r>
    </w:p>
    <w:p w14:paraId="7E0D6762" w14:textId="77777777" w:rsidR="00F870F7" w:rsidRPr="00500DB3" w:rsidRDefault="00F870F7" w:rsidP="00AA2BB1">
      <w:pPr>
        <w:pStyle w:val="texto"/>
        <w:spacing w:after="100"/>
        <w:ind w:firstLine="0"/>
        <w:rPr>
          <w:rFonts w:ascii="Times New Roman" w:hAnsi="Times New Roman"/>
          <w:szCs w:val="24"/>
        </w:rPr>
      </w:pPr>
      <w:r w:rsidRPr="00500DB3">
        <w:rPr>
          <w:rFonts w:ascii="Times New Roman" w:hAnsi="Times New Roman"/>
          <w:szCs w:val="24"/>
        </w:rPr>
        <w:t>La Comisión llegó a la conclusión de reformar el procedimiento de amparo para atribuir al Tribunal Constitucional una facultad discrecional de admisión de las demandas, con un alto consenso: diez votos contra uno</w:t>
      </w:r>
      <w:r w:rsidRPr="00500DB3">
        <w:rPr>
          <w:rStyle w:val="Refdenotaalpie"/>
          <w:rFonts w:ascii="Times New Roman" w:hAnsi="Times New Roman"/>
          <w:szCs w:val="24"/>
        </w:rPr>
        <w:footnoteReference w:id="97"/>
      </w:r>
      <w:r w:rsidRPr="00500DB3">
        <w:rPr>
          <w:rFonts w:ascii="Times New Roman" w:hAnsi="Times New Roman"/>
          <w:szCs w:val="24"/>
        </w:rPr>
        <w:t>.</w:t>
      </w:r>
      <w:r w:rsidR="00602425" w:rsidRPr="00500DB3">
        <w:rPr>
          <w:rFonts w:ascii="Times New Roman" w:hAnsi="Times New Roman"/>
          <w:szCs w:val="24"/>
        </w:rPr>
        <w:t xml:space="preserve"> </w:t>
      </w:r>
      <w:r w:rsidRPr="00500DB3">
        <w:rPr>
          <w:rFonts w:ascii="Times New Roman" w:hAnsi="Times New Roman"/>
          <w:szCs w:val="24"/>
        </w:rPr>
        <w:t xml:space="preserve">Podemos apreciar </w:t>
      </w:r>
      <w:r w:rsidR="00602425" w:rsidRPr="00500DB3">
        <w:rPr>
          <w:rFonts w:ascii="Times New Roman" w:hAnsi="Times New Roman"/>
          <w:szCs w:val="24"/>
        </w:rPr>
        <w:t xml:space="preserve">en esta facultad discrecional del Tribunal alemán </w:t>
      </w:r>
      <w:r w:rsidRPr="00500DB3">
        <w:rPr>
          <w:rFonts w:ascii="Times New Roman" w:hAnsi="Times New Roman"/>
          <w:szCs w:val="24"/>
        </w:rPr>
        <w:t>vis</w:t>
      </w:r>
      <w:r w:rsidR="00602425" w:rsidRPr="00500DB3">
        <w:rPr>
          <w:rFonts w:ascii="Times New Roman" w:hAnsi="Times New Roman"/>
          <w:szCs w:val="24"/>
        </w:rPr>
        <w:t>ibles semejanzas</w:t>
      </w:r>
      <w:r w:rsidRPr="00500DB3">
        <w:rPr>
          <w:rFonts w:ascii="Times New Roman" w:hAnsi="Times New Roman"/>
          <w:szCs w:val="24"/>
        </w:rPr>
        <w:t xml:space="preserve"> con la </w:t>
      </w:r>
      <w:r w:rsidR="00602425" w:rsidRPr="00500DB3">
        <w:rPr>
          <w:rFonts w:ascii="Times New Roman" w:hAnsi="Times New Roman"/>
          <w:szCs w:val="24"/>
        </w:rPr>
        <w:t xml:space="preserve">reforma </w:t>
      </w:r>
      <w:r w:rsidRPr="00500DB3">
        <w:rPr>
          <w:rFonts w:ascii="Times New Roman" w:hAnsi="Times New Roman"/>
          <w:szCs w:val="24"/>
        </w:rPr>
        <w:t>que finalmente se ha llevado a cabo en nuestro T</w:t>
      </w:r>
      <w:r w:rsidR="00602425" w:rsidRPr="00500DB3">
        <w:rPr>
          <w:rFonts w:ascii="Times New Roman" w:hAnsi="Times New Roman"/>
          <w:szCs w:val="24"/>
        </w:rPr>
        <w:t>C.</w:t>
      </w:r>
    </w:p>
    <w:p w14:paraId="63440FB6" w14:textId="3D0F078D" w:rsidR="00BB33ED" w:rsidRPr="00500DB3" w:rsidRDefault="00602425" w:rsidP="00AA2BB1">
      <w:pPr>
        <w:pStyle w:val="texto"/>
        <w:ind w:firstLine="0"/>
        <w:rPr>
          <w:rFonts w:ascii="Times New Roman" w:hAnsi="Times New Roman"/>
          <w:szCs w:val="24"/>
        </w:rPr>
      </w:pPr>
      <w:r w:rsidRPr="00500DB3">
        <w:rPr>
          <w:rFonts w:ascii="Times New Roman" w:hAnsi="Times New Roman"/>
          <w:szCs w:val="24"/>
        </w:rPr>
        <w:t xml:space="preserve">El voto particular que emitió la Magistrada Karin </w:t>
      </w:r>
      <w:proofErr w:type="spellStart"/>
      <w:r w:rsidRPr="00500DB3">
        <w:rPr>
          <w:rFonts w:ascii="Times New Roman" w:hAnsi="Times New Roman"/>
          <w:szCs w:val="24"/>
        </w:rPr>
        <w:t>Grasshof</w:t>
      </w:r>
      <w:proofErr w:type="spellEnd"/>
      <w:r w:rsidRPr="00500DB3">
        <w:rPr>
          <w:rFonts w:ascii="Times New Roman" w:hAnsi="Times New Roman"/>
          <w:szCs w:val="24"/>
        </w:rPr>
        <w:t xml:space="preserve"> en oposición a la idea mayoritaria de la Comisión de llevar a cabo un procedimiento de amparo que atribuya facultades discrecionales de admisión de demandas al TC va unido a una propuesta de un recurso ante la Jurisdicción ordinaria por vulneración de derechos fundamentales.</w:t>
      </w:r>
    </w:p>
    <w:p w14:paraId="451BB5B9" w14:textId="77777777" w:rsidR="00AA2C17" w:rsidRPr="00500DB3" w:rsidRDefault="00AA2C17" w:rsidP="00AA2BB1">
      <w:pPr>
        <w:pStyle w:val="texto"/>
        <w:ind w:firstLine="0"/>
        <w:rPr>
          <w:rFonts w:ascii="Times New Roman" w:hAnsi="Times New Roman"/>
          <w:szCs w:val="24"/>
        </w:rPr>
      </w:pPr>
      <w:r w:rsidRPr="00500DB3">
        <w:rPr>
          <w:rFonts w:ascii="Times New Roman" w:hAnsi="Times New Roman"/>
          <w:szCs w:val="24"/>
        </w:rPr>
        <w:t>Los puntos en los que se apoyó</w:t>
      </w:r>
      <w:r w:rsidR="00F04A4E" w:rsidRPr="00500DB3">
        <w:rPr>
          <w:rFonts w:ascii="Times New Roman" w:hAnsi="Times New Roman"/>
          <w:szCs w:val="24"/>
        </w:rPr>
        <w:t xml:space="preserve"> la oposición de</w:t>
      </w:r>
      <w:r w:rsidRPr="00500DB3">
        <w:rPr>
          <w:rFonts w:ascii="Times New Roman" w:hAnsi="Times New Roman"/>
          <w:szCs w:val="24"/>
        </w:rPr>
        <w:t xml:space="preserve"> la Magistrada son, en síntesis, los siguientes:</w:t>
      </w:r>
    </w:p>
    <w:p w14:paraId="531756AB" w14:textId="77777777" w:rsidR="00AA2C17" w:rsidRPr="00500DB3" w:rsidRDefault="00AA2C17" w:rsidP="00500DB3">
      <w:pPr>
        <w:pStyle w:val="texto"/>
        <w:numPr>
          <w:ilvl w:val="0"/>
          <w:numId w:val="2"/>
        </w:numPr>
        <w:rPr>
          <w:rFonts w:ascii="Times New Roman" w:hAnsi="Times New Roman"/>
          <w:szCs w:val="24"/>
        </w:rPr>
      </w:pPr>
      <w:r w:rsidRPr="00500DB3">
        <w:rPr>
          <w:rFonts w:ascii="Times New Roman" w:hAnsi="Times New Roman"/>
          <w:szCs w:val="24"/>
        </w:rPr>
        <w:t>La fuerte reducción de la dimensión subjetiva del recurso de amparo que conlleva la reforma.</w:t>
      </w:r>
    </w:p>
    <w:p w14:paraId="4164BD81" w14:textId="77777777" w:rsidR="00AA2C17" w:rsidRPr="00500DB3" w:rsidRDefault="00AA2C17" w:rsidP="00500DB3">
      <w:pPr>
        <w:pStyle w:val="texto"/>
        <w:numPr>
          <w:ilvl w:val="0"/>
          <w:numId w:val="2"/>
        </w:numPr>
        <w:rPr>
          <w:rFonts w:ascii="Times New Roman" w:hAnsi="Times New Roman"/>
          <w:szCs w:val="24"/>
        </w:rPr>
      </w:pPr>
      <w:r w:rsidRPr="00500DB3">
        <w:rPr>
          <w:rFonts w:ascii="Times New Roman" w:hAnsi="Times New Roman"/>
          <w:szCs w:val="24"/>
        </w:rPr>
        <w:lastRenderedPageBreak/>
        <w:t>La admisión discrecional menoscabaría sustancialmente un derecho cívico que se ha convertido en símbolo de la tutela efectiva de los derechos fundamentales en la República Federal de Alemania.</w:t>
      </w:r>
    </w:p>
    <w:p w14:paraId="50C6E078" w14:textId="77777777" w:rsidR="00AA2C17" w:rsidRPr="00500DB3" w:rsidRDefault="00AA2C17" w:rsidP="00500DB3">
      <w:pPr>
        <w:pStyle w:val="texto"/>
        <w:numPr>
          <w:ilvl w:val="0"/>
          <w:numId w:val="2"/>
        </w:numPr>
        <w:rPr>
          <w:rFonts w:ascii="Times New Roman" w:hAnsi="Times New Roman"/>
          <w:szCs w:val="24"/>
        </w:rPr>
      </w:pPr>
      <w:r w:rsidRPr="00500DB3">
        <w:rPr>
          <w:rFonts w:ascii="Times New Roman" w:hAnsi="Times New Roman"/>
          <w:szCs w:val="24"/>
        </w:rPr>
        <w:t xml:space="preserve">El recurso de amparo perdería su condición de remedio efectivo, en el sentido del artículo 26 de la Convención Europea de Derechos Humanos, y no pertenecería ya a la vía judicial interna que hay que agotar antes de poder recurrir ante el Tribunal Europeo de Derechos Humanos. Con el consiguiente debilitamiento de la jurisprudencia del </w:t>
      </w:r>
      <w:proofErr w:type="spellStart"/>
      <w:r w:rsidRPr="00500DB3">
        <w:rPr>
          <w:rFonts w:ascii="Times New Roman" w:hAnsi="Times New Roman"/>
          <w:i/>
          <w:szCs w:val="24"/>
        </w:rPr>
        <w:t>Bundesverfassungsgericht</w:t>
      </w:r>
      <w:proofErr w:type="spellEnd"/>
      <w:r w:rsidRPr="00500DB3">
        <w:rPr>
          <w:rFonts w:ascii="Times New Roman" w:hAnsi="Times New Roman"/>
          <w:szCs w:val="24"/>
        </w:rPr>
        <w:t xml:space="preserve"> en materia de derechos fundamentales respecto de la del Tribunal Europeo.</w:t>
      </w:r>
    </w:p>
    <w:p w14:paraId="789E36EE" w14:textId="77777777" w:rsidR="00AA2C17" w:rsidRPr="00500DB3" w:rsidRDefault="00AA2C17" w:rsidP="00500DB3">
      <w:pPr>
        <w:pStyle w:val="texto"/>
        <w:numPr>
          <w:ilvl w:val="0"/>
          <w:numId w:val="2"/>
        </w:numPr>
        <w:rPr>
          <w:rFonts w:ascii="Times New Roman" w:hAnsi="Times New Roman"/>
          <w:szCs w:val="24"/>
        </w:rPr>
      </w:pPr>
      <w:r w:rsidRPr="00500DB3">
        <w:rPr>
          <w:rFonts w:ascii="Times New Roman" w:hAnsi="Times New Roman"/>
          <w:szCs w:val="24"/>
        </w:rPr>
        <w:t>La discrecionalidad en la admisión de los recursos llevaría a la falta de previsibilidad de tales decisiones, lo que no parece conforme con el principio del Estado de Derecho. Por los mismos motivos, corre también peligro la igualdad en la aplicación de la ley. Pero, sobre todo, se alentarían sospechas</w:t>
      </w:r>
      <w:r w:rsidR="00955877" w:rsidRPr="00500DB3">
        <w:rPr>
          <w:rFonts w:ascii="Times New Roman" w:hAnsi="Times New Roman"/>
          <w:szCs w:val="24"/>
        </w:rPr>
        <w:t xml:space="preserve"> </w:t>
      </w:r>
      <w:r w:rsidRPr="00500DB3">
        <w:rPr>
          <w:rFonts w:ascii="Times New Roman" w:hAnsi="Times New Roman"/>
          <w:szCs w:val="24"/>
        </w:rPr>
        <w:t>acerca de los posibles motivos políticos del Tribunal para admitir o inadmitir</w:t>
      </w:r>
      <w:r w:rsidR="00955877" w:rsidRPr="00500DB3">
        <w:rPr>
          <w:rFonts w:ascii="Times New Roman" w:hAnsi="Times New Roman"/>
          <w:szCs w:val="24"/>
        </w:rPr>
        <w:t xml:space="preserve"> </w:t>
      </w:r>
      <w:r w:rsidRPr="00500DB3">
        <w:rPr>
          <w:rFonts w:ascii="Times New Roman" w:hAnsi="Times New Roman"/>
          <w:szCs w:val="24"/>
        </w:rPr>
        <w:t>determinados recursos</w:t>
      </w:r>
      <w:r w:rsidR="00955877" w:rsidRPr="00500DB3">
        <w:rPr>
          <w:rFonts w:ascii="Times New Roman" w:hAnsi="Times New Roman"/>
          <w:szCs w:val="24"/>
        </w:rPr>
        <w:t>.</w:t>
      </w:r>
    </w:p>
    <w:p w14:paraId="68AE3268" w14:textId="77777777" w:rsidR="00F04A4E" w:rsidRPr="00500DB3" w:rsidRDefault="00F04A4E" w:rsidP="00AA2BB1">
      <w:pPr>
        <w:pStyle w:val="texto"/>
        <w:ind w:firstLine="0"/>
        <w:rPr>
          <w:rFonts w:ascii="Times New Roman" w:hAnsi="Times New Roman"/>
          <w:i/>
          <w:szCs w:val="24"/>
        </w:rPr>
      </w:pPr>
      <w:r w:rsidRPr="00500DB3">
        <w:rPr>
          <w:rFonts w:ascii="Times New Roman" w:hAnsi="Times New Roman"/>
          <w:szCs w:val="24"/>
        </w:rPr>
        <w:t>Por su parte, propuso la creación de un recurso por vulneración de los derechos fundamentales procesales que se sustanciaría ante Tribunales Superiores de la Jurisdicción ordinaria</w:t>
      </w:r>
      <w:r w:rsidR="00CF3228" w:rsidRPr="00500DB3">
        <w:rPr>
          <w:rFonts w:ascii="Times New Roman" w:hAnsi="Times New Roman"/>
          <w:szCs w:val="24"/>
        </w:rPr>
        <w:t xml:space="preserve">, tanto de la Federación como de los </w:t>
      </w:r>
      <w:proofErr w:type="spellStart"/>
      <w:r w:rsidR="00CF3228" w:rsidRPr="00500DB3">
        <w:rPr>
          <w:rFonts w:ascii="Times New Roman" w:hAnsi="Times New Roman"/>
          <w:i/>
          <w:szCs w:val="24"/>
        </w:rPr>
        <w:t>Länder</w:t>
      </w:r>
      <w:proofErr w:type="spellEnd"/>
      <w:r w:rsidRPr="00500DB3">
        <w:rPr>
          <w:rFonts w:ascii="Times New Roman" w:hAnsi="Times New Roman"/>
          <w:i/>
          <w:szCs w:val="24"/>
        </w:rPr>
        <w:t>.</w:t>
      </w:r>
    </w:p>
    <w:p w14:paraId="7DD0B9FC" w14:textId="77777777" w:rsidR="00F04A4E" w:rsidRPr="00500DB3" w:rsidRDefault="00F04A4E" w:rsidP="00AA2BB1">
      <w:pPr>
        <w:pStyle w:val="texto"/>
        <w:ind w:firstLine="0"/>
        <w:rPr>
          <w:rFonts w:ascii="Times New Roman" w:hAnsi="Times New Roman"/>
          <w:szCs w:val="24"/>
        </w:rPr>
      </w:pPr>
      <w:r w:rsidRPr="00500DB3">
        <w:rPr>
          <w:rFonts w:ascii="Times New Roman" w:hAnsi="Times New Roman"/>
          <w:szCs w:val="24"/>
        </w:rPr>
        <w:t>Esta propuesta fue debatida por la Comisión y rechazada por nueve votos a dos. Las objeciones formuladas en su contra fueron las siguientes</w:t>
      </w:r>
      <w:r w:rsidRPr="00500DB3">
        <w:rPr>
          <w:rStyle w:val="Refdenotaalpie"/>
          <w:rFonts w:ascii="Times New Roman" w:hAnsi="Times New Roman"/>
          <w:szCs w:val="24"/>
        </w:rPr>
        <w:footnoteReference w:id="98"/>
      </w:r>
      <w:r w:rsidRPr="00500DB3">
        <w:rPr>
          <w:rFonts w:ascii="Times New Roman" w:hAnsi="Times New Roman"/>
          <w:szCs w:val="24"/>
        </w:rPr>
        <w:t>:</w:t>
      </w:r>
    </w:p>
    <w:p w14:paraId="4B7C0290" w14:textId="77777777" w:rsidR="00F04A4E" w:rsidRPr="00500DB3" w:rsidRDefault="00F04A4E" w:rsidP="00500DB3">
      <w:pPr>
        <w:pStyle w:val="texto"/>
        <w:rPr>
          <w:rFonts w:ascii="Times New Roman" w:hAnsi="Times New Roman"/>
          <w:i/>
          <w:szCs w:val="24"/>
        </w:rPr>
      </w:pPr>
      <w:r w:rsidRPr="00500DB3">
        <w:rPr>
          <w:rFonts w:ascii="Times New Roman" w:hAnsi="Times New Roman"/>
          <w:i/>
          <w:szCs w:val="24"/>
        </w:rPr>
        <w:t xml:space="preserve">«En primer lugar, no cabe que un recurso por vulneración de derechos fundamentales sea resuelto por alguien distinto al propio Tribunal Constitucional, esto es, el recurso de amparo dejaría de ser recurso de amparo al ser decidido por la Jurisdicción ordinaria; en segundo lugar, el trasvase competencial conduciría a una escisión injustificable entre el tratamiento de los derechos fundamentales sustantivos y los procesales, e igualmente a la existencia de una jurisprudencia constitucional paralela a la del propio Tribunal. En definitiva, al suprimir del ámbito de protección del recurso de amparo hasta ahora existente los derechos fundamentales procesales, no se estaría </w:t>
      </w:r>
      <w:r w:rsidRPr="00500DB3">
        <w:rPr>
          <w:rFonts w:ascii="Times New Roman" w:hAnsi="Times New Roman"/>
          <w:i/>
          <w:szCs w:val="24"/>
        </w:rPr>
        <w:lastRenderedPageBreak/>
        <w:t xml:space="preserve">aliviando la carga de trabajo del </w:t>
      </w:r>
      <w:proofErr w:type="spellStart"/>
      <w:r w:rsidRPr="00500DB3">
        <w:rPr>
          <w:rFonts w:ascii="Times New Roman" w:hAnsi="Times New Roman"/>
          <w:i/>
          <w:szCs w:val="24"/>
        </w:rPr>
        <w:t>Bundesverfassungsgericht</w:t>
      </w:r>
      <w:proofErr w:type="spellEnd"/>
      <w:r w:rsidRPr="00500DB3">
        <w:rPr>
          <w:rFonts w:ascii="Times New Roman" w:hAnsi="Times New Roman"/>
          <w:i/>
          <w:szCs w:val="24"/>
        </w:rPr>
        <w:t>, sino recortando de hecho sus competencias».</w:t>
      </w:r>
    </w:p>
    <w:p w14:paraId="6F7B3EA1" w14:textId="77777777" w:rsidR="00F04A4E" w:rsidRPr="00500DB3" w:rsidRDefault="00F04A4E" w:rsidP="00AA2BB1">
      <w:pPr>
        <w:pStyle w:val="texto"/>
        <w:ind w:firstLine="0"/>
        <w:rPr>
          <w:rFonts w:ascii="Times New Roman" w:hAnsi="Times New Roman"/>
          <w:szCs w:val="24"/>
        </w:rPr>
      </w:pPr>
      <w:r w:rsidRPr="00500DB3">
        <w:rPr>
          <w:rFonts w:ascii="Times New Roman" w:hAnsi="Times New Roman"/>
          <w:szCs w:val="24"/>
        </w:rPr>
        <w:t xml:space="preserve">Frente a ello, K. </w:t>
      </w:r>
      <w:proofErr w:type="spellStart"/>
      <w:r w:rsidRPr="00500DB3">
        <w:rPr>
          <w:rFonts w:ascii="Times New Roman" w:hAnsi="Times New Roman"/>
          <w:szCs w:val="24"/>
        </w:rPr>
        <w:t>Grasshof</w:t>
      </w:r>
      <w:proofErr w:type="spellEnd"/>
      <w:r w:rsidRPr="00500DB3">
        <w:rPr>
          <w:rFonts w:ascii="Times New Roman" w:hAnsi="Times New Roman"/>
          <w:szCs w:val="24"/>
        </w:rPr>
        <w:t xml:space="preserve"> sostuvo que </w:t>
      </w:r>
      <w:r w:rsidRPr="00500DB3">
        <w:rPr>
          <w:rFonts w:ascii="Times New Roman" w:hAnsi="Times New Roman"/>
          <w:i/>
          <w:szCs w:val="24"/>
        </w:rPr>
        <w:t>la jurisprudencia en materia de protección de los derechos fundamentales no es privilegio de una jurisdicción constitucional autonomizada.</w:t>
      </w:r>
    </w:p>
    <w:p w14:paraId="661E8B0A" w14:textId="65FF1E61" w:rsidR="00F04A4E" w:rsidRPr="00500DB3" w:rsidRDefault="00F04A4E" w:rsidP="00AA2BB1">
      <w:pPr>
        <w:pStyle w:val="texto"/>
        <w:ind w:firstLine="0"/>
        <w:rPr>
          <w:rFonts w:ascii="Times New Roman" w:hAnsi="Times New Roman"/>
          <w:szCs w:val="24"/>
        </w:rPr>
      </w:pPr>
      <w:r w:rsidRPr="00500DB3">
        <w:rPr>
          <w:rFonts w:ascii="Times New Roman" w:hAnsi="Times New Roman"/>
          <w:szCs w:val="24"/>
        </w:rPr>
        <w:t xml:space="preserve">En definitiva, concluye K. </w:t>
      </w:r>
      <w:proofErr w:type="spellStart"/>
      <w:r w:rsidRPr="00500DB3">
        <w:rPr>
          <w:rFonts w:ascii="Times New Roman" w:hAnsi="Times New Roman"/>
          <w:szCs w:val="24"/>
        </w:rPr>
        <w:t>Grasshof</w:t>
      </w:r>
      <w:proofErr w:type="spellEnd"/>
      <w:r w:rsidRPr="00500DB3">
        <w:rPr>
          <w:rFonts w:ascii="Times New Roman" w:hAnsi="Times New Roman"/>
          <w:szCs w:val="24"/>
        </w:rPr>
        <w:t xml:space="preserve">, diciendo que </w:t>
      </w:r>
      <w:r w:rsidRPr="00500DB3">
        <w:rPr>
          <w:rFonts w:ascii="Times New Roman" w:hAnsi="Times New Roman"/>
          <w:i/>
          <w:szCs w:val="24"/>
        </w:rPr>
        <w:t xml:space="preserve">«los temores de la mayoría de la Comisión en el sentido de que no se produciría la disminución de recursos requerida no están justificados. </w:t>
      </w:r>
      <w:r w:rsidR="00F1749E" w:rsidRPr="00500DB3">
        <w:rPr>
          <w:rFonts w:ascii="Times New Roman" w:hAnsi="Times New Roman"/>
          <w:i/>
          <w:szCs w:val="24"/>
        </w:rPr>
        <w:t>Y,</w:t>
      </w:r>
      <w:r w:rsidRPr="00500DB3">
        <w:rPr>
          <w:rFonts w:ascii="Times New Roman" w:hAnsi="Times New Roman"/>
          <w:i/>
          <w:szCs w:val="24"/>
        </w:rPr>
        <w:t xml:space="preserve"> además, entran en contradicción con el otro temor, el de quedarse sin posibilidades para desempeñar el papel de supremo custodio de la Ley Fundamental en el ámbito de los derechos fundamentales procesal».</w:t>
      </w:r>
    </w:p>
    <w:p w14:paraId="3CC8F5D8" w14:textId="5A100C98" w:rsidR="00DE79CF" w:rsidRPr="00500DB3" w:rsidRDefault="00952C66" w:rsidP="00AA2BB1">
      <w:pPr>
        <w:pStyle w:val="texto"/>
        <w:ind w:firstLine="0"/>
        <w:rPr>
          <w:rFonts w:ascii="Times New Roman" w:hAnsi="Times New Roman"/>
          <w:szCs w:val="24"/>
        </w:rPr>
      </w:pPr>
      <w:r w:rsidRPr="00500DB3">
        <w:rPr>
          <w:rFonts w:ascii="Times New Roman" w:hAnsi="Times New Roman"/>
          <w:szCs w:val="24"/>
        </w:rPr>
        <w:t xml:space="preserve">Sería interesante añadir algunas conclusiones en este punto. De una parte, destacar que la propuesta emitida por la mayoría de los miembros de la Comisión </w:t>
      </w:r>
      <w:proofErr w:type="spellStart"/>
      <w:r w:rsidRPr="00500DB3">
        <w:rPr>
          <w:rFonts w:ascii="Times New Roman" w:hAnsi="Times New Roman"/>
          <w:szCs w:val="24"/>
        </w:rPr>
        <w:t>Benda</w:t>
      </w:r>
      <w:proofErr w:type="spellEnd"/>
      <w:r w:rsidRPr="00500DB3">
        <w:rPr>
          <w:rFonts w:ascii="Times New Roman" w:hAnsi="Times New Roman"/>
          <w:szCs w:val="24"/>
        </w:rPr>
        <w:t>, habla de una discrecionalidad por parte del</w:t>
      </w:r>
      <w:r w:rsidRPr="00500DB3">
        <w:rPr>
          <w:rFonts w:ascii="Times New Roman" w:hAnsi="Times New Roman"/>
          <w:i/>
          <w:szCs w:val="24"/>
        </w:rPr>
        <w:t xml:space="preserve"> </w:t>
      </w:r>
      <w:proofErr w:type="spellStart"/>
      <w:r w:rsidRPr="00500DB3">
        <w:rPr>
          <w:rFonts w:ascii="Times New Roman" w:hAnsi="Times New Roman"/>
          <w:i/>
          <w:szCs w:val="24"/>
        </w:rPr>
        <w:t>Bundesverfassungsgericht</w:t>
      </w:r>
      <w:proofErr w:type="spellEnd"/>
      <w:r w:rsidRPr="00500DB3">
        <w:rPr>
          <w:rFonts w:ascii="Times New Roman" w:hAnsi="Times New Roman"/>
          <w:szCs w:val="24"/>
        </w:rPr>
        <w:t xml:space="preserve"> en la admisión de los recursos. Debemos destacar que </w:t>
      </w:r>
      <w:r w:rsidR="00D20CE3" w:rsidRPr="00500DB3">
        <w:rPr>
          <w:rFonts w:ascii="Times New Roman" w:hAnsi="Times New Roman"/>
          <w:szCs w:val="24"/>
        </w:rPr>
        <w:t>esta discrecionalidad por parte de los Magistrados</w:t>
      </w:r>
      <w:r w:rsidR="00607C87" w:rsidRPr="00500DB3">
        <w:rPr>
          <w:rFonts w:ascii="Times New Roman" w:hAnsi="Times New Roman"/>
          <w:szCs w:val="24"/>
        </w:rPr>
        <w:t xml:space="preserve">, como ya destacó K. </w:t>
      </w:r>
      <w:proofErr w:type="spellStart"/>
      <w:r w:rsidR="00607C87" w:rsidRPr="00500DB3">
        <w:rPr>
          <w:rFonts w:ascii="Times New Roman" w:hAnsi="Times New Roman"/>
          <w:szCs w:val="24"/>
        </w:rPr>
        <w:t>Grasshof</w:t>
      </w:r>
      <w:proofErr w:type="spellEnd"/>
      <w:r w:rsidR="00607C87" w:rsidRPr="00500DB3">
        <w:rPr>
          <w:rFonts w:ascii="Times New Roman" w:hAnsi="Times New Roman"/>
          <w:szCs w:val="24"/>
        </w:rPr>
        <w:t xml:space="preserve">, no es conforme con el principio del </w:t>
      </w:r>
      <w:r w:rsidR="00CF3228" w:rsidRPr="00500DB3">
        <w:rPr>
          <w:rFonts w:ascii="Times New Roman" w:hAnsi="Times New Roman"/>
          <w:szCs w:val="24"/>
        </w:rPr>
        <w:t>Estado</w:t>
      </w:r>
      <w:r w:rsidR="00607C87" w:rsidRPr="00500DB3">
        <w:rPr>
          <w:rFonts w:ascii="Times New Roman" w:hAnsi="Times New Roman"/>
          <w:szCs w:val="24"/>
        </w:rPr>
        <w:t xml:space="preserve"> de </w:t>
      </w:r>
      <w:r w:rsidR="00F1749E" w:rsidRPr="00500DB3">
        <w:rPr>
          <w:rFonts w:ascii="Times New Roman" w:hAnsi="Times New Roman"/>
          <w:szCs w:val="24"/>
        </w:rPr>
        <w:t>Derecho,</w:t>
      </w:r>
      <w:r w:rsidR="00607C87" w:rsidRPr="00500DB3">
        <w:rPr>
          <w:rFonts w:ascii="Times New Roman" w:hAnsi="Times New Roman"/>
          <w:szCs w:val="24"/>
        </w:rPr>
        <w:t xml:space="preserve"> </w:t>
      </w:r>
      <w:r w:rsidR="00F1749E" w:rsidRPr="00500DB3">
        <w:rPr>
          <w:rFonts w:ascii="Times New Roman" w:hAnsi="Times New Roman"/>
          <w:szCs w:val="24"/>
        </w:rPr>
        <w:t>pero,</w:t>
      </w:r>
      <w:r w:rsidR="00607C87" w:rsidRPr="00500DB3">
        <w:rPr>
          <w:rFonts w:ascii="Times New Roman" w:hAnsi="Times New Roman"/>
          <w:szCs w:val="24"/>
        </w:rPr>
        <w:t xml:space="preserve"> además, podemos añadir que</w:t>
      </w:r>
      <w:r w:rsidR="00D20CE3" w:rsidRPr="00500DB3">
        <w:rPr>
          <w:rFonts w:ascii="Times New Roman" w:hAnsi="Times New Roman"/>
          <w:szCs w:val="24"/>
        </w:rPr>
        <w:t xml:space="preserve"> provocaría una </w:t>
      </w:r>
      <w:r w:rsidR="00607C87" w:rsidRPr="00500DB3">
        <w:rPr>
          <w:rFonts w:ascii="Times New Roman" w:hAnsi="Times New Roman"/>
          <w:szCs w:val="24"/>
        </w:rPr>
        <w:t xml:space="preserve">situación de inseguridad jurídica </w:t>
      </w:r>
      <w:r w:rsidR="00CF3228" w:rsidRPr="00500DB3">
        <w:rPr>
          <w:rFonts w:ascii="Times New Roman" w:hAnsi="Times New Roman"/>
          <w:szCs w:val="24"/>
        </w:rPr>
        <w:t xml:space="preserve">en nuestro sistema constitucional. </w:t>
      </w:r>
    </w:p>
    <w:p w14:paraId="00FA9476" w14:textId="49CD8CB4" w:rsidR="00492D73" w:rsidRDefault="00CF3228" w:rsidP="00492D73">
      <w:pPr>
        <w:pStyle w:val="texto"/>
        <w:ind w:firstLine="0"/>
        <w:rPr>
          <w:rFonts w:ascii="Times New Roman" w:hAnsi="Times New Roman"/>
          <w:szCs w:val="24"/>
        </w:rPr>
      </w:pPr>
      <w:r w:rsidRPr="00500DB3">
        <w:rPr>
          <w:rFonts w:ascii="Times New Roman" w:hAnsi="Times New Roman"/>
          <w:szCs w:val="24"/>
        </w:rPr>
        <w:t xml:space="preserve">Por otra parte, debemos resaltar que nos resulta muy interesante la propuesta de la Magistrada. Según esta propuesta, </w:t>
      </w:r>
      <w:r w:rsidRPr="00500DB3">
        <w:rPr>
          <w:rFonts w:ascii="Times New Roman" w:hAnsi="Times New Roman"/>
          <w:i/>
          <w:szCs w:val="24"/>
        </w:rPr>
        <w:t>«</w:t>
      </w:r>
      <w:r w:rsidR="00621478" w:rsidRPr="00500DB3">
        <w:rPr>
          <w:rFonts w:ascii="Times New Roman" w:hAnsi="Times New Roman"/>
          <w:i/>
          <w:szCs w:val="24"/>
        </w:rPr>
        <w:t>se atribuirían</w:t>
      </w:r>
      <w:r w:rsidRPr="00500DB3">
        <w:rPr>
          <w:rFonts w:ascii="Times New Roman" w:hAnsi="Times New Roman"/>
          <w:i/>
          <w:szCs w:val="24"/>
        </w:rPr>
        <w:t xml:space="preserve"> a la Jurisdicción ordinaria las funciones que en este ámbito desempeñan actualmente las Secciones del Tribunal Constitucional, que sólo deciden en cuestiones sobre las que ya existe una jurisprudencia constitucional suficientemente asentada, y cuyas sentencias no gozan, por lo general de la eficacia vinculante que </w:t>
      </w:r>
      <w:r w:rsidR="00621478" w:rsidRPr="00500DB3">
        <w:rPr>
          <w:rFonts w:ascii="Times New Roman" w:hAnsi="Times New Roman"/>
          <w:i/>
          <w:szCs w:val="24"/>
        </w:rPr>
        <w:t xml:space="preserve">el artículo 31 de la Ley del Tribunal Constitucional federal atribuye a las sentencias del </w:t>
      </w:r>
      <w:proofErr w:type="spellStart"/>
      <w:r w:rsidR="00621478" w:rsidRPr="00500DB3">
        <w:rPr>
          <w:rFonts w:ascii="Times New Roman" w:hAnsi="Times New Roman"/>
          <w:i/>
          <w:szCs w:val="24"/>
        </w:rPr>
        <w:t>Bundesverfassungsgericht</w:t>
      </w:r>
      <w:proofErr w:type="spellEnd"/>
      <w:r w:rsidR="00621478" w:rsidRPr="00500DB3">
        <w:rPr>
          <w:rFonts w:ascii="Times New Roman" w:hAnsi="Times New Roman"/>
          <w:i/>
          <w:szCs w:val="24"/>
        </w:rPr>
        <w:t>».</w:t>
      </w:r>
      <w:r w:rsidR="00621478" w:rsidRPr="00500DB3">
        <w:rPr>
          <w:rFonts w:ascii="Times New Roman" w:hAnsi="Times New Roman"/>
          <w:szCs w:val="24"/>
        </w:rPr>
        <w:t xml:space="preserve"> Si trasladásemos esta idea a nuestro sistema constitucional, podríamos plantearnos la creación, como indica la Magistrada, de un recurso para la protección de los derechos fundamentales. Este se utilizaría en la Jurisdicción </w:t>
      </w:r>
      <w:r w:rsidR="00F1749E" w:rsidRPr="00500DB3">
        <w:rPr>
          <w:rFonts w:ascii="Times New Roman" w:hAnsi="Times New Roman"/>
          <w:szCs w:val="24"/>
        </w:rPr>
        <w:t>ordinaria, aunque</w:t>
      </w:r>
      <w:r w:rsidR="00621478" w:rsidRPr="00500DB3">
        <w:rPr>
          <w:rFonts w:ascii="Times New Roman" w:hAnsi="Times New Roman"/>
          <w:szCs w:val="24"/>
        </w:rPr>
        <w:t xml:space="preserve"> cabría en este punto enlazar esta idea con la propuesta anteriormente expuesta de FERNÁNDEZ FARRERES, relativa a la creación de una “Sala Sexta” en el </w:t>
      </w:r>
      <w:r w:rsidR="00F1749E" w:rsidRPr="00500DB3">
        <w:rPr>
          <w:rFonts w:ascii="Times New Roman" w:hAnsi="Times New Roman"/>
          <w:szCs w:val="24"/>
        </w:rPr>
        <w:t>TS, la</w:t>
      </w:r>
      <w:r w:rsidR="00621478" w:rsidRPr="00500DB3">
        <w:rPr>
          <w:rFonts w:ascii="Times New Roman" w:hAnsi="Times New Roman"/>
          <w:szCs w:val="24"/>
        </w:rPr>
        <w:t xml:space="preserve"> cual resolvería en última instancia los casos de vulneración de derechos fundamentales. </w:t>
      </w:r>
      <w:r w:rsidR="00B42868" w:rsidRPr="00500DB3">
        <w:rPr>
          <w:rFonts w:ascii="Times New Roman" w:hAnsi="Times New Roman"/>
          <w:szCs w:val="24"/>
        </w:rPr>
        <w:t xml:space="preserve">Ante la resolución dictada por el TS resolviendo este recurso no cabría recurso alguno, a excepción del Tribunal Europeo de Derechos </w:t>
      </w:r>
      <w:r w:rsidR="00B42868" w:rsidRPr="00500DB3">
        <w:rPr>
          <w:rFonts w:ascii="Times New Roman" w:hAnsi="Times New Roman"/>
          <w:szCs w:val="24"/>
        </w:rPr>
        <w:lastRenderedPageBreak/>
        <w:t xml:space="preserve">Humanos. De este modo, eliminaríamos el recurso de amparo ante el TC, eliminando así la sobrecarga que sufre este tribunal y, a su vez, desaparecerían los conflictos suscitados entre TS y TC en materia de derechos fundamentales, pues con este recurso toda la protección de los derechos fundamentales recaería </w:t>
      </w:r>
      <w:r w:rsidR="00B42868" w:rsidRPr="00C44995">
        <w:rPr>
          <w:rFonts w:ascii="Times New Roman" w:hAnsi="Times New Roman"/>
          <w:szCs w:val="24"/>
        </w:rPr>
        <w:t>en la jurisdicción ordinaria.</w:t>
      </w:r>
      <w:r w:rsidR="00C44995">
        <w:rPr>
          <w:rFonts w:ascii="Times New Roman" w:hAnsi="Times New Roman"/>
          <w:szCs w:val="24"/>
        </w:rPr>
        <w:t xml:space="preserve">  </w:t>
      </w:r>
    </w:p>
    <w:p w14:paraId="40165475" w14:textId="77777777" w:rsidR="00492D73" w:rsidRDefault="00492D73" w:rsidP="00492D73">
      <w:pPr>
        <w:pStyle w:val="texto"/>
        <w:ind w:firstLine="0"/>
        <w:rPr>
          <w:rFonts w:ascii="Times New Roman" w:hAnsi="Times New Roman"/>
          <w:szCs w:val="24"/>
        </w:rPr>
      </w:pPr>
    </w:p>
    <w:p w14:paraId="7C22B5BA" w14:textId="5F84B402" w:rsidR="00AA2BB1" w:rsidRDefault="00AA2BB1" w:rsidP="00AA2BB1">
      <w:pPr>
        <w:pStyle w:val="texto"/>
        <w:pBdr>
          <w:bottom w:val="single" w:sz="6" w:space="1" w:color="auto"/>
        </w:pBdr>
        <w:ind w:firstLine="0"/>
        <w:rPr>
          <w:rFonts w:ascii="Times New Roman" w:hAnsi="Times New Roman"/>
          <w:szCs w:val="24"/>
        </w:rPr>
      </w:pPr>
      <w:r>
        <w:rPr>
          <w:rFonts w:ascii="Times New Roman" w:hAnsi="Times New Roman"/>
          <w:szCs w:val="24"/>
        </w:rPr>
        <w:br w:type="page"/>
      </w:r>
    </w:p>
    <w:p w14:paraId="54BD16B8" w14:textId="7E88AF77" w:rsidR="00C72445" w:rsidRDefault="00C72445" w:rsidP="00C72445">
      <w:pPr>
        <w:pStyle w:val="Ttulo1"/>
      </w:pPr>
      <w:bookmarkStart w:id="250" w:name="_Toc49708577"/>
      <w:bookmarkStart w:id="251" w:name="_Toc49790263"/>
      <w:bookmarkStart w:id="252" w:name="_Toc49866502"/>
      <w:bookmarkStart w:id="253" w:name="_Toc50373153"/>
      <w:bookmarkStart w:id="254" w:name="_Toc530591739"/>
      <w:bookmarkStart w:id="255" w:name="_Toc530596861"/>
      <w:bookmarkStart w:id="256" w:name="_Toc49423625"/>
      <w:r w:rsidRPr="00C72445">
        <w:lastRenderedPageBreak/>
        <w:t>CAPÍTULO SEGUNDO: EL «NUEVO» RECURSO DE AMPARO. REGULACIÓN Y PROBLEMÁTICA.</w:t>
      </w:r>
      <w:bookmarkEnd w:id="250"/>
      <w:bookmarkEnd w:id="251"/>
      <w:bookmarkEnd w:id="252"/>
      <w:bookmarkEnd w:id="253"/>
    </w:p>
    <w:p w14:paraId="5CC05254" w14:textId="6A288085" w:rsidR="00FF2A40" w:rsidRPr="002917B2" w:rsidRDefault="00FF2A40" w:rsidP="001A4310">
      <w:pPr>
        <w:pStyle w:val="Ttulo2"/>
        <w:numPr>
          <w:ilvl w:val="0"/>
          <w:numId w:val="52"/>
        </w:numPr>
      </w:pPr>
      <w:bookmarkStart w:id="257" w:name="_Toc49790264"/>
      <w:bookmarkStart w:id="258" w:name="_Toc49866503"/>
      <w:bookmarkStart w:id="259" w:name="_Toc50373154"/>
      <w:r w:rsidRPr="002917B2">
        <w:t>INTRODUCCIÓN</w:t>
      </w:r>
      <w:bookmarkEnd w:id="257"/>
      <w:bookmarkEnd w:id="258"/>
      <w:bookmarkEnd w:id="259"/>
    </w:p>
    <w:p w14:paraId="0585FD6E" w14:textId="667F1C00" w:rsidR="002917B2" w:rsidRDefault="002917B2" w:rsidP="002917B2">
      <w:pPr>
        <w:spacing w:after="240"/>
      </w:pPr>
      <w:r>
        <w:t>La reforma operada por la LO 6/</w:t>
      </w:r>
      <w:r w:rsidR="007B7556">
        <w:t>2007 cambió</w:t>
      </w:r>
      <w:r>
        <w:t xml:space="preserve"> por completo el concepto y la naturaleza del recurso de amparo constitucional hasta entonces conocido. En el primer capítulo del presente trabajo nos hemos centrado en los motivos y en las circunstancias sociales que dieron lugar a la necesidad de este cambio tan radical en la forma de trabajar de nuestro TC, así como en las posibles alternativas que los expertos en la materia proponían para solventar la grave crisis funcional que esta institución sufría. Hemos analizado los antecedentes históricos del TC, el contexto histórico en el que esta reforma surgió y los problemas y soluciones que fueron planteados.</w:t>
      </w:r>
    </w:p>
    <w:p w14:paraId="7E77BC8B" w14:textId="7D43FFA8" w:rsidR="002917B2" w:rsidRDefault="002917B2" w:rsidP="002917B2">
      <w:pPr>
        <w:spacing w:after="240"/>
      </w:pPr>
      <w:r>
        <w:t>Sin embargo, ya es hora de centrarnos en el núcleo de la problemática suscitada en torno a la protección de los derechos fundamentales tras esta importante reforma. Abordaremos, en primer lugar, los principales cambios que introdujo la LO 6/2007 para centrarnos a continuación en la nueva regulación dada al recurso de amparo. Analizaremos aspectos tales como los nuevos requisitos procedimentales exigidos para la admisión a trámite de las demandas de amparo después de la radical modificación que se ha hecho del artículo 50 de la LOTC, el contenido de la demanda y otras cuestiones.</w:t>
      </w:r>
      <w:r w:rsidR="00512FE0">
        <w:t xml:space="preserve"> Finalmente, nos centraremos en la objetivación del recurso de amparo.</w:t>
      </w:r>
    </w:p>
    <w:p w14:paraId="38AB52B1" w14:textId="1D5804CE" w:rsidR="004B3B15" w:rsidRPr="00C72445" w:rsidRDefault="004B3B15" w:rsidP="00FF2A40">
      <w:pPr>
        <w:pStyle w:val="Ttulo2"/>
      </w:pPr>
      <w:bookmarkStart w:id="260" w:name="_Toc49708578"/>
      <w:bookmarkStart w:id="261" w:name="_Toc49790265"/>
      <w:bookmarkStart w:id="262" w:name="_Toc49866504"/>
      <w:bookmarkStart w:id="263" w:name="_Toc50373155"/>
      <w:r w:rsidRPr="00C72445">
        <w:t>LA LEY ORGÁNICA  6/2007, DE 24 DE MAYO</w:t>
      </w:r>
      <w:bookmarkEnd w:id="254"/>
      <w:bookmarkEnd w:id="255"/>
      <w:bookmarkEnd w:id="256"/>
      <w:bookmarkEnd w:id="260"/>
      <w:bookmarkEnd w:id="261"/>
      <w:bookmarkEnd w:id="262"/>
      <w:bookmarkEnd w:id="263"/>
    </w:p>
    <w:p w14:paraId="1F902BF1" w14:textId="1B443FB7" w:rsidR="004B3B15" w:rsidRDefault="00756616" w:rsidP="001A4310">
      <w:pPr>
        <w:pStyle w:val="Ttulo3"/>
        <w:numPr>
          <w:ilvl w:val="0"/>
          <w:numId w:val="45"/>
        </w:numPr>
      </w:pPr>
      <w:bookmarkStart w:id="264" w:name="_Toc530591741"/>
      <w:bookmarkStart w:id="265" w:name="_Toc530596862"/>
      <w:bookmarkStart w:id="266" w:name="_Toc49423626"/>
      <w:bookmarkStart w:id="267" w:name="_Toc49708579"/>
      <w:bookmarkStart w:id="268" w:name="_Toc49790266"/>
      <w:bookmarkStart w:id="269" w:name="_Toc49866505"/>
      <w:bookmarkStart w:id="270" w:name="_Toc50373156"/>
      <w:r>
        <w:t>El primer intento de solventar la sobrecarga de trabajo del tribunal constitucional</w:t>
      </w:r>
      <w:bookmarkEnd w:id="264"/>
      <w:bookmarkEnd w:id="265"/>
      <w:bookmarkEnd w:id="266"/>
      <w:bookmarkEnd w:id="267"/>
      <w:bookmarkEnd w:id="268"/>
      <w:bookmarkEnd w:id="269"/>
      <w:bookmarkEnd w:id="270"/>
    </w:p>
    <w:p w14:paraId="78F275A5" w14:textId="77777777" w:rsidR="004B3B15" w:rsidRPr="004B3B15" w:rsidRDefault="004B3B15" w:rsidP="00F25B67">
      <w:pPr>
        <w:pStyle w:val="texto"/>
        <w:spacing w:after="240" w:afterAutospacing="0"/>
        <w:ind w:firstLine="0"/>
        <w:rPr>
          <w:rFonts w:ascii="Times New Roman" w:hAnsi="Times New Roman"/>
        </w:rPr>
      </w:pPr>
      <w:r w:rsidRPr="004B3B15">
        <w:rPr>
          <w:rFonts w:ascii="Times New Roman" w:hAnsi="Times New Roman"/>
        </w:rPr>
        <w:t xml:space="preserve">La LO 6/2007 no ha sido el primer intento para descongestionar la carga de trabajo de nuestro TC mediante la modificación del recurso de amparo. </w:t>
      </w:r>
    </w:p>
    <w:p w14:paraId="08982485" w14:textId="77777777" w:rsidR="004B3B15" w:rsidRPr="004B3B15" w:rsidRDefault="004B3B15" w:rsidP="00F25B67">
      <w:pPr>
        <w:pStyle w:val="texto"/>
        <w:spacing w:after="240" w:afterAutospacing="0"/>
        <w:ind w:firstLine="0"/>
        <w:rPr>
          <w:rFonts w:ascii="Times New Roman" w:hAnsi="Times New Roman"/>
          <w:szCs w:val="24"/>
        </w:rPr>
      </w:pPr>
      <w:r w:rsidRPr="004B3B15">
        <w:rPr>
          <w:rFonts w:ascii="Times New Roman" w:hAnsi="Times New Roman"/>
        </w:rPr>
        <w:t>La LO 6/1988, de 9 de junio, por la que se modificaron los artículos 50 y 86 de la LO 2/1979, de 3 de octubre, del Tribunal Constitucional,</w:t>
      </w:r>
      <w:r w:rsidRPr="004B3B15">
        <w:rPr>
          <w:rFonts w:ascii="Times New Roman" w:hAnsi="Times New Roman"/>
          <w:szCs w:val="24"/>
        </w:rPr>
        <w:t xml:space="preserve"> fue un primer intento por parte del </w:t>
      </w:r>
      <w:r w:rsidRPr="004B3B15">
        <w:rPr>
          <w:rFonts w:ascii="Times New Roman" w:hAnsi="Times New Roman"/>
          <w:szCs w:val="24"/>
        </w:rPr>
        <w:lastRenderedPageBreak/>
        <w:t>legislador de eliminar la sobrecarga que ya por aquel entonces venía sufriendo nuestro TC. Esta Ley modificó, en primer lugar, el trámite de admisión del recurso de amparo</w:t>
      </w:r>
      <w:r w:rsidRPr="004B3B15">
        <w:rPr>
          <w:rStyle w:val="Refdenotaalpie"/>
          <w:rFonts w:ascii="Times New Roman" w:hAnsi="Times New Roman"/>
          <w:szCs w:val="24"/>
        </w:rPr>
        <w:footnoteReference w:id="99"/>
      </w:r>
      <w:r w:rsidRPr="004B3B15">
        <w:rPr>
          <w:rFonts w:ascii="Times New Roman" w:hAnsi="Times New Roman"/>
          <w:szCs w:val="24"/>
        </w:rPr>
        <w:t>. Esta reforma consistió en una modificación del artículo 50 de la LOTC</w:t>
      </w:r>
      <w:r w:rsidRPr="004B3B15">
        <w:rPr>
          <w:rStyle w:val="Refdenotaalpie"/>
          <w:rFonts w:ascii="Times New Roman" w:hAnsi="Times New Roman"/>
          <w:szCs w:val="24"/>
        </w:rPr>
        <w:footnoteReference w:id="100"/>
      </w:r>
      <w:r w:rsidRPr="004B3B15">
        <w:rPr>
          <w:rFonts w:ascii="Times New Roman" w:hAnsi="Times New Roman"/>
          <w:szCs w:val="24"/>
        </w:rPr>
        <w:t xml:space="preserve">. Fue la primera vez que se modificó el trámite de admisión del recurso de amparo desde su redacción. </w:t>
      </w:r>
    </w:p>
    <w:p w14:paraId="4FBDB33E" w14:textId="51253D5F" w:rsidR="004B3B15" w:rsidRPr="004B3B15" w:rsidRDefault="004B3B15" w:rsidP="00F25B67">
      <w:pPr>
        <w:spacing w:after="240"/>
        <w:rPr>
          <w:szCs w:val="24"/>
        </w:rPr>
      </w:pPr>
      <w:r w:rsidRPr="004B3B15">
        <w:rPr>
          <w:szCs w:val="24"/>
        </w:rPr>
        <w:t xml:space="preserve">En la nueva redacción, las causas de inadmisión se agruparon en un único apartado del artículo. En la redacción original, en cambio, estaban separadas las causas de inadmisión formales frente a las sustantivas o de fondo. Además, podíamos distinguir aquellos requisitos procesales </w:t>
      </w:r>
      <w:r w:rsidR="007B7556" w:rsidRPr="004B3B15">
        <w:rPr>
          <w:szCs w:val="24"/>
        </w:rPr>
        <w:t>insubsanables recogidos</w:t>
      </w:r>
      <w:r w:rsidRPr="004B3B15">
        <w:rPr>
          <w:szCs w:val="24"/>
        </w:rPr>
        <w:t xml:space="preserve"> en el art. 50.1 a) LOTC en relación a los </w:t>
      </w:r>
      <w:r w:rsidRPr="004B3B15">
        <w:rPr>
          <w:szCs w:val="24"/>
        </w:rPr>
        <w:lastRenderedPageBreak/>
        <w:t>artículos 41 a 46 LOTC, de los que sí lo son al no incidir en requisitos procesales necesarios para acceder a la vía de amparo constitucional, recogidos en el art. 50.5 LOTC.</w:t>
      </w:r>
    </w:p>
    <w:p w14:paraId="3B9242D1" w14:textId="358F2E8E" w:rsidR="004B3B15" w:rsidRPr="004B3B15" w:rsidRDefault="004B3B15" w:rsidP="00F25B67">
      <w:pPr>
        <w:spacing w:after="240"/>
        <w:rPr>
          <w:szCs w:val="24"/>
        </w:rPr>
      </w:pPr>
      <w:r w:rsidRPr="004B3B15">
        <w:rPr>
          <w:szCs w:val="24"/>
        </w:rPr>
        <w:t xml:space="preserve">Respecto al resto del nuevo artículo 50, continuó siendo causa de inadmisión la solicitud del amparo respecto de derechos no susceptibles del mismo, a diferencia de que ahora estaría ubicado en el apartado b) del art. 50 en lugar de en el a). En el apartado c), anteriormente el b), que ya recogía que la demanda </w:t>
      </w:r>
      <w:r w:rsidR="007B7556" w:rsidRPr="004B3B15">
        <w:rPr>
          <w:szCs w:val="24"/>
        </w:rPr>
        <w:t>careciese manifiestamente</w:t>
      </w:r>
      <w:r w:rsidRPr="004B3B15">
        <w:rPr>
          <w:szCs w:val="24"/>
        </w:rPr>
        <w:t xml:space="preserve"> de contenido que justificara una decisión por parte del TC, se añadió el término “sobre el fondo de la misma” concretando que esa decisión fuera concretamente sobre cuestiones de fondo y no meras formalidades. Por último, el nuevo apartado d), antes el c), recogía la inadmisión en aquellos casos en los que el Tribunal Constitucional hubiera ya desestimado en el fondo un recurso o cuestión de inconstitucionalidad o un recurso de amparo en supuesto substancialmente igual.  La nueva redacción añadió, además, que el TC debía señalar expresamente en la providencia la resolución o resoluciones desestimatorias, es decir, señalar cuál ha sido ese supuesto sustancialmente idéntico.</w:t>
      </w:r>
    </w:p>
    <w:p w14:paraId="751A17FA" w14:textId="77777777" w:rsidR="004B3B15" w:rsidRPr="004B3B15" w:rsidRDefault="004B3B15" w:rsidP="00F25B67">
      <w:pPr>
        <w:spacing w:after="240"/>
        <w:rPr>
          <w:szCs w:val="24"/>
        </w:rPr>
      </w:pPr>
      <w:r w:rsidRPr="004B3B15">
        <w:rPr>
          <w:szCs w:val="24"/>
        </w:rPr>
        <w:t>Cabe destacar en este punto que nuestro TC no hizo uso en demasiadas ocasiones de este supuesto de inadmisión</w:t>
      </w:r>
      <w:r w:rsidRPr="004B3B15">
        <w:rPr>
          <w:rStyle w:val="Refdenotaalpie"/>
          <w:szCs w:val="24"/>
        </w:rPr>
        <w:footnoteReference w:id="101"/>
      </w:r>
      <w:r w:rsidRPr="004B3B15">
        <w:rPr>
          <w:szCs w:val="24"/>
        </w:rPr>
        <w:t>, ya fuera respecto de la regulación original o de la regulada a través de la reforma a la que nos referimos.</w:t>
      </w:r>
    </w:p>
    <w:p w14:paraId="0516B9AD" w14:textId="77777777" w:rsidR="004B3B15" w:rsidRPr="004B3B15" w:rsidRDefault="004B3B15" w:rsidP="00F25B67">
      <w:pPr>
        <w:spacing w:after="240"/>
        <w:rPr>
          <w:szCs w:val="24"/>
        </w:rPr>
      </w:pPr>
      <w:r w:rsidRPr="004B3B15">
        <w:rPr>
          <w:szCs w:val="24"/>
        </w:rPr>
        <w:t xml:space="preserve">En segundo lugar, cabe destacar la habilitación de las Secciones para que por unanimidad pudieran inadmitir el recurso de amparo mediante providencia, a diferencia de las Salas que eran las únicas habilitadas para ello antes de la reforma. </w:t>
      </w:r>
    </w:p>
    <w:p w14:paraId="53DDCC08" w14:textId="77777777" w:rsidR="004B3B15" w:rsidRPr="004B3B15" w:rsidRDefault="004B3B15" w:rsidP="00F25B67">
      <w:pPr>
        <w:pStyle w:val="texto"/>
        <w:spacing w:after="240" w:afterAutospacing="0"/>
        <w:ind w:firstLine="0"/>
        <w:rPr>
          <w:rFonts w:ascii="Times New Roman" w:hAnsi="Times New Roman"/>
          <w:szCs w:val="24"/>
        </w:rPr>
      </w:pPr>
      <w:r w:rsidRPr="004B3B15">
        <w:rPr>
          <w:rFonts w:ascii="Times New Roman" w:hAnsi="Times New Roman"/>
        </w:rPr>
        <w:t xml:space="preserve">Si echamos la vista atrás, en un principio todas las inadmisiones de los recursos de amparo debían motivarse. Sin embargo, el hecho de que esta inadmisión de los recursos se hiciera desde este momento por providencia conlleva que esta motivación ya no fuese necesaria. </w:t>
      </w:r>
      <w:r w:rsidRPr="004B3B15">
        <w:rPr>
          <w:rFonts w:ascii="Times New Roman" w:hAnsi="Times New Roman"/>
          <w:szCs w:val="24"/>
        </w:rPr>
        <w:t>Las providencias, como sabemos, son resoluciones que no necesitan estar motivadas</w:t>
      </w:r>
      <w:r w:rsidRPr="004B3B15">
        <w:rPr>
          <w:rStyle w:val="Refdenotaalpie"/>
          <w:rFonts w:ascii="Times New Roman" w:hAnsi="Times New Roman"/>
          <w:szCs w:val="24"/>
        </w:rPr>
        <w:footnoteReference w:id="102"/>
      </w:r>
      <w:r w:rsidRPr="004B3B15">
        <w:rPr>
          <w:rFonts w:ascii="Times New Roman" w:hAnsi="Times New Roman"/>
          <w:szCs w:val="24"/>
        </w:rPr>
        <w:t xml:space="preserve">, por tanto, se introduce un nuevo cambio al poder declararse la inadmisión de los recursos de amparo sin estar ésta motivada. Con esta introducción se pretendía que el Tribunal pudiera contestar con una providencia de inadmisión (inmotivada) aquellos asuntos que </w:t>
      </w:r>
      <w:r w:rsidRPr="004B3B15">
        <w:rPr>
          <w:rFonts w:ascii="Times New Roman" w:hAnsi="Times New Roman"/>
          <w:szCs w:val="24"/>
        </w:rPr>
        <w:lastRenderedPageBreak/>
        <w:t>considerara carentes de interés constitucional</w:t>
      </w:r>
      <w:r w:rsidRPr="004B3B15">
        <w:rPr>
          <w:rStyle w:val="Refdenotaalpie"/>
          <w:rFonts w:ascii="Times New Roman" w:hAnsi="Times New Roman"/>
          <w:szCs w:val="24"/>
        </w:rPr>
        <w:footnoteReference w:id="103"/>
      </w:r>
      <w:r w:rsidRPr="004B3B15">
        <w:rPr>
          <w:rFonts w:ascii="Times New Roman" w:hAnsi="Times New Roman"/>
          <w:szCs w:val="24"/>
        </w:rPr>
        <w:t>. Al ver esto, podemos pensar que con esta reforma se introdujo ya lo que después hizo la reforma de 2007. Sin embargo, no fue así.  En palabras de TENORIO</w:t>
      </w:r>
      <w:r w:rsidRPr="004B3B15">
        <w:rPr>
          <w:rStyle w:val="Refdenotaalpie"/>
          <w:rFonts w:ascii="Times New Roman" w:hAnsi="Times New Roman"/>
          <w:szCs w:val="24"/>
        </w:rPr>
        <w:footnoteReference w:id="104"/>
      </w:r>
      <w:r w:rsidRPr="004B3B15">
        <w:rPr>
          <w:rFonts w:ascii="Times New Roman" w:hAnsi="Times New Roman"/>
          <w:szCs w:val="24"/>
        </w:rPr>
        <w:t xml:space="preserve"> </w:t>
      </w:r>
      <w:r w:rsidRPr="004B3B15">
        <w:rPr>
          <w:rFonts w:ascii="Times New Roman" w:hAnsi="Times New Roman"/>
          <w:i/>
          <w:szCs w:val="24"/>
        </w:rPr>
        <w:t>“Lo que ocurrió es que el Tribunal no se atrevió a contestar los asuntos con una providencia de inadmisión prácticamente inmotivada y a seleccionarlos discrecionalmente. Nuestro Tribunal Constitucional no se atrevió a olvidar la naturaleza del referido recurso como instrumento concebido para la defensa de los derechos fundamentales y por ello interpretó que la carencia de contenido constitucional era equivalente a la inexistencia de vulneración constitucional y motivó las providencias de inadmisión por carencia de contenido”.</w:t>
      </w:r>
    </w:p>
    <w:p w14:paraId="7EE932DB" w14:textId="464FCA95" w:rsidR="004B3B15" w:rsidRPr="004B3B15" w:rsidRDefault="007B7556" w:rsidP="00F25B67">
      <w:pPr>
        <w:spacing w:after="240"/>
        <w:rPr>
          <w:szCs w:val="24"/>
        </w:rPr>
      </w:pPr>
      <w:r w:rsidRPr="004B3B15">
        <w:rPr>
          <w:szCs w:val="24"/>
        </w:rPr>
        <w:t>Vemos,</w:t>
      </w:r>
      <w:r w:rsidR="004B3B15" w:rsidRPr="004B3B15">
        <w:rPr>
          <w:szCs w:val="24"/>
        </w:rPr>
        <w:t xml:space="preserve"> por tanto, que este punto de la reforma no fue del todo efectivo. </w:t>
      </w:r>
    </w:p>
    <w:p w14:paraId="53510799" w14:textId="77777777" w:rsidR="004B3B15" w:rsidRPr="004B3B15" w:rsidRDefault="004B3B15" w:rsidP="00F25B67">
      <w:pPr>
        <w:spacing w:after="240"/>
        <w:rPr>
          <w:szCs w:val="24"/>
        </w:rPr>
      </w:pPr>
      <w:r w:rsidRPr="004B3B15">
        <w:rPr>
          <w:szCs w:val="24"/>
        </w:rPr>
        <w:t>Por otra parte, se eliminó la apertura del trámite de audiencia previa al recurrente y al Ministerio Fiscal, por lo que la resolución de admisión o inadmisión por parte de las Secciones se producirá solamente en base al análisis de la demanda de amparo y de la documentación que la acompañe, sin tener en cuenta nada más. Además, frente a la inadmisión de la demanda de amparo, se habilitó la posibilidad de que el Ministerio Fiscal pudiese interponer un recurso de súplica, posibilidad que no existía anteriormente.</w:t>
      </w:r>
    </w:p>
    <w:p w14:paraId="669D6527" w14:textId="492AA180" w:rsidR="004B3B15" w:rsidRPr="004B3B15" w:rsidRDefault="004B3B15" w:rsidP="00F25B67">
      <w:pPr>
        <w:spacing w:after="240"/>
        <w:rPr>
          <w:szCs w:val="24"/>
        </w:rPr>
      </w:pPr>
      <w:r w:rsidRPr="004B3B15">
        <w:rPr>
          <w:szCs w:val="24"/>
        </w:rPr>
        <w:t xml:space="preserve">Como hemos mencionado anteriormente, la finalidad de esta reforma era la de disminuir la carga de trabajo del TC debido a la ingente cantidad de recursos de amparo que éste recibía. Sin embargo, como hemos </w:t>
      </w:r>
      <w:r w:rsidR="007B7556" w:rsidRPr="004B3B15">
        <w:rPr>
          <w:szCs w:val="24"/>
        </w:rPr>
        <w:t>visto al</w:t>
      </w:r>
      <w:r w:rsidRPr="004B3B15">
        <w:rPr>
          <w:szCs w:val="24"/>
        </w:rPr>
        <w:t xml:space="preserve"> examinar las cifras del TC, esta reforma fue insuficiente y la entrada y pendencia de recursos de amparo siguió creciendo año tras año.</w:t>
      </w:r>
    </w:p>
    <w:p w14:paraId="588B6856" w14:textId="48EB4A35" w:rsidR="004B3B15" w:rsidRPr="004B3B15" w:rsidRDefault="00756616" w:rsidP="00C72445">
      <w:pPr>
        <w:pStyle w:val="Ttulo3"/>
      </w:pPr>
      <w:bookmarkStart w:id="271" w:name="_Toc530591742"/>
      <w:bookmarkStart w:id="272" w:name="_Toc530596863"/>
      <w:bookmarkStart w:id="273" w:name="_Toc49423627"/>
      <w:bookmarkStart w:id="274" w:name="_Toc49708580"/>
      <w:bookmarkStart w:id="275" w:name="_Toc49790267"/>
      <w:bookmarkStart w:id="276" w:name="_Toc49866506"/>
      <w:bookmarkStart w:id="277" w:name="_Toc50373157"/>
      <w:r>
        <w:t>D</w:t>
      </w:r>
      <w:r w:rsidRPr="004B3B15">
        <w:t>ebates parlamentarios</w:t>
      </w:r>
      <w:bookmarkEnd w:id="271"/>
      <w:bookmarkEnd w:id="272"/>
      <w:bookmarkEnd w:id="273"/>
      <w:bookmarkEnd w:id="274"/>
      <w:bookmarkEnd w:id="275"/>
      <w:bookmarkEnd w:id="276"/>
      <w:bookmarkEnd w:id="277"/>
    </w:p>
    <w:p w14:paraId="772E8A66" w14:textId="77777777" w:rsidR="004B3B15" w:rsidRPr="004B3B15" w:rsidRDefault="004B3B15" w:rsidP="00F25B67">
      <w:pPr>
        <w:spacing w:after="240"/>
      </w:pPr>
      <w:r w:rsidRPr="004B3B15">
        <w:t xml:space="preserve">Como ya hemos mencionado en el capítulo primero del presente trabajo, la crisis funcional que sufría el Tribunal Constitucional debido a la ingente cantidad de recursos de amparo que venía recibiendo año tras año hizo evidente la necesidad de una reforma que pusiese remedio a esta situación. Sin embargo, pese a que el propio Tribunal venía dando estas advertencias desde hacía muchos años, no fue hasta el año 2005 cuando </w:t>
      </w:r>
      <w:r w:rsidRPr="004B3B15">
        <w:lastRenderedPageBreak/>
        <w:t>verdaderamente tuvieron eco en el legislador. Hubo, como hemos visto, otras medidas destinadas a hacer frente a esta situación de saturación (reorganizaciones internas, pequeñas reformas procesales, etc.), pero éstas mostraron una eficacia limitada</w:t>
      </w:r>
      <w:r w:rsidRPr="004B3B15">
        <w:rPr>
          <w:rStyle w:val="Refdenotaalpie"/>
        </w:rPr>
        <w:footnoteReference w:id="105"/>
      </w:r>
      <w:r w:rsidRPr="004B3B15">
        <w:t>. Es por ello que se debían tomar unas medidas mayores a las tomadas hasta la fecha.</w:t>
      </w:r>
    </w:p>
    <w:p w14:paraId="4F805F1E" w14:textId="77777777" w:rsidR="004B3B15" w:rsidRPr="004B3B15" w:rsidRDefault="004B3B15" w:rsidP="00F25B67">
      <w:pPr>
        <w:spacing w:after="240"/>
      </w:pPr>
      <w:r w:rsidRPr="004B3B15">
        <w:t xml:space="preserve">Y es que, como hemos apuntado, fue el mismo Tribunal quien tempranamente puso de manifiesto esta situación, generalmente a través de sus </w:t>
      </w:r>
      <w:proofErr w:type="gramStart"/>
      <w:r w:rsidRPr="004B3B15">
        <w:t>Presidentes</w:t>
      </w:r>
      <w:proofErr w:type="gramEnd"/>
      <w:r w:rsidRPr="004B3B15">
        <w:t>. El propio Francisco Tomás y Valiente ya advertía de los riesgos que corría la jurisdicción constitucional debido a la excesiva carga de trabajo en el periodo 1980-1986 a través de la Memoria correspondiente</w:t>
      </w:r>
      <w:r w:rsidRPr="004B3B15">
        <w:rPr>
          <w:rStyle w:val="Refdenotaalpie"/>
        </w:rPr>
        <w:footnoteReference w:id="106"/>
      </w:r>
      <w:r w:rsidRPr="004B3B15">
        <w:t>.</w:t>
      </w:r>
    </w:p>
    <w:p w14:paraId="0ACDE9AD" w14:textId="77777777" w:rsidR="004B3B15" w:rsidRPr="004B3B15" w:rsidRDefault="004B3B15" w:rsidP="00F25B67">
      <w:pPr>
        <w:spacing w:after="240"/>
      </w:pPr>
      <w:r w:rsidRPr="004B3B15">
        <w:t xml:space="preserve">Es por ello que la iniciativa de reforma partió del propio TC. El por aquel entonces </w:t>
      </w:r>
      <w:proofErr w:type="gramStart"/>
      <w:r w:rsidRPr="004B3B15">
        <w:t>Presidente</w:t>
      </w:r>
      <w:proofErr w:type="gramEnd"/>
      <w:r w:rsidRPr="004B3B15">
        <w:t xml:space="preserve"> Jiménez de Parga, en el año 2003, afirmaba en un artículo</w:t>
      </w:r>
      <w:r w:rsidRPr="004B3B15">
        <w:rPr>
          <w:rStyle w:val="Refdenotaalpie"/>
        </w:rPr>
        <w:footnoteReference w:id="107"/>
      </w:r>
      <w:r w:rsidRPr="004B3B15">
        <w:t xml:space="preserve"> que nuestro Alto Tribunal había realizado una labor muy satisfactoria en lo que a la protección de derechos se refiere, pero que padecía una situación de colapso que hacía que su futuro fuese realmente incierto</w:t>
      </w:r>
      <w:r w:rsidRPr="004B3B15">
        <w:rPr>
          <w:rStyle w:val="Refdenotaalpie"/>
        </w:rPr>
        <w:footnoteReference w:id="108"/>
      </w:r>
      <w:r w:rsidRPr="004B3B15">
        <w:t>.</w:t>
      </w:r>
    </w:p>
    <w:p w14:paraId="188A5B48" w14:textId="77777777" w:rsidR="004B3B15" w:rsidRPr="004B3B15" w:rsidRDefault="004B3B15" w:rsidP="00F25B67">
      <w:pPr>
        <w:spacing w:after="240"/>
      </w:pPr>
      <w:r w:rsidRPr="004B3B15">
        <w:t>El proceso de reforma de la LOTC se inició a finales de 2005 con la presentación del Proyecto de Ley por el Gobierno ante las Cámaras.  Según su Exposición de Motivos, el objetivo era el de atajar la saturación del Tribunal Constitucional debido al aumento año tras año de las solitudes de amparo recibidas, permitiendo así una mayor funcionalidad de esta institución. Principalmente, se pretendía solventar el retraso en la emisión de resoluciones y permitir al Alto Tribunal llevar a cabo todas las competencias que les correspondían.</w:t>
      </w:r>
    </w:p>
    <w:p w14:paraId="0EDC8CEF" w14:textId="77777777" w:rsidR="004B3B15" w:rsidRPr="004B3B15" w:rsidRDefault="004B3B15" w:rsidP="00F25B67">
      <w:pPr>
        <w:spacing w:after="240"/>
      </w:pPr>
      <w:r w:rsidRPr="004B3B15">
        <w:t xml:space="preserve">La propuesta que se hizo para la nueva regulación del recurso de amparo se sostenía en dos pilares básicos. El primero de ellos era el nuevo trámite de admisión del recurso, en el </w:t>
      </w:r>
      <w:proofErr w:type="spellStart"/>
      <w:r w:rsidRPr="004B3B15">
        <w:t>cuál</w:t>
      </w:r>
      <w:proofErr w:type="spellEnd"/>
      <w:r w:rsidRPr="004B3B15">
        <w:t xml:space="preserve"> se producía una inversión del juicio de admisibilidad y se aumentaban las </w:t>
      </w:r>
      <w:r w:rsidRPr="004B3B15">
        <w:lastRenderedPageBreak/>
        <w:t xml:space="preserve">competencias de las Secciones, las cuales podrían decidir la admisibilidad de los recursos; el segundo era la nueva redacción del incidente de nulidad de actuaciones, regulado por la Ley Orgánica del Poder Judicial. Su objetivo era aumentar la tutela de los derechos fundamentales en la vía ordinaria y que, por tanto, los asuntos no tuviesen que llegar al TC. Como más tarde veremos, lo que se pretendía en realidad no era más que equilibrar la tutela de los derechos fundamentales, es decir, debido a que esta reforma restringió en gran medida la tutela ejercida por el Alto Tribunal al dificultar el acceso a éste, se intentó compensar este hecho añadiendo un plus en la vía ordinaria mediante la reforma del incidente de nulidad de actuaciones. A esta cuestión dedicaremos el capítulo tercero del presente trabajo. </w:t>
      </w:r>
    </w:p>
    <w:p w14:paraId="3E177402" w14:textId="77777777" w:rsidR="004B3B15" w:rsidRPr="004B3B15" w:rsidRDefault="004B3B15" w:rsidP="00F25B67">
      <w:pPr>
        <w:spacing w:after="240"/>
      </w:pPr>
      <w:r w:rsidRPr="004B3B15">
        <w:t>Nos centraremos pues en las cuestiones suscitadas en torno a la nueva regulación del recurso de amparo y en aquellos aspectos que inciden directamente sobre él, como el incidente de nulidad de actuaciones.</w:t>
      </w:r>
    </w:p>
    <w:p w14:paraId="24CA39A2" w14:textId="77777777" w:rsidR="004B3B15" w:rsidRPr="004B3B15" w:rsidRDefault="004B3B15" w:rsidP="00F25B67">
      <w:pPr>
        <w:spacing w:after="240"/>
      </w:pPr>
      <w:r w:rsidRPr="004B3B15">
        <w:t>Respecto al recurso de amparo, el Proyecto dio una nueva redacción a los artículos 41.2, 43.1, 44, 48, 49.1, 49.4, 50, 52.2, 52.3, 53, 54, 55.2 y 56.</w:t>
      </w:r>
    </w:p>
    <w:p w14:paraId="7D11CB92" w14:textId="77777777" w:rsidR="004B3B15" w:rsidRPr="004B3B15" w:rsidRDefault="004B3B15" w:rsidP="00F25B67">
      <w:pPr>
        <w:spacing w:after="240"/>
      </w:pPr>
      <w:r w:rsidRPr="004B3B15">
        <w:t xml:space="preserve">Focalizaremos nuestra atención principalmente en la nueva redacción dada a los artículos 49 y 50, correspondientes a la tramitación de los recursos de amparo, pues son los que poseen un mayor interés para nuestro trabajo. </w:t>
      </w:r>
    </w:p>
    <w:p w14:paraId="2EBBAA6F" w14:textId="77777777" w:rsidR="004B3B15" w:rsidRPr="004B3B15" w:rsidRDefault="004B3B15" w:rsidP="00F25B67">
      <w:pPr>
        <w:spacing w:after="240"/>
      </w:pPr>
      <w:r w:rsidRPr="004B3B15">
        <w:t>La  nueva redacción que el Proyecto de Ley</w:t>
      </w:r>
      <w:r w:rsidRPr="004B3B15">
        <w:rPr>
          <w:rStyle w:val="Refdenotaalpie"/>
        </w:rPr>
        <w:footnoteReference w:id="109"/>
      </w:r>
      <w:r w:rsidRPr="004B3B15">
        <w:t xml:space="preserve"> daba a estos artículos introducía muchas novedades, las cuales fueron objeto de gran debate. Respecto al artículo</w:t>
      </w:r>
      <w:r w:rsidRPr="004B3B15">
        <w:rPr>
          <w:rStyle w:val="Refdenotaalpie"/>
        </w:rPr>
        <w:footnoteReference w:id="110"/>
      </w:r>
      <w:r w:rsidRPr="004B3B15">
        <w:t xml:space="preserve"> 49, la </w:t>
      </w:r>
      <w:r w:rsidRPr="004B3B15">
        <w:lastRenderedPageBreak/>
        <w:t>propuesta de reforma incidía en los apartados 1 y 4 del texto</w:t>
      </w:r>
      <w:r w:rsidRPr="004B3B15">
        <w:rPr>
          <w:rStyle w:val="Refdenotaalpie"/>
        </w:rPr>
        <w:footnoteReference w:id="111"/>
      </w:r>
      <w:r w:rsidRPr="004B3B15">
        <w:t>.  El artículo</w:t>
      </w:r>
      <w:r w:rsidRPr="004B3B15">
        <w:rPr>
          <w:rStyle w:val="Refdenotaalpie"/>
          <w:i/>
        </w:rPr>
        <w:footnoteReference w:id="112"/>
      </w:r>
      <w:r w:rsidRPr="004B3B15">
        <w:t xml:space="preserve"> 50, por su parte, recibía una redacción completamente diferente</w:t>
      </w:r>
      <w:r w:rsidRPr="004B3B15">
        <w:rPr>
          <w:rStyle w:val="Refdenotaalpie"/>
        </w:rPr>
        <w:footnoteReference w:id="113"/>
      </w:r>
      <w:r w:rsidRPr="004B3B15">
        <w:t xml:space="preserve">. </w:t>
      </w:r>
    </w:p>
    <w:p w14:paraId="70862AAE" w14:textId="77777777" w:rsidR="004B3B15" w:rsidRPr="004B3B15" w:rsidRDefault="004B3B15" w:rsidP="00F25B67">
      <w:pPr>
        <w:spacing w:after="240"/>
      </w:pPr>
      <w:r w:rsidRPr="004B3B15">
        <w:lastRenderedPageBreak/>
        <w:t>Respecto al incidente de nulidad de actuaciones, la Disposición Final primera modifica el artículo 241.1 de la Ley Orgánica 6/1985, de 1 de julio, del Poder Judicial</w:t>
      </w:r>
      <w:r w:rsidRPr="004B3B15">
        <w:rPr>
          <w:rStyle w:val="Refdenotaalpie"/>
        </w:rPr>
        <w:footnoteReference w:id="114"/>
      </w:r>
      <w:r w:rsidRPr="004B3B15">
        <w:t>. Como veremos, la redacción del incidente de nulidad de actuaciones que contenía el Proyecto fue igual a la finalmente aprobada.</w:t>
      </w:r>
    </w:p>
    <w:p w14:paraId="6620448D" w14:textId="77777777" w:rsidR="004B3B15" w:rsidRPr="004B3B15" w:rsidRDefault="004B3B15" w:rsidP="00F25B67">
      <w:pPr>
        <w:spacing w:after="240"/>
      </w:pPr>
      <w:r w:rsidRPr="004B3B15">
        <w:t>La nueva redacción del artículo 49, recibió algunas enmiendas por parte de los distintos Grupos Parlamentarios</w:t>
      </w:r>
      <w:r w:rsidRPr="004B3B15">
        <w:rPr>
          <w:rStyle w:val="Refdenotaalpie"/>
        </w:rPr>
        <w:footnoteReference w:id="115"/>
      </w:r>
      <w:r w:rsidRPr="004B3B15">
        <w:t xml:space="preserve">. Por una parte, se plantearon enmiendas para la supresión de la necesidad de justificación de la especial trascendencia constitucional. En concreto, Doña Begoña Lasagabaster Olazábal, del Grupo Parlamentario Mixto, justificó esta enmienda alegando que </w:t>
      </w:r>
      <w:r w:rsidRPr="004B3B15">
        <w:rPr>
          <w:i/>
        </w:rPr>
        <w:t xml:space="preserve">“El término utilizado como requisito para la formalización de la demanda y que hace depender su admisibilidad, se antoja de una gran inseguridad jurídica, pese al contenido explicativo que del mismo se realiza en el artículo 20”. </w:t>
      </w:r>
      <w:r w:rsidRPr="004B3B15">
        <w:t>En efecto, alegó que la trascendencia constitucional para el demandante de amparo estaría más que justificada y que, además, esta inseguridad jurídica se asemejaría a la que ha estado ocasionando en la jurisdicción ordinaria, concretamente en el TS, el requisito del «interés casacional».</w:t>
      </w:r>
    </w:p>
    <w:p w14:paraId="7EF2D26D" w14:textId="77777777" w:rsidR="004B3B15" w:rsidRPr="004B3B15" w:rsidRDefault="004B3B15" w:rsidP="00F25B67">
      <w:pPr>
        <w:spacing w:after="240"/>
      </w:pPr>
      <w:r w:rsidRPr="004B3B15">
        <w:t xml:space="preserve">Resulta de gran interés este punto debido a que se le está pidiendo al demandante de amparo la justificación de un requisito que ni siquiera la propia Ley </w:t>
      </w:r>
      <w:proofErr w:type="spellStart"/>
      <w:r w:rsidRPr="004B3B15">
        <w:t>especifica</w:t>
      </w:r>
      <w:proofErr w:type="spellEnd"/>
      <w:r w:rsidRPr="004B3B15">
        <w:t>. Como veremos más adelante, no fue hasta dos años después con la Sentencia del Tribunal Constitucional 155/2009, de 25 de junio, cuando este concepto fue definido en mayor o menor medida por el propio Tribunal. Sin embargo, durante estos dos años se mantuvo esta falta de claridad en un concepto de gran importancia, pues de él mismo dependía que la demanda fuese o no admitida a trámite. Hecho que, a nuestro parecer, causó una gran inseguridad jurídica para los solicitantes de amparo.</w:t>
      </w:r>
    </w:p>
    <w:p w14:paraId="447F8D71" w14:textId="77777777" w:rsidR="004B3B15" w:rsidRPr="004B3B15" w:rsidRDefault="004B3B15" w:rsidP="00F25B67">
      <w:pPr>
        <w:spacing w:after="240"/>
      </w:pPr>
      <w:r w:rsidRPr="004B3B15">
        <w:t xml:space="preserve">Por otra parte, el Grupo Parlamentario Vasco presentó otra enmienda respecto a la posibilidad de subsanación que recogía el artículo 49 del Proyecto. Concretamente alegó que la posibilidad de subsanación debía acotarse a los requisitos y documentos que </w:t>
      </w:r>
      <w:r w:rsidRPr="004B3B15">
        <w:lastRenderedPageBreak/>
        <w:t>preveían los apartados 2 y 3 del artículo 49 pero no a los que recogía el apartado 1, los cuales entendían que no podían ser objeto de subsanación.</w:t>
      </w:r>
    </w:p>
    <w:p w14:paraId="6C620CFA" w14:textId="77777777" w:rsidR="004B3B15" w:rsidRPr="004B3B15" w:rsidRDefault="004B3B15" w:rsidP="00F25B67">
      <w:pPr>
        <w:spacing w:after="240"/>
      </w:pPr>
      <w:r w:rsidRPr="004B3B15">
        <w:t xml:space="preserve">Este punto es a mi parecer muy interesante. Nos encontramos ante una contraposición con lo establecido anteriormente. Si bien el Grupo Parlamentario Mixto propuso la supresión de la justificación de la especial trascendencia constitucional alegando que, debido a la imprecisión del mismo, podría antojarse una gran inseguridad jurídica para el demandante de amparo, en este caso nos encontramos con que el Grupo Parlamentario Vasco pretendía que este requisito, junto con el resto del apartado 1 del artículo 49, fuesen considerados insubsanables. Si efectivamente esta propuesta hubiese sido aceptada, nos encontraríamos con la imposibilidad de subsanar requisitos clave, entre ellos la propia trascendencia constitucional. </w:t>
      </w:r>
    </w:p>
    <w:p w14:paraId="0898C65D" w14:textId="298BC0BD" w:rsidR="004B3B15" w:rsidRPr="004B3B15" w:rsidRDefault="007B7556" w:rsidP="00F25B67">
      <w:pPr>
        <w:spacing w:after="240"/>
      </w:pPr>
      <w:r w:rsidRPr="004B3B15">
        <w:t>Finalmente,</w:t>
      </w:r>
      <w:r w:rsidR="004B3B15" w:rsidRPr="004B3B15">
        <w:t xml:space="preserve"> esta propuesta no fue aceptada, por lo que el apartado 4 del artículo 49 estableció que los tres apartados anteriores del citado artículo poseen un carácter subsanable. Sin embargo, un año después, el propio TC estableció en el FJ 3 de su Auto 188/2008, de 21 de julio que, por el contrario, la especial trascendencia constitucional es un requisito cuya omisión constituye un vicio insubsanable:</w:t>
      </w:r>
    </w:p>
    <w:p w14:paraId="67FE94DB" w14:textId="77777777" w:rsidR="004B3B15" w:rsidRPr="004B3B15" w:rsidRDefault="004B3B15" w:rsidP="00F25B67">
      <w:pPr>
        <w:spacing w:after="240"/>
        <w:rPr>
          <w:i/>
        </w:rPr>
      </w:pPr>
      <w:r w:rsidRPr="004B3B15">
        <w:rPr>
          <w:i/>
        </w:rPr>
        <w:t>“La exigencia prevista en el art. 49.1 in fine LOTC de que en la demanda de amparo se justifique en todo caso la especial trascendencia constitucional del recurso es, además, un requisito insubsanable.</w:t>
      </w:r>
    </w:p>
    <w:p w14:paraId="2CA182CE" w14:textId="77777777" w:rsidR="004B3B15" w:rsidRPr="004B3B15" w:rsidRDefault="004B3B15" w:rsidP="00F25B67">
      <w:pPr>
        <w:spacing w:after="240"/>
        <w:rPr>
          <w:i/>
        </w:rPr>
      </w:pPr>
      <w:r w:rsidRPr="004B3B15">
        <w:rPr>
          <w:i/>
        </w:rPr>
        <w:t>Si bien el art. 49.4 LOTC dispone que “[d]e incumplirse cualquiera de los requisitos en los apartados que anteceden, las Secretarías de Justicia lo pondrán de manifiesto al interesado en el plazo de diez días, con el apercibimiento de que, de no subsanarse el defecto, se acordará la inadmisión del recurso”, no obstante, la propia naturaleza y la función que cumple la carga establecida en el inciso final del art. 49.1 LOTC, en relación con lo dispuesto en el art. 50.1 LOTC, impiden considerar que este requisito sea de naturaleza subsanable”.</w:t>
      </w:r>
    </w:p>
    <w:p w14:paraId="4B23EC3B" w14:textId="77777777" w:rsidR="004B3B15" w:rsidRPr="004B3B15" w:rsidRDefault="004B3B15" w:rsidP="00F25B67">
      <w:pPr>
        <w:spacing w:after="240"/>
      </w:pPr>
      <w:r w:rsidRPr="004B3B15">
        <w:t>Vemos por tanto que, aunque esta enmienda no fuese introducida, finalmente la especial trascendencia constitucional sí que es considerada como un requisito insubsanable pese a aparecer en el apartado 1 del artículo 49. Sobre este punto volveremos más adelante.</w:t>
      </w:r>
    </w:p>
    <w:p w14:paraId="3C2A73A4" w14:textId="77777777" w:rsidR="004B3B15" w:rsidRPr="004B3B15" w:rsidRDefault="004B3B15" w:rsidP="00F25B67">
      <w:pPr>
        <w:spacing w:after="240"/>
      </w:pPr>
      <w:r w:rsidRPr="004B3B15">
        <w:lastRenderedPageBreak/>
        <w:t>Respecto al artículo 50, hubo diversas enmiendas presentadas al proyecto. Entre ellas, la eliminación de la admisión en base a la especial trascendencia constitucional, en concordancia con la anterior enmienda al artículo 49 en la que se pedía su eliminación, fue presentada por Doña Begoña Lasagabaster Olazábal, del Grupo Parlamentario Mixto. También fue presentada por el mismo Grupo una enmienda contra el párrafo 3º del artículo 50, en el que se proponía que el recurso de súplica contra providencias de inadmisión pudiese ser presentado también por las partes y no sólo por el Ministerio Fiscal. Ambos puntos serán comentados en el siguiente epígrafe del trabajo pues resultan de gran interés. Respecto primero, como ya dijimos, me resulta muy cuestionable que la admisión a trámite de la demanda, tras la reforma, verse sobre la justificación de un requisito del todo abstracto e indeterminado por la Ley; y el segundo, remitiéndome a lo anteriormente mencionado sobre la consideración de la especial trascendencia constitucional como un requisito insubsanable a pesar de los establecido por el artículo 49.4, me resulta del todo aberrante. No tiene sentido cerrar la vía del recurso de súplica para las partes teniendo en cuenta esta imposibilidad de subsanación de la especial trascendencia, más aún, considerando la indeterminación del concepto. Como he dicho, volveremos a este punto en el siguiente epígrafe.</w:t>
      </w:r>
    </w:p>
    <w:p w14:paraId="43A33D1C" w14:textId="77777777" w:rsidR="004B3B15" w:rsidRPr="004B3B15" w:rsidRDefault="004B3B15" w:rsidP="00F25B67">
      <w:pPr>
        <w:spacing w:after="240"/>
      </w:pPr>
      <w:r w:rsidRPr="004B3B15">
        <w:t>Por su parte, el Grupo Parlamentario Vasco, presentó otra enmienda al artículo 50 solicitando una nueva redacción de diversos puntos de éste, concretamente su intención era la de equilibrar las dos dimensiones del amparo (la objetiva y la subjetiva), pues a su parecer, en el texto del Proyecto se olvidaba esta segunda dimensión del amparo. Como veremos, esta enmienda no fue aceptada y, efectivamente, el recurso de amparo perdió completamente su dimensión subjetiva.</w:t>
      </w:r>
    </w:p>
    <w:p w14:paraId="686C2F8A" w14:textId="7F94FE67" w:rsidR="004B3B15" w:rsidRPr="004B3B15" w:rsidRDefault="004B3B15" w:rsidP="00F25B67">
      <w:pPr>
        <w:spacing w:after="240"/>
      </w:pPr>
      <w:r w:rsidRPr="004B3B15">
        <w:t xml:space="preserve">Por último, el Grupo Parlamentario Popular del Congreso presentó también una enmienda contra el artículo 50 en su pretensión de justificar la inadmisión de los recursos de amparo. Para ello, pretendía que en lugar de inadmitirse mediante providencia se hiciese mediante auto. Esta enmienda también tiene, a mi parecer, mucho sentido. Es conveniente resaltar este punto ya que anteriormente hacíamos mención a la inseguridad jurídica que producía la falta de claridad del requisito de la especial trascendencia constitucional en la medida en que el demandante de amparo debía justificarla. Si partimos de que este concepto es poco claro, resultaría útil para llevar a cabo esta labor de definición que las inadmisiones a trámite se hiciesen justificando el porqué de las mismas. De esta forma a partir del </w:t>
      </w:r>
      <w:r w:rsidRPr="004B3B15">
        <w:lastRenderedPageBreak/>
        <w:t xml:space="preserve">estudio de las demandas admitidas a trámite y de las inadmitidas podríamos clarificar en qué casos el Tribunal considera que el caso tiene </w:t>
      </w:r>
      <w:r w:rsidR="007B7556" w:rsidRPr="004B3B15">
        <w:t>especial trascendencia</w:t>
      </w:r>
      <w:r w:rsidRPr="004B3B15">
        <w:t xml:space="preserve"> constitucional y, por tanto, es admitido. Del mismo modo, en los casos en que la demanda no es admitida podríamos apreciar los motivos del rechazo. Sin embargo, también es cierto que la justificación de todas las demandas no admitidas a trámite supone una carga de trabajo extra para el Tribunal. Habría por tanto que sopesar estos dos puntos. En qué medida merece la pena añadir a nuestro Alto Tribunal un trabajo añadido y que ocuparía gran parte su tiempo en pro de clarificar un concepto que la Ley no define y que, en nuestra opinión, crea una gran inseguridad jurídica.</w:t>
      </w:r>
    </w:p>
    <w:p w14:paraId="1968AF35" w14:textId="516167FA" w:rsidR="004B3B15" w:rsidRPr="004B3B15" w:rsidRDefault="004B3B15" w:rsidP="00F25B67">
      <w:pPr>
        <w:spacing w:after="240"/>
      </w:pPr>
      <w:r w:rsidRPr="004B3B15">
        <w:t>Resulta interesante mencionar otras enmiendas respecto al resto de la regulación del recurso. Se propuso la eliminación del conocimiento de los recursos por parte de las Secciones. Asimismo, se solicitó la ampliación del plazo para la interposición de la demanda debido al entendimiento de que la imposición de la justificación de la especial trascendencia constitucional era un requisito que requería un periodo de tiempo mayor. También se pidió un cambio en la redacción del requisito referido al agotamiento de la vía judicial previa al recurso de amparo que especificara la necesidad de agotamiento de todos los medios de impugnación previstos en las normas procesales. Se solicitó que la “</w:t>
      </w:r>
      <w:proofErr w:type="spellStart"/>
      <w:r w:rsidRPr="004B3B15">
        <w:t>autocuestión</w:t>
      </w:r>
      <w:proofErr w:type="spellEnd"/>
      <w:r w:rsidRPr="004B3B15">
        <w:t xml:space="preserve">” o “cuestión interna de </w:t>
      </w:r>
      <w:r w:rsidR="007B7556" w:rsidRPr="004B3B15">
        <w:t>constitucionalidad” se</w:t>
      </w:r>
      <w:r w:rsidRPr="004B3B15">
        <w:t xml:space="preserve"> resolviera conjuntamente con el recurso de amparo en una misma sentencia. Finalmente, se propuso una mejor redacción del incidente de nulidad de actuaciones que lo engarzara de una mejor manera con el recurso de amparo con la finalidad de dar una mayor celeridad al Tribunal a la hora de resolver el recurso.</w:t>
      </w:r>
    </w:p>
    <w:p w14:paraId="60163136" w14:textId="77777777" w:rsidR="004B3B15" w:rsidRPr="004B3B15" w:rsidRDefault="004B3B15" w:rsidP="00F25B67">
      <w:pPr>
        <w:spacing w:after="240"/>
      </w:pPr>
      <w:r w:rsidRPr="004B3B15">
        <w:t>Sin embargo, la mayoría de estas enmiendas no se recogieron en el Informe de la Ponencia, aunque algunas encontraron el apoyo necesario. Entre las que lo encontraron, cabe destacar las siguientes:</w:t>
      </w:r>
    </w:p>
    <w:p w14:paraId="4E6ABDDB" w14:textId="77777777" w:rsidR="004B3B15" w:rsidRPr="004B3B15" w:rsidRDefault="004B3B15" w:rsidP="00F25B67">
      <w:pPr>
        <w:spacing w:after="240"/>
      </w:pPr>
    </w:p>
    <w:p w14:paraId="70026135" w14:textId="77777777" w:rsidR="004B3B15" w:rsidRPr="004B3B15" w:rsidRDefault="004B3B15" w:rsidP="00F25B67">
      <w:pPr>
        <w:pStyle w:val="Prrafodelista"/>
        <w:numPr>
          <w:ilvl w:val="0"/>
          <w:numId w:val="7"/>
        </w:numPr>
      </w:pPr>
      <w:r w:rsidRPr="004B3B15">
        <w:t>La modificación del artículo 44. 1.a), introduciéndose el requisito de haber agotado</w:t>
      </w:r>
      <w:r w:rsidRPr="004B3B15">
        <w:rPr>
          <w:i/>
        </w:rPr>
        <w:t xml:space="preserve"> “todos los medios de impugnación previstos por las normas procesales para el caso concreto”.</w:t>
      </w:r>
      <w:r w:rsidRPr="004B3B15">
        <w:t xml:space="preserve"> </w:t>
      </w:r>
    </w:p>
    <w:p w14:paraId="2658289D" w14:textId="77777777" w:rsidR="004B3B15" w:rsidRPr="004B3B15" w:rsidRDefault="004B3B15" w:rsidP="00F25B67">
      <w:pPr>
        <w:pStyle w:val="Prrafodelista"/>
        <w:numPr>
          <w:ilvl w:val="0"/>
          <w:numId w:val="7"/>
        </w:numPr>
      </w:pPr>
      <w:r w:rsidRPr="004B3B15">
        <w:lastRenderedPageBreak/>
        <w:t xml:space="preserve">La modificación del artículo 44.2, mediante el que se amplía el plazo para la interposición del recurso de amparo. Éste pasará de los veinte días establecidos en el Proyecto, a treinta días. </w:t>
      </w:r>
    </w:p>
    <w:p w14:paraId="1F1ADA57" w14:textId="7497F794" w:rsidR="004B3B15" w:rsidRPr="004B3B15" w:rsidRDefault="004B3B15" w:rsidP="00F25B67">
      <w:pPr>
        <w:pStyle w:val="Prrafodelista"/>
        <w:numPr>
          <w:ilvl w:val="0"/>
          <w:numId w:val="7"/>
        </w:numPr>
      </w:pPr>
      <w:r w:rsidRPr="004B3B15">
        <w:t xml:space="preserve">En último lugar, respecto al conocimiento del recurso de amparo por las Secciones, se modifica el artículo 52.2. Mediante esta </w:t>
      </w:r>
      <w:r w:rsidR="007B7556" w:rsidRPr="004B3B15">
        <w:t>modificación, se</w:t>
      </w:r>
      <w:r w:rsidRPr="004B3B15">
        <w:t xml:space="preserve"> pasa de una posible remisión general por parte de las Salas a las Secciones a un acotamiento de los supuestos en un caso concreto, es decir, las Secciones sólo podrán resolver </w:t>
      </w:r>
      <w:r w:rsidRPr="004B3B15">
        <w:rPr>
          <w:i/>
        </w:rPr>
        <w:t xml:space="preserve">“cuando para su resolución sea aplicable doctrina consolidada del Tribunal Constitucional”. </w:t>
      </w:r>
      <w:r w:rsidRPr="004B3B15">
        <w:t>Por tanto, las Secciones sólo conocerán en aquellos casos en los que tengan que aplicar para la resolución del caso una doctrina consolidada del Tribunal Constitucional.</w:t>
      </w:r>
    </w:p>
    <w:p w14:paraId="64370422" w14:textId="77777777" w:rsidR="004B3B15" w:rsidRPr="004B3B15" w:rsidRDefault="004B3B15" w:rsidP="00F25B67">
      <w:pPr>
        <w:pStyle w:val="Prrafodelista"/>
        <w:ind w:left="1065"/>
      </w:pPr>
    </w:p>
    <w:p w14:paraId="2DA685F6" w14:textId="77777777" w:rsidR="004B3B15" w:rsidRPr="004B3B15" w:rsidRDefault="004B3B15" w:rsidP="00F25B67">
      <w:pPr>
        <w:spacing w:after="240"/>
      </w:pPr>
      <w:r w:rsidRPr="004B3B15">
        <w:t>Como podemos apreciar fueron muy pocas las enmiendas recogidas en el Informe de la Ponencia y, a nuestro parecer, las menos significativas. Un ejemplo de ello es la modificación del plazo para la interposición del recurso de amparo. Teniendo en cuenta la dificultad que ocasiona la introducción del requisito de la justificación de la especial trascendencia constitucional en la demanda para el particular, la ampliación de diez días más no supone una mejora considerable. En lo que respecta a las Secciones, posteriormente nos centraremos con más detenimiento en este punto.</w:t>
      </w:r>
    </w:p>
    <w:p w14:paraId="686E00A3" w14:textId="77777777" w:rsidR="004B3B15" w:rsidRPr="004B3B15" w:rsidRDefault="004B3B15" w:rsidP="00F25B67">
      <w:pPr>
        <w:spacing w:after="240"/>
      </w:pPr>
      <w:r w:rsidRPr="004B3B15">
        <w:t>Es importante destacar que en la mayoría de los debates que se llevaron a cabo en torno al Proyecto para la reforma, todos los grupos parlamentarios señalaron la necesidad imperiosa de reformar el recurso de amparo como medio para solventar la crisis funcional que venía sufriendo el Tribunal Constitucional desde hacía varios años. Quizá fue éste el único punto en el que todos los grupos coincidieron, pues hubo diferencias considerables en otros aspectos de la materia, principalmente por parte del Grupo Parlamentario Popular. Sus reticencias a la aprobación del Proyecto se basaron principalmente en dos aspectos:</w:t>
      </w:r>
    </w:p>
    <w:p w14:paraId="5F1B57FC" w14:textId="77777777" w:rsidR="004B3B15" w:rsidRPr="004B3B15" w:rsidRDefault="004B3B15" w:rsidP="00F25B67">
      <w:pPr>
        <w:spacing w:after="240"/>
      </w:pPr>
      <w:r w:rsidRPr="004B3B15">
        <w:t xml:space="preserve"> El primero de ellos era la falta de regulación del amparo en vía ordinaria, frente a la objetivación del nuevo recurso. Esto sumado al desconocimiento, debido a esta </w:t>
      </w:r>
      <w:r w:rsidRPr="004B3B15">
        <w:lastRenderedPageBreak/>
        <w:t>objetivación, de la especial trascendencia constitucional que posee el recurso al no estar obligado el Tribunal a motivar la inadmisión del mismo.</w:t>
      </w:r>
    </w:p>
    <w:p w14:paraId="370B5888" w14:textId="77777777" w:rsidR="004B3B15" w:rsidRPr="004B3B15" w:rsidRDefault="004B3B15" w:rsidP="00F25B67">
      <w:pPr>
        <w:spacing w:after="240"/>
      </w:pPr>
      <w:r w:rsidRPr="004B3B15">
        <w:t>El segundo aspecto se basaba en la aparente incongruencia existente entre el conocimiento por las Secciones y la necesidad de que el recurso posea una especial trascendencia constitucional para ser admitido a trámite.</w:t>
      </w:r>
    </w:p>
    <w:p w14:paraId="49502828" w14:textId="77777777" w:rsidR="004B3B15" w:rsidRPr="004B3B15" w:rsidRDefault="004B3B15" w:rsidP="00F25B67">
      <w:pPr>
        <w:spacing w:after="240"/>
      </w:pPr>
      <w:r w:rsidRPr="004B3B15">
        <w:t>No obstante, esta segunda cuestión tuvo su reflejo en el texto finalmente aprobado ya que, como hemos visto, se pasó de una remisión general a una concretización del supuesto en el que podía producirse la remisión, concretamente cuando la resolución por parte de las Secciones fuese aplicando doctrina consolidada del Tribunal Constitucional.</w:t>
      </w:r>
    </w:p>
    <w:p w14:paraId="23215CB3" w14:textId="77777777" w:rsidR="004B3B15" w:rsidRPr="004B3B15" w:rsidRDefault="004B3B15" w:rsidP="00F25B67">
      <w:pPr>
        <w:spacing w:after="240"/>
      </w:pPr>
      <w:r w:rsidRPr="004B3B15">
        <w:t>Estos puntos han de ser necesariamente comentados pues son de gran interés para nuestro trabajo. En lo que respecta al primer aspecto, éste encuentra su motivación en la preocupación que despierta que esta nueva regulación del recurso de amparo, finalidad principal de la nueva Ley, suponga un retroceso en las garantías en nuestro sistema y en la defensa de los derechos fundamentales. Como muy bien señaló el Sr. ASTARLOA HUARTE-MENDICOA en su intervención, la nueva admisión a trámite del recurso queda a la discrecionalidad del Tribunal Constitucional, el cual como hemos mencionado anteriormente, no necesita motivar las razones por las cuales admite o no admite los recursos de amparo, pues este trámite se realiza por mera providencia. Se concedería, por tanto, al Tribunal la facultad de determinar si estudia o no un recurso de amparo sobre la base de estimar si tiene o no tiene relevancia constitucional</w:t>
      </w:r>
      <w:r w:rsidRPr="004B3B15">
        <w:rPr>
          <w:rStyle w:val="Refdenotaalpie"/>
        </w:rPr>
        <w:footnoteReference w:id="116"/>
      </w:r>
      <w:r w:rsidRPr="004B3B15">
        <w:t>. Por otra parte, como ya dijimos, esta falta de motivación de las admisiones e inadmisiones de los recursos dificulta el conocimiento del nuevo requisito de la especial trascendencia constitucional creando así una gran inseguridad jurídica. A nuestro juicio, el hecho de que el Tribunal decida si algo tiene o no tiene relevancia constitucional sin explicar a nadie cuál es su criterio respecto a ello, ni siquiera al Fiscal que es el único con potestad para recurrir esta decisión, es una solución inestable y que supone para el demandante en amparo una dificultad excesiva para poder presentar este recurso.</w:t>
      </w:r>
    </w:p>
    <w:p w14:paraId="51EE1485" w14:textId="77777777" w:rsidR="004B3B15" w:rsidRPr="004B3B15" w:rsidRDefault="004B3B15" w:rsidP="00F25B67">
      <w:pPr>
        <w:spacing w:after="240"/>
      </w:pPr>
      <w:r w:rsidRPr="004B3B15">
        <w:t xml:space="preserve">Finalmente, cabría añadir que, teniendo en cuenta que lo que se ha hecho es reducir la posibilidad de presentar recursos de amparo atendiendo a la necesidad de reducir la carga </w:t>
      </w:r>
      <w:r w:rsidRPr="004B3B15">
        <w:lastRenderedPageBreak/>
        <w:t>de trabajo de nuestro Tribunal Constitucional, no se han llevado a cabo las suficientes reformas complementarias para evitar la merma en la garantía de los derechos fundamentales puesto que, como veremos en el siguiente apartado, la reforma del incidente de nulidad de actuaciones ha sido insuficiente.</w:t>
      </w:r>
    </w:p>
    <w:p w14:paraId="359615D2" w14:textId="1B5E1BF3" w:rsidR="004B3B15" w:rsidRPr="004B3B15" w:rsidRDefault="004B3B15" w:rsidP="00F25B67">
      <w:pPr>
        <w:spacing w:after="240"/>
      </w:pPr>
      <w:r w:rsidRPr="004B3B15">
        <w:t xml:space="preserve">El texto aprobado por el Pleno Congreso fue remitido al Senado. Hubo algunos Grupos Parlamentarios que se opusieron al Proyecto por distintas razones, como el Grupo Popular y el PNV, los cuales presentaron sendas propuestas de veto. Ambas fueron </w:t>
      </w:r>
      <w:r w:rsidR="007B7556" w:rsidRPr="004B3B15">
        <w:t>rechazadas,</w:t>
      </w:r>
      <w:r w:rsidRPr="004B3B15">
        <w:t xml:space="preserve"> pero considero interesante hacer algunas menciones a la presentada por el Grupo Popular ya que hace mención a algunos puntos relevantes para nuestro trabajo.</w:t>
      </w:r>
    </w:p>
    <w:p w14:paraId="59CFFB85" w14:textId="77777777" w:rsidR="004B3B15" w:rsidRPr="004B3B15" w:rsidRDefault="004B3B15" w:rsidP="00F25B67">
      <w:pPr>
        <w:spacing w:after="240"/>
      </w:pPr>
      <w:r w:rsidRPr="004B3B15">
        <w:t xml:space="preserve">Este grupo apoyaba la idea de una reforma, pues por todos era reconocida la inestable situación del alto Tribunal, sin embargo, deseaban una que equilibrase de mejor manera </w:t>
      </w:r>
      <w:r w:rsidRPr="004B3B15">
        <w:rPr>
          <w:i/>
        </w:rPr>
        <w:t>“el buen funcionamiento del Tribunal (hoy absolutamente colapsado) y el mantenimiento de las garantías constitucionales que sobre los derechos fundamentales tienen que residir en el propio Tribunal Constitucional”.</w:t>
      </w:r>
    </w:p>
    <w:p w14:paraId="1AF0FC2E" w14:textId="2A6693AD" w:rsidR="004B3B15" w:rsidRPr="004B3B15" w:rsidRDefault="004B3B15" w:rsidP="00F25B67">
      <w:pPr>
        <w:spacing w:after="240"/>
      </w:pPr>
      <w:r w:rsidRPr="004B3B15">
        <w:t xml:space="preserve">La justificación de la propuesta de veto radicaba en el hecho de que el proyecto de Ley producía una grave restricción de acceso al recurso de amparo, especialmente en materia de vulneración de derechos fundamentales al permitir el rechazo de una demanda basándose en la “falta de relevancia constitucional”. Hizo </w:t>
      </w:r>
      <w:r w:rsidR="007B7556" w:rsidRPr="004B3B15">
        <w:t>hincapié,</w:t>
      </w:r>
      <w:r w:rsidRPr="004B3B15">
        <w:t xml:space="preserve"> además, en el hecho de que toda posibilidad de restricción del acceso al amparo constitucional conllevaba, indudablemente, una menor garantía constitucional de respeto a los derechos fundamentales y que, por tanto, era necesario tomar una serie de medidas legislativas que permitiesen alcanzar ese equilibrio y evitar la merma de las garantías constitucionales de los </w:t>
      </w:r>
      <w:r w:rsidR="007B7556" w:rsidRPr="004B3B15">
        <w:t>ciudadanos.</w:t>
      </w:r>
      <w:r w:rsidRPr="004B3B15">
        <w:t xml:space="preserve"> Entre las medidas propuestas, destacaban la de la motivación de los recursos rechazados, el desarrollo en el Tribunal Supremo de lo previsto en el artículo 53.2 CE y una mejor regulación del incidente </w:t>
      </w:r>
      <w:r w:rsidR="007B7556" w:rsidRPr="004B3B15">
        <w:t>de nulidad</w:t>
      </w:r>
      <w:r w:rsidRPr="004B3B15">
        <w:t xml:space="preserve"> de actuaciones.</w:t>
      </w:r>
    </w:p>
    <w:p w14:paraId="2A07228A" w14:textId="7B25F330" w:rsidR="004B3B15" w:rsidRPr="004B3B15" w:rsidRDefault="004B3B15" w:rsidP="00F25B67">
      <w:pPr>
        <w:spacing w:after="240"/>
      </w:pPr>
      <w:r w:rsidRPr="004B3B15">
        <w:t xml:space="preserve">Además de estas dos propuestas de veto, el texto del Congreso también </w:t>
      </w:r>
      <w:r w:rsidR="007B7556" w:rsidRPr="004B3B15">
        <w:t>recibió enmiendas</w:t>
      </w:r>
      <w:r w:rsidRPr="004B3B15">
        <w:t xml:space="preserve">. Se volvieron a plantear cuestiones ya discutidas anteriormente por el Congreso como fueron la eliminación de la exigencia al demandante de amparo de justificar la especial trascendencia constitucional y la no necesidad de valorar este requisito para admitir a trámite la demanda. También se volvió a discutir la necesidad de que las partes tengan la potestad de presentar el recurso de súplica y que no sea sólo el </w:t>
      </w:r>
      <w:r w:rsidRPr="004B3B15">
        <w:lastRenderedPageBreak/>
        <w:t>Ministerio Fiscal el que tenga esta facultad. Así mismo se propuso la supresión del conocimiento de los recursos de amparo por parte de las Secciones, alegándose la incompatibilidad de ellos con la justificación de la especial trascendencia constitucional. En relación con esto, se pidió de nuevo la motivación individualizada de las demandas admitidas e inadmitidas para lo que se propuso la utilización de autos y no de providencias. Por último, se solicitó que la subsanación del recurso sólo pudiera realizarse respecto a los requisitos formales y no respecto a los sustantivos y que se modificara el enunciado del artículo 50 para que la dimensión objetiva del recurso no primara frente a la subjetiva y se mantuviesen equilibradas ambas.</w:t>
      </w:r>
    </w:p>
    <w:p w14:paraId="6EC4D9F4" w14:textId="77777777" w:rsidR="004B3B15" w:rsidRPr="004B3B15" w:rsidRDefault="004B3B15" w:rsidP="00F25B67">
      <w:pPr>
        <w:spacing w:after="240"/>
      </w:pPr>
      <w:r w:rsidRPr="004B3B15">
        <w:t xml:space="preserve">Sin embargo, pese a ser las enmiendas muy numerosas, todas ellas fueron rechazadas y la Comisión Constitucional, tras deliberar sobre el Proyecto de Ley Orgánica por la que se modificaba la Ley Orgánica 2/1979, de 3 de octubre, del Tribunal Constitucional, acordó aceptar como dictamen el texto remitido por el Congreso de los Diputados. </w:t>
      </w:r>
    </w:p>
    <w:p w14:paraId="10EA4CF8" w14:textId="3FFB12D5" w:rsidR="004B3B15" w:rsidRPr="004B3B15" w:rsidRDefault="004B3B15" w:rsidP="00F25B67">
      <w:pPr>
        <w:spacing w:after="240"/>
      </w:pPr>
      <w:r w:rsidRPr="004B3B15">
        <w:t xml:space="preserve">En el debate que tuvo lugar en </w:t>
      </w:r>
      <w:r w:rsidR="007B7556" w:rsidRPr="004B3B15">
        <w:t>el Senado</w:t>
      </w:r>
      <w:r w:rsidRPr="004B3B15">
        <w:t xml:space="preserve"> se habló, al igual que sucedió en el Congreso, de la necesidad de acabar con la crisis funcional que estaba sufriendo el Tribunal Constitucional debido a la ingente cantidad de recursos de amparo que venía recibiendo año tras año y que ocupaban todo su tiempo.</w:t>
      </w:r>
    </w:p>
    <w:p w14:paraId="07978C28" w14:textId="77777777" w:rsidR="004B3B15" w:rsidRPr="004B3B15" w:rsidRDefault="004B3B15" w:rsidP="00F25B67">
      <w:pPr>
        <w:spacing w:after="240"/>
      </w:pPr>
      <w:r w:rsidRPr="004B3B15">
        <w:t>El Grupo Parlamentario Popular siguió en desacuerdo con el texto del Proyecto que iba a aprobarse debido a los motivos anteriormente mencionados: desconfianza por la tutela de los derechos fundamentales en la jurisdicción ordinaria, falta de motivación para la inadmisión del recurso de amparo y conocimiento del mismo por parte de las Secciones. En contraposición, el texto del Proyecto recibió el apoyo de otros grupos parlamentarios como el Socialista.</w:t>
      </w:r>
    </w:p>
    <w:p w14:paraId="5BE887A3" w14:textId="77777777" w:rsidR="004B3B15" w:rsidRPr="004B3B15" w:rsidRDefault="004B3B15" w:rsidP="00F25B67">
      <w:pPr>
        <w:spacing w:after="240"/>
      </w:pPr>
      <w:r w:rsidRPr="004B3B15">
        <w:t>El día 9 de mayo de 2007, el Pleno del Senado aprobó el Proyecto de Ley Orgánica sin introducir variaciones en el texto remitido por el Congreso de los Diputados.</w:t>
      </w:r>
    </w:p>
    <w:p w14:paraId="02A85F65" w14:textId="6DCD847D" w:rsidR="004B3B15" w:rsidRPr="004B3B15" w:rsidRDefault="004B3B15" w:rsidP="00F25B67">
      <w:pPr>
        <w:spacing w:after="240"/>
      </w:pPr>
      <w:r w:rsidRPr="004B3B15">
        <w:t xml:space="preserve">Cabe destacar que la reforma tenía una finalidad indiscutible en la que sí que estuvieron de acuerdo todos los Grupos parlamentarios, esa finalidad era la de atajar la situación de colapso del Tribunal </w:t>
      </w:r>
      <w:r w:rsidR="007B7556" w:rsidRPr="004B3B15">
        <w:t>Constitucional provocada</w:t>
      </w:r>
      <w:r w:rsidRPr="004B3B15">
        <w:t xml:space="preserve"> por el exceso de demandas de amparo. En el Proyecto final de la reforma podemos ver que esa finalidad perseguida se sustenta en tres pilares básicos: </w:t>
      </w:r>
    </w:p>
    <w:p w14:paraId="10605DBE" w14:textId="77777777" w:rsidR="004B3B15" w:rsidRPr="004B3B15" w:rsidRDefault="004B3B15" w:rsidP="00F25B67">
      <w:pPr>
        <w:pStyle w:val="Prrafodelista"/>
        <w:numPr>
          <w:ilvl w:val="0"/>
          <w:numId w:val="7"/>
        </w:numPr>
      </w:pPr>
      <w:r w:rsidRPr="004B3B15">
        <w:lastRenderedPageBreak/>
        <w:t>Un nuevo trámite de admisión del recurso de amparo. Sólo se conocerán en el fondo del asunto aquellas demandas de amparo que justifiquen tener una especial trascendencia constitucional</w:t>
      </w:r>
    </w:p>
    <w:p w14:paraId="5BF8F068" w14:textId="77777777" w:rsidR="004B3B15" w:rsidRPr="004B3B15" w:rsidRDefault="004B3B15" w:rsidP="00F25B67">
      <w:pPr>
        <w:pStyle w:val="Prrafodelista"/>
        <w:numPr>
          <w:ilvl w:val="0"/>
          <w:numId w:val="7"/>
        </w:numPr>
      </w:pPr>
      <w:r w:rsidRPr="004B3B15">
        <w:t>Se agiliza la tramitación interna de las demandas mediante el conocimiento de las mismas por parte de las Secciones cuando se trate de la aplicación de doctrina consolidada del propio Tribunal Constitucional.</w:t>
      </w:r>
    </w:p>
    <w:p w14:paraId="782BA0F7" w14:textId="77777777" w:rsidR="004B3B15" w:rsidRPr="004B3B15" w:rsidRDefault="004B3B15" w:rsidP="00F25B67">
      <w:pPr>
        <w:pStyle w:val="Prrafodelista"/>
        <w:numPr>
          <w:ilvl w:val="0"/>
          <w:numId w:val="7"/>
        </w:numPr>
      </w:pPr>
      <w:r w:rsidRPr="004B3B15">
        <w:t>Una nueva regulación del incidente de nulidad de actuaciones con la finalidad de garantizar una tutela judicial efectiva por parte de la jurisdicción ordinaria.</w:t>
      </w:r>
    </w:p>
    <w:p w14:paraId="3CCB261B" w14:textId="77777777" w:rsidR="004B3B15" w:rsidRPr="004B3B15" w:rsidRDefault="004B3B15" w:rsidP="00F25B67">
      <w:pPr>
        <w:pStyle w:val="Prrafodelista"/>
        <w:ind w:left="1065"/>
      </w:pPr>
    </w:p>
    <w:p w14:paraId="5881B5BF" w14:textId="5A6585C7" w:rsidR="004B3B15" w:rsidRPr="004B3B15" w:rsidRDefault="004B3B15" w:rsidP="00F25B67">
      <w:pPr>
        <w:spacing w:after="240"/>
      </w:pPr>
      <w:r w:rsidRPr="004B3B15">
        <w:t xml:space="preserve">Finalmente, la Ley Orgánica 6/2007, de 24 de mayo, fue aprobada, modificándose así la Ley </w:t>
      </w:r>
      <w:r w:rsidR="007B7556" w:rsidRPr="004B3B15">
        <w:t>Orgánica 2</w:t>
      </w:r>
      <w:r w:rsidRPr="004B3B15">
        <w:t>/1979, de 3 de octubre, del Tribunal Constitucional. Analizaremos el contenido de esta Ley en el siguiente epígrafe de nuestro trabajo.</w:t>
      </w:r>
    </w:p>
    <w:p w14:paraId="1B3A3386" w14:textId="3BC3E187" w:rsidR="004B3B15" w:rsidRPr="00F84132" w:rsidRDefault="00756616" w:rsidP="00C72445">
      <w:pPr>
        <w:pStyle w:val="Ttulo3"/>
      </w:pPr>
      <w:bookmarkStart w:id="278" w:name="_Toc530591743"/>
      <w:bookmarkStart w:id="279" w:name="_Toc530596864"/>
      <w:bookmarkStart w:id="280" w:name="_Toc49423628"/>
      <w:bookmarkStart w:id="281" w:name="_Toc49708581"/>
      <w:bookmarkStart w:id="282" w:name="_Toc49790268"/>
      <w:bookmarkStart w:id="283" w:name="_Toc49866507"/>
      <w:bookmarkStart w:id="284" w:name="_Toc50373158"/>
      <w:r w:rsidRPr="00F84132">
        <w:t>Contenido de la Ley Orgánica 6/2007</w:t>
      </w:r>
      <w:bookmarkEnd w:id="278"/>
      <w:bookmarkEnd w:id="279"/>
      <w:bookmarkEnd w:id="280"/>
      <w:bookmarkEnd w:id="281"/>
      <w:bookmarkEnd w:id="282"/>
      <w:bookmarkEnd w:id="283"/>
      <w:bookmarkEnd w:id="284"/>
      <w:r w:rsidR="009353B5" w:rsidRPr="00F84132">
        <w:t xml:space="preserve"> </w:t>
      </w:r>
    </w:p>
    <w:p w14:paraId="22D768A2" w14:textId="756DFA92" w:rsidR="004B3B15" w:rsidRPr="004B3B15" w:rsidRDefault="004B3B15" w:rsidP="004B3B15">
      <w:pPr>
        <w:pStyle w:val="texto"/>
        <w:ind w:firstLine="576"/>
        <w:rPr>
          <w:rFonts w:ascii="Times New Roman" w:hAnsi="Times New Roman"/>
          <w:szCs w:val="24"/>
        </w:rPr>
      </w:pPr>
      <w:r w:rsidRPr="004B3B15">
        <w:rPr>
          <w:rFonts w:ascii="Times New Roman" w:hAnsi="Times New Roman"/>
        </w:rPr>
        <w:t>La gran importancia de la L</w:t>
      </w:r>
      <w:r w:rsidR="00F84132">
        <w:rPr>
          <w:rFonts w:ascii="Times New Roman" w:hAnsi="Times New Roman"/>
        </w:rPr>
        <w:t>O</w:t>
      </w:r>
      <w:r w:rsidRPr="004B3B15">
        <w:rPr>
          <w:rFonts w:ascii="Times New Roman" w:hAnsi="Times New Roman"/>
        </w:rPr>
        <w:t xml:space="preserve"> 6/2007 radica en que </w:t>
      </w:r>
      <w:r w:rsidR="00F84132">
        <w:rPr>
          <w:rFonts w:ascii="Times New Roman" w:hAnsi="Times New Roman"/>
        </w:rPr>
        <w:t>fue</w:t>
      </w:r>
      <w:r w:rsidRPr="004B3B15">
        <w:rPr>
          <w:rFonts w:ascii="Times New Roman" w:hAnsi="Times New Roman"/>
        </w:rPr>
        <w:t xml:space="preserve"> una reforma mucho más ambiciosa</w:t>
      </w:r>
      <w:r w:rsidRPr="004B3B15">
        <w:rPr>
          <w:rStyle w:val="Refdenotaalpie"/>
          <w:rFonts w:ascii="Times New Roman" w:hAnsi="Times New Roman"/>
        </w:rPr>
        <w:footnoteReference w:id="117"/>
      </w:r>
      <w:r w:rsidRPr="004B3B15">
        <w:rPr>
          <w:rFonts w:ascii="Times New Roman" w:hAnsi="Times New Roman"/>
        </w:rPr>
        <w:t xml:space="preserve"> y de mayor calado que las anteriores reformas operadas sobre la LOTC, no sólo desde el punto de vista cuantitativo de las modificaciones incorporadas, sino también desde el punto de vista cualitativo de las innovaciones introducidas</w:t>
      </w:r>
      <w:r w:rsidR="00F84132">
        <w:rPr>
          <w:rStyle w:val="Refdenotaalpie"/>
          <w:rFonts w:ascii="Times New Roman" w:hAnsi="Times New Roman"/>
        </w:rPr>
        <w:footnoteReference w:id="118"/>
      </w:r>
      <w:r w:rsidRPr="004B3B15">
        <w:rPr>
          <w:rFonts w:ascii="Times New Roman" w:hAnsi="Times New Roman"/>
        </w:rPr>
        <w:t xml:space="preserve">. Hasta entonces, </w:t>
      </w:r>
      <w:r w:rsidRPr="004B3B15">
        <w:rPr>
          <w:rFonts w:ascii="Times New Roman" w:hAnsi="Times New Roman"/>
        </w:rPr>
        <w:lastRenderedPageBreak/>
        <w:t xml:space="preserve">las reformas operadas sobre la LOTC sólo se centraron en pequeños aspectos constitucionales, sin </w:t>
      </w:r>
      <w:proofErr w:type="gramStart"/>
      <w:r w:rsidRPr="004B3B15">
        <w:rPr>
          <w:rFonts w:ascii="Times New Roman" w:hAnsi="Times New Roman"/>
        </w:rPr>
        <w:t>embargo</w:t>
      </w:r>
      <w:proofErr w:type="gramEnd"/>
      <w:r w:rsidRPr="004B3B15">
        <w:rPr>
          <w:rFonts w:ascii="Times New Roman" w:hAnsi="Times New Roman"/>
        </w:rPr>
        <w:t xml:space="preserve"> esta Ley </w:t>
      </w:r>
      <w:r w:rsidR="00F84132">
        <w:rPr>
          <w:rFonts w:ascii="Times New Roman" w:hAnsi="Times New Roman"/>
        </w:rPr>
        <w:t>realizó</w:t>
      </w:r>
      <w:r w:rsidRPr="004B3B15">
        <w:rPr>
          <w:rFonts w:ascii="Times New Roman" w:hAnsi="Times New Roman"/>
        </w:rPr>
        <w:t xml:space="preserve"> una reforma de mayor alcance con el objetivo de solventar la “crisis funcional”</w:t>
      </w:r>
      <w:r w:rsidRPr="004B3B15">
        <w:rPr>
          <w:rStyle w:val="Refdenotaalpie"/>
          <w:rFonts w:ascii="Times New Roman" w:hAnsi="Times New Roman"/>
        </w:rPr>
        <w:footnoteReference w:id="119"/>
      </w:r>
      <w:r w:rsidRPr="004B3B15">
        <w:rPr>
          <w:rFonts w:ascii="Times New Roman" w:hAnsi="Times New Roman"/>
        </w:rPr>
        <w:t xml:space="preserve"> que venía sufriendo desde hacía años nuestro TC. Estas innovaciones afecta</w:t>
      </w:r>
      <w:r w:rsidR="00F84132">
        <w:rPr>
          <w:rFonts w:ascii="Times New Roman" w:hAnsi="Times New Roman"/>
        </w:rPr>
        <w:t>ro</w:t>
      </w:r>
      <w:r w:rsidRPr="004B3B15">
        <w:rPr>
          <w:rFonts w:ascii="Times New Roman" w:hAnsi="Times New Roman"/>
        </w:rPr>
        <w:t>n a diversas partes de la LOTC y, en especial, en lo referente a la disciplina del recurso de amparo</w:t>
      </w:r>
      <w:r w:rsidRPr="004B3B15">
        <w:rPr>
          <w:rFonts w:ascii="Times New Roman" w:hAnsi="Times New Roman"/>
          <w:szCs w:val="24"/>
        </w:rPr>
        <w:t xml:space="preserve">. La propia Exposición de Motivos de la Ley menciona que hasta el momento no se había acometido «... </w:t>
      </w:r>
      <w:r w:rsidRPr="004B3B15">
        <w:rPr>
          <w:rFonts w:ascii="Times New Roman" w:hAnsi="Times New Roman"/>
          <w:i/>
          <w:szCs w:val="24"/>
        </w:rPr>
        <w:t>una reforma que afrontase de manera conjunta las dificultades de funcionamiento del Tribunal Constitucional, que es el objetivo de esta Ley Orgánica</w:t>
      </w:r>
      <w:r w:rsidRPr="004B3B15">
        <w:rPr>
          <w:rFonts w:ascii="Times New Roman" w:hAnsi="Times New Roman"/>
          <w:szCs w:val="24"/>
        </w:rPr>
        <w:t>».</w:t>
      </w:r>
    </w:p>
    <w:p w14:paraId="3CD5D73C" w14:textId="7CE274DC" w:rsidR="004B3B15" w:rsidRPr="004B3B15" w:rsidRDefault="004B3B15" w:rsidP="004B3B15">
      <w:pPr>
        <w:pStyle w:val="texto"/>
        <w:ind w:firstLine="0"/>
        <w:rPr>
          <w:rFonts w:ascii="Times New Roman" w:hAnsi="Times New Roman"/>
        </w:rPr>
      </w:pPr>
      <w:r w:rsidRPr="004B3B15">
        <w:rPr>
          <w:rFonts w:ascii="Times New Roman" w:hAnsi="Times New Roman"/>
        </w:rPr>
        <w:t xml:space="preserve">Se reformaron treinta y cinco artículos, </w:t>
      </w:r>
      <w:r w:rsidR="007B7556" w:rsidRPr="004B3B15">
        <w:rPr>
          <w:rFonts w:ascii="Times New Roman" w:hAnsi="Times New Roman"/>
        </w:rPr>
        <w:t>del ciento</w:t>
      </w:r>
      <w:r w:rsidRPr="004B3B15">
        <w:rPr>
          <w:rFonts w:ascii="Times New Roman" w:hAnsi="Times New Roman"/>
        </w:rPr>
        <w:t xml:space="preserve"> dos que componen la Ley y la Disposición Adicional Primera. Afectó a todos los Títulos insertos en la Ley Orgánica del Tribunal, con la salvedad del Título V (De la impugnación de disposiciones sin fuerza de ley y resoluciones de las Comunidades autónomas prevista en el artículo 161. 2, de la Constitución) y del Título VI (De la declaración sobre la constitucionalidad de los Tratados Internacionales). </w:t>
      </w:r>
    </w:p>
    <w:p w14:paraId="72AEDE1A" w14:textId="77777777" w:rsidR="004B3B15" w:rsidRPr="004B3B15" w:rsidRDefault="004B3B15" w:rsidP="004B3B15">
      <w:pPr>
        <w:pStyle w:val="texto"/>
        <w:ind w:firstLine="0"/>
        <w:rPr>
          <w:rFonts w:ascii="Times New Roman" w:hAnsi="Times New Roman"/>
        </w:rPr>
      </w:pPr>
      <w:r w:rsidRPr="004B3B15">
        <w:rPr>
          <w:rFonts w:ascii="Times New Roman" w:hAnsi="Times New Roman"/>
        </w:rPr>
        <w:t xml:space="preserve">Se modificaron once de los dieciocho artículos que componen el Título III, </w:t>
      </w:r>
      <w:r w:rsidRPr="004B3B15">
        <w:rPr>
          <w:rFonts w:ascii="Times New Roman" w:hAnsi="Times New Roman"/>
          <w:i/>
        </w:rPr>
        <w:t>“Del recurso de amparo constitucional”,</w:t>
      </w:r>
      <w:r w:rsidRPr="004B3B15">
        <w:rPr>
          <w:rFonts w:ascii="Times New Roman" w:hAnsi="Times New Roman"/>
        </w:rPr>
        <w:t xml:space="preserve"> de la Ley Orgánica del Tribunal Constitucional. Además, se dio un nuevo contenido al incidente de nulidad de actuaciones, recogido en el Art. 241 de la Ley Orgánica del Poder Judicial, reformado mediante la Disposición Final 1ª de la nueva Ley. Se modificó también el artículo 85, relativo al plazo hábil para la interposición de los recursos de amparo.</w:t>
      </w:r>
    </w:p>
    <w:p w14:paraId="39930FD0" w14:textId="77777777" w:rsidR="004B3B15" w:rsidRPr="004B3B15" w:rsidRDefault="004B3B15" w:rsidP="004B3B15">
      <w:pPr>
        <w:pStyle w:val="texto"/>
        <w:ind w:firstLine="0"/>
        <w:rPr>
          <w:rFonts w:ascii="Times New Roman" w:hAnsi="Times New Roman"/>
        </w:rPr>
      </w:pPr>
      <w:r w:rsidRPr="004B3B15">
        <w:rPr>
          <w:rFonts w:ascii="Times New Roman" w:hAnsi="Times New Roman"/>
        </w:rPr>
        <w:t xml:space="preserve">La intención del legislador resultó evidente. Como ya se declara desde la Exposición de Motivos de la propia Ley, se pretende una reordenación del sistema de justicia constitucional, buscando un reequilibrio entre las diversas atribuciones del TC. </w:t>
      </w:r>
      <w:r w:rsidRPr="004B3B15">
        <w:rPr>
          <w:rFonts w:ascii="Times New Roman" w:hAnsi="Times New Roman"/>
        </w:rPr>
        <w:lastRenderedPageBreak/>
        <w:t>Precisamente el acceso individual directo, el amparo en defensa de los derechos constitucionales, es identificado como el principal causante de la problemática situación en la que se ha visto sumergido el Tribunal en los últimos años. Es por ello que la reforma va orientada, principalmente, a una reconfiguración del mismo</w:t>
      </w:r>
      <w:r w:rsidRPr="004B3B15">
        <w:rPr>
          <w:rStyle w:val="Refdenotaalpie"/>
          <w:rFonts w:ascii="Times New Roman" w:hAnsi="Times New Roman"/>
        </w:rPr>
        <w:footnoteReference w:id="120"/>
      </w:r>
      <w:r w:rsidRPr="004B3B15">
        <w:rPr>
          <w:rFonts w:ascii="Times New Roman" w:hAnsi="Times New Roman"/>
        </w:rPr>
        <w:t xml:space="preserve">. </w:t>
      </w:r>
    </w:p>
    <w:p w14:paraId="59D27939" w14:textId="77777777" w:rsidR="004B3B15" w:rsidRPr="004B3B15" w:rsidRDefault="004B3B15" w:rsidP="004B3B15">
      <w:pPr>
        <w:pStyle w:val="texto"/>
        <w:ind w:firstLine="0"/>
        <w:rPr>
          <w:rFonts w:ascii="Times New Roman" w:hAnsi="Times New Roman"/>
        </w:rPr>
      </w:pPr>
      <w:r w:rsidRPr="004B3B15">
        <w:rPr>
          <w:rFonts w:ascii="Times New Roman" w:hAnsi="Times New Roman"/>
        </w:rPr>
        <w:t xml:space="preserve">La idea de fondo de la reforma parece ser la de recuperar el papel del TC en los procesos de inconstitucionalidad de las normas, a cuyo fin se debe incidir en el recurso de amparo que es señalado como el verdadero factor de desequilibrio del sistema. </w:t>
      </w:r>
    </w:p>
    <w:p w14:paraId="7A8177AA" w14:textId="616F01BF" w:rsidR="004B3B15" w:rsidRPr="004B3B15" w:rsidRDefault="004B3B15" w:rsidP="004B3B15">
      <w:pPr>
        <w:pStyle w:val="texto"/>
        <w:ind w:firstLine="0"/>
        <w:rPr>
          <w:rFonts w:ascii="Times New Roman" w:hAnsi="Times New Roman"/>
        </w:rPr>
      </w:pPr>
      <w:r w:rsidRPr="004B3B15">
        <w:rPr>
          <w:rFonts w:ascii="Times New Roman" w:hAnsi="Times New Roman"/>
        </w:rPr>
        <w:t xml:space="preserve">Esta Ley intentó dar solución a los diversos problemas existentes adecuando la normativa para dar respuesta a las exigencias derivadas de la realidad práctica del Tribunal. Para ello pretende realizar un mayor desarrollo de la función de garantía de los derechos fundamentales en relación con las demás funciones, estableciendo una nueva regulación de la admisión del recurso de amparo. Además, otorga a los tribunales ordinarios más posibilidades de protección de los derechos fundamentales a través de una nueva regulación de la nulidad de los actos procesales. Su principal pretensión es </w:t>
      </w:r>
      <w:r w:rsidR="007B7556" w:rsidRPr="004B3B15">
        <w:rPr>
          <w:rFonts w:ascii="Times New Roman" w:hAnsi="Times New Roman"/>
        </w:rPr>
        <w:t>que la</w:t>
      </w:r>
      <w:r w:rsidRPr="004B3B15">
        <w:rPr>
          <w:rFonts w:ascii="Times New Roman" w:hAnsi="Times New Roman"/>
        </w:rPr>
        <w:t xml:space="preserve"> tutela y defensa de los derechos fundamentales llevada a cabo por el Tribunal Constitucional sea subsidiaria a la realizada por los órganos de la jurisdicción ordinaria. </w:t>
      </w:r>
    </w:p>
    <w:p w14:paraId="53D8AD8B" w14:textId="5BC239F3" w:rsidR="004B3B15" w:rsidRPr="004B3B15" w:rsidRDefault="004B3B15" w:rsidP="004B3B15">
      <w:pPr>
        <w:pStyle w:val="texto"/>
        <w:ind w:firstLine="0"/>
        <w:rPr>
          <w:rFonts w:ascii="Times New Roman" w:hAnsi="Times New Roman"/>
        </w:rPr>
      </w:pPr>
      <w:r w:rsidRPr="004B3B15">
        <w:rPr>
          <w:rFonts w:ascii="Times New Roman" w:hAnsi="Times New Roman"/>
        </w:rPr>
        <w:t xml:space="preserve">Esta pretensión, como ya </w:t>
      </w:r>
      <w:r w:rsidR="007B7556" w:rsidRPr="004B3B15">
        <w:rPr>
          <w:rFonts w:ascii="Times New Roman" w:hAnsi="Times New Roman"/>
        </w:rPr>
        <w:t>dijimos, tiene</w:t>
      </w:r>
      <w:r w:rsidRPr="004B3B15">
        <w:rPr>
          <w:rFonts w:ascii="Times New Roman" w:hAnsi="Times New Roman"/>
        </w:rPr>
        <w:t xml:space="preserve"> su causa en el hecho de que en los últimos años el elevado número de demandas de amparo recibidas ha provocado que el Tribunal </w:t>
      </w:r>
      <w:r w:rsidRPr="004B3B15">
        <w:rPr>
          <w:rFonts w:ascii="Times New Roman" w:hAnsi="Times New Roman"/>
        </w:rPr>
        <w:lastRenderedPageBreak/>
        <w:t xml:space="preserve">Constitucional desarrolle la función de garantía de los derechos fundamentales en detrimento de otras competencias que le son propias. Por ello, las principales modificaciones se dirigen a rediseñar el recurso de amparo, constituyendo dicha tarea la espina dorsal de esta reforma y el núcleo de nuestro trabajo. </w:t>
      </w:r>
    </w:p>
    <w:p w14:paraId="3A867FD8" w14:textId="77777777" w:rsidR="004B3B15" w:rsidRPr="004B3B15" w:rsidRDefault="004B3B15" w:rsidP="004B3B15">
      <w:pPr>
        <w:pStyle w:val="texto"/>
        <w:ind w:firstLine="0"/>
        <w:rPr>
          <w:rFonts w:ascii="Times New Roman" w:hAnsi="Times New Roman"/>
        </w:rPr>
      </w:pPr>
      <w:r w:rsidRPr="004B3B15">
        <w:rPr>
          <w:rFonts w:ascii="Times New Roman" w:hAnsi="Times New Roman"/>
        </w:rPr>
        <w:t>La reforma puso su foco de atención en el trámite de admisión del recurso de amparo.  Hasta 2007, las demandas de amparo eran admitidas a trámite siempre y cuando no incumpliesen ninguno de los recursitos señalados en el antiguo art. 50.1 LOTC. Sin embargo, tras la citada reforma se optó por facilitar la inadmisión con el fin de limitar la entrada de recursos de amparo y reequilibrar el sistema de acceso.</w:t>
      </w:r>
      <w:r w:rsidRPr="004B3B15">
        <w:rPr>
          <w:rStyle w:val="Refdenotaalpie"/>
          <w:rFonts w:ascii="Times New Roman" w:hAnsi="Times New Roman"/>
        </w:rPr>
        <w:footnoteReference w:id="121"/>
      </w:r>
    </w:p>
    <w:p w14:paraId="54E34CD8" w14:textId="77777777" w:rsidR="004B3B15" w:rsidRPr="004B3B15" w:rsidRDefault="004B3B15" w:rsidP="004B3B15">
      <w:pPr>
        <w:pStyle w:val="texto"/>
        <w:ind w:firstLine="0"/>
        <w:rPr>
          <w:rFonts w:ascii="Times New Roman" w:hAnsi="Times New Roman"/>
        </w:rPr>
      </w:pPr>
      <w:r w:rsidRPr="004B3B15">
        <w:rPr>
          <w:rFonts w:ascii="Times New Roman" w:hAnsi="Times New Roman"/>
        </w:rPr>
        <w:t>Entre las principales novedades relativas al recurso de amparo introducidas por esta Ley cabe destacar una nueva regulación de los aspectos procesales y sustantivos del amparo, una inversión en la admisión a trámite del recurso, la habilitación de las Secciones para su resolución y una nueva regulación de la cuestión interna de inconstitucionalidad.</w:t>
      </w:r>
    </w:p>
    <w:p w14:paraId="2F07F055" w14:textId="77777777" w:rsidR="004B3B15" w:rsidRPr="004B3B15" w:rsidRDefault="004B3B15" w:rsidP="004B3B15">
      <w:pPr>
        <w:pStyle w:val="texto"/>
        <w:ind w:firstLine="0"/>
        <w:rPr>
          <w:rFonts w:ascii="Times New Roman" w:hAnsi="Times New Roman"/>
        </w:rPr>
      </w:pPr>
      <w:r w:rsidRPr="004B3B15">
        <w:rPr>
          <w:rFonts w:ascii="Times New Roman" w:hAnsi="Times New Roman"/>
        </w:rPr>
        <w:t>Destacar que, tras la reforma, son los Secretarios Judiciales del TC los que reciben la competencia para examinar si el recurso cumple los requisitos formales. Conceden un plazo de 10 días para las subsanaciones y, en caso de que éstas no se produjesen, se acuerda la inadmisión de la demanda.</w:t>
      </w:r>
    </w:p>
    <w:p w14:paraId="5E9BBC00" w14:textId="77777777" w:rsidR="004B3B15" w:rsidRPr="004B3B15" w:rsidRDefault="004B3B15" w:rsidP="004B3B15">
      <w:pPr>
        <w:pStyle w:val="texto"/>
        <w:ind w:firstLine="0"/>
        <w:rPr>
          <w:rFonts w:ascii="Times New Roman" w:hAnsi="Times New Roman"/>
        </w:rPr>
      </w:pPr>
      <w:r w:rsidRPr="004B3B15">
        <w:rPr>
          <w:rFonts w:ascii="Times New Roman" w:hAnsi="Times New Roman"/>
        </w:rPr>
        <w:t>La Sección, por su parte, inspecciona también la demanda. En caso de advertir faltas formales, requerirá la rectificación de las mismas en dicho plazo de 10 días. De no producirse ésta, se acuerda la inadmisión mediante providencia.</w:t>
      </w:r>
    </w:p>
    <w:p w14:paraId="17884503" w14:textId="7043B477" w:rsidR="004B3B15" w:rsidRPr="004B3B15" w:rsidRDefault="004B3B15" w:rsidP="004B3B15">
      <w:pPr>
        <w:pStyle w:val="texto"/>
        <w:ind w:firstLine="0"/>
        <w:rPr>
          <w:rFonts w:ascii="Times New Roman" w:hAnsi="Times New Roman"/>
        </w:rPr>
      </w:pPr>
      <w:r w:rsidRPr="004B3B15">
        <w:rPr>
          <w:rFonts w:ascii="Times New Roman" w:hAnsi="Times New Roman"/>
        </w:rPr>
        <w:t xml:space="preserve">Debemos recordar que, en un primer momento, el legislador optó por incluir el recurso de amparo entre las competencias del Tribunal </w:t>
      </w:r>
      <w:r w:rsidR="007B7556" w:rsidRPr="004B3B15">
        <w:rPr>
          <w:rFonts w:ascii="Times New Roman" w:hAnsi="Times New Roman"/>
        </w:rPr>
        <w:t>Constitucional atribuyéndole</w:t>
      </w:r>
      <w:r w:rsidRPr="004B3B15">
        <w:rPr>
          <w:rFonts w:ascii="Times New Roman" w:hAnsi="Times New Roman"/>
        </w:rPr>
        <w:t xml:space="preserve"> la función de garantía de los derechos fundamentales en un momento histórico en el que se temía que el Poder Judicial no realizara correctamente su labor de protección de unos derechos fundamentales que acababan de ser reconocidos y que no gozaban de tradición jurídica en España.</w:t>
      </w:r>
    </w:p>
    <w:p w14:paraId="61CC44FA" w14:textId="77777777" w:rsidR="004B3B15" w:rsidRPr="004B3B15" w:rsidRDefault="004B3B15" w:rsidP="004B3B15">
      <w:pPr>
        <w:pStyle w:val="texto"/>
        <w:ind w:firstLine="0"/>
        <w:rPr>
          <w:rFonts w:ascii="Times New Roman" w:hAnsi="Times New Roman"/>
        </w:rPr>
      </w:pPr>
      <w:r w:rsidRPr="004B3B15">
        <w:rPr>
          <w:rFonts w:ascii="Times New Roman" w:hAnsi="Times New Roman"/>
        </w:rPr>
        <w:lastRenderedPageBreak/>
        <w:t>En la actualidad, casi cuatro décadas después, el Poder Judicial se configura con la reforma como el principal guardián de los derechos fundamentales, apoyando su labor en la interpretación realizada de éstos por el Tribunal Constitucional. No debemos olvidar que la garantía de los derechos fundamentales es una labor encomendada al Poder Judicial (117.4 CE), siendo el Tribunal Constitucional un órgano de tutela de carácter excepcional.</w:t>
      </w:r>
    </w:p>
    <w:p w14:paraId="747F1032" w14:textId="77777777" w:rsidR="004B3B15" w:rsidRPr="004B3B15" w:rsidRDefault="004B3B15" w:rsidP="004B3B15">
      <w:pPr>
        <w:pStyle w:val="texto"/>
        <w:ind w:firstLine="0"/>
        <w:rPr>
          <w:rFonts w:ascii="Times New Roman" w:hAnsi="Times New Roman"/>
        </w:rPr>
      </w:pPr>
      <w:r w:rsidRPr="004B3B15">
        <w:rPr>
          <w:rFonts w:ascii="Times New Roman" w:hAnsi="Times New Roman"/>
        </w:rPr>
        <w:t>Con la reforma se reforzó la naturaleza objetiva del recurso de amparo al exigir para su admisión a trámite, además de la vulneración de un derecho fundamental, la justificación de su especial trascendencia constitucional (requisito objetivo), no bastando, por tanto, para su admisión la mera lesión del derecho fundamental.</w:t>
      </w:r>
    </w:p>
    <w:p w14:paraId="499D4526" w14:textId="77777777" w:rsidR="004B3B15" w:rsidRPr="004B3B15" w:rsidRDefault="004B3B15" w:rsidP="004B3B15">
      <w:pPr>
        <w:pStyle w:val="texto"/>
        <w:ind w:firstLine="0"/>
        <w:rPr>
          <w:rFonts w:ascii="Times New Roman" w:hAnsi="Times New Roman"/>
        </w:rPr>
      </w:pPr>
      <w:r w:rsidRPr="004B3B15">
        <w:rPr>
          <w:rFonts w:ascii="Times New Roman" w:hAnsi="Times New Roman"/>
        </w:rPr>
        <w:t>Se produjo un cambio en la configuración del recurso, antes orientado principalmente a reparar las lesiones causadas a los derechos fundamentales y libertades públicas del demandante y ahora reservado para los casos en que éste presente una especial trascendencia constitucional.</w:t>
      </w:r>
    </w:p>
    <w:p w14:paraId="3172ADBB" w14:textId="77777777" w:rsidR="004B3B15" w:rsidRPr="004B3B15" w:rsidRDefault="004B3B15" w:rsidP="004B3B15">
      <w:pPr>
        <w:pStyle w:val="texto"/>
        <w:ind w:firstLine="0"/>
        <w:rPr>
          <w:rFonts w:ascii="Times New Roman" w:hAnsi="Times New Roman"/>
        </w:rPr>
      </w:pPr>
      <w:r w:rsidRPr="004B3B15">
        <w:rPr>
          <w:rFonts w:ascii="Times New Roman" w:hAnsi="Times New Roman"/>
        </w:rPr>
        <w:t xml:space="preserve">El recurso de amparo se configuró desde sus inicios como un recurso subsidiario, pues sólo podría interponerse agotadas las vías judiciales precedentes. Su deber era el de proteger los derechos fundamentales cuando las vías ordinarias habían resultado insatisfactorias. Sin embargo, como hemos visto, esto no se cumplió adecuadamente. Por ello, con esta reforma se pretendió, y así lo dispone su Exposición de Motivos, un reforzamiento de este carácter subsidiario de la jurisdicción constitucional en la defensa de los derechos fundamentales. Con ello, además de “descargar” de trabajo a nuestro TC, se remarca el carácter primario de la jurisdicción ordinaria como garante principal de la protección de estos derechos. </w:t>
      </w:r>
    </w:p>
    <w:p w14:paraId="177F9A21" w14:textId="77777777" w:rsidR="004B3B15" w:rsidRPr="004B3B15" w:rsidRDefault="004B3B15" w:rsidP="004B3B15">
      <w:pPr>
        <w:pStyle w:val="texto"/>
        <w:ind w:firstLine="0"/>
        <w:rPr>
          <w:rFonts w:ascii="Times New Roman" w:hAnsi="Times New Roman"/>
        </w:rPr>
      </w:pPr>
      <w:r w:rsidRPr="004B3B15">
        <w:rPr>
          <w:rFonts w:ascii="Times New Roman" w:hAnsi="Times New Roman"/>
        </w:rPr>
        <w:t>En palabras de PATRONI GRIFFI</w:t>
      </w:r>
      <w:r w:rsidRPr="004B3B15">
        <w:rPr>
          <w:rStyle w:val="Refdenotaalpie"/>
          <w:rFonts w:ascii="Times New Roman" w:hAnsi="Times New Roman"/>
        </w:rPr>
        <w:footnoteReference w:id="122"/>
      </w:r>
      <w:r w:rsidRPr="004B3B15">
        <w:rPr>
          <w:rFonts w:ascii="Times New Roman" w:hAnsi="Times New Roman"/>
        </w:rPr>
        <w:t xml:space="preserve">, </w:t>
      </w:r>
      <w:r w:rsidRPr="004B3B15">
        <w:rPr>
          <w:rFonts w:ascii="Times New Roman" w:hAnsi="Times New Roman"/>
          <w:i/>
        </w:rPr>
        <w:t>«el sentido de la reforma está orientado al reforzamiento del carácter subsidiario del recurso de amparo y en el papel de los Jueces ordinarios en la tutela de los derechos fundamentales, a los que se les dará un mayor protagonismo a partir de ahora»</w:t>
      </w:r>
      <w:r w:rsidRPr="004B3B15">
        <w:rPr>
          <w:rFonts w:ascii="Times New Roman" w:hAnsi="Times New Roman"/>
        </w:rPr>
        <w:t xml:space="preserve">. Esto se manifiesta en la misma modificación del art. 241.1 de la Ley Orgánica del Poder Judicial (LOPJ). La nueva disciplina del incidente de nulidad resulta funcional, como declara la Exposición de Motivos de la Ley, en relación con la efectiva reconstrucción del recurso de amparo como instrumento realmente </w:t>
      </w:r>
      <w:r w:rsidRPr="004B3B15">
        <w:rPr>
          <w:rFonts w:ascii="Times New Roman" w:hAnsi="Times New Roman"/>
        </w:rPr>
        <w:lastRenderedPageBreak/>
        <w:t xml:space="preserve">subsidiario con respecto al reconocimiento de los Tribunales ordinarios como los primeros garantes de los derechos fundamentales en el ordenamiento español. Con esto se persigue que el refuerzo de la dimensión objetiva del recurso de amparo quede compensado por un nuevo mecanismo de tutela que ha de ejercitarse ante la jurisdicción ordinaria. El reformulado art. 241.1 LOPJ permite a los Tribunales ordinarios un ámbito de intervención más amplio para la tutela de los derechos fundamentales, precisamente con el fin de garantizar que la tutela ante el TC sea realmente subsidiaria, reforzando la posición de la jurisdicción ordinaria como garante habitual de los derechos fundamentales. </w:t>
      </w:r>
    </w:p>
    <w:p w14:paraId="1548AA80" w14:textId="77777777" w:rsidR="004B3B15" w:rsidRPr="004B3B15" w:rsidRDefault="004B3B15" w:rsidP="004B3B15">
      <w:pPr>
        <w:pStyle w:val="texto"/>
        <w:ind w:firstLine="0"/>
        <w:rPr>
          <w:rFonts w:ascii="Times New Roman" w:hAnsi="Times New Roman"/>
        </w:rPr>
      </w:pPr>
      <w:r w:rsidRPr="004B3B15">
        <w:rPr>
          <w:rFonts w:ascii="Times New Roman" w:hAnsi="Times New Roman"/>
        </w:rPr>
        <w:t xml:space="preserve">Es también un punto decisivo para el éxito de la reforma el restablecimiento de las relaciones entre el TC y el Poder Judicial en materia de amparo. Hasta ahora, se venían produciendo diversos enfrentamientos entre ambas jurisdicciones, especialmente entre el TC y el TS, debido sobre todo a conflictos en defensa de sus respectivas competencias. Se pretende, por tanto, una colaboración efectiva entre Juez ordinario y Juez constitucional, necesaria para una efectiva garantía de los derechos fundamentales. </w:t>
      </w:r>
    </w:p>
    <w:p w14:paraId="1FC1A10E" w14:textId="04D9247E" w:rsidR="004B3B15" w:rsidRPr="004B3B15" w:rsidRDefault="004B3B15" w:rsidP="004B3B15">
      <w:pPr>
        <w:pStyle w:val="texto"/>
        <w:ind w:firstLine="0"/>
        <w:rPr>
          <w:rFonts w:ascii="Times New Roman" w:hAnsi="Times New Roman"/>
        </w:rPr>
      </w:pPr>
      <w:r w:rsidRPr="004B3B15">
        <w:rPr>
          <w:rFonts w:ascii="Times New Roman" w:hAnsi="Times New Roman"/>
        </w:rPr>
        <w:t xml:space="preserve">El recurso de amparo se configuró asimismo como un recurso excepcional, siendo ésta la característica más perceptible desde la reforma operada por la LO 6/2007. El Tribunal </w:t>
      </w:r>
      <w:r w:rsidR="007B7556" w:rsidRPr="004B3B15">
        <w:rPr>
          <w:rFonts w:ascii="Times New Roman" w:hAnsi="Times New Roman"/>
        </w:rPr>
        <w:t>Constitucional no</w:t>
      </w:r>
      <w:r w:rsidRPr="004B3B15">
        <w:rPr>
          <w:rFonts w:ascii="Times New Roman" w:hAnsi="Times New Roman"/>
        </w:rPr>
        <w:t xml:space="preserve"> es una última instancia, rasgo que se quiso remarcar especialmente. Su único cometido es el de analizar si ha existido una violación de los derechos fundamentales susceptibles de amparo y, en su caso, reparar tal vulneración.</w:t>
      </w:r>
    </w:p>
    <w:p w14:paraId="624C6489" w14:textId="77777777" w:rsidR="004B3B15" w:rsidRPr="004B3B15" w:rsidRDefault="004B3B15" w:rsidP="004B3B15">
      <w:pPr>
        <w:pStyle w:val="texto"/>
        <w:ind w:firstLine="0"/>
        <w:rPr>
          <w:rFonts w:ascii="Times New Roman" w:hAnsi="Times New Roman"/>
        </w:rPr>
      </w:pPr>
      <w:r w:rsidRPr="004B3B15">
        <w:rPr>
          <w:rFonts w:ascii="Times New Roman" w:hAnsi="Times New Roman"/>
        </w:rPr>
        <w:t>Por otra parte, respecto a las Secciones, se las habilitó para la resolución de recursos de amparo en los casos en los que se aplique una doctrina asentada por el propio Tribunal Constitucional. En caso contrario, la resolución debía remitirse a la Sala.</w:t>
      </w:r>
    </w:p>
    <w:p w14:paraId="27B9BC6E" w14:textId="77777777" w:rsidR="004B3B15" w:rsidRPr="004B3B15" w:rsidRDefault="004B3B15" w:rsidP="004B3B15">
      <w:pPr>
        <w:pStyle w:val="texto"/>
        <w:ind w:firstLine="0"/>
        <w:rPr>
          <w:rFonts w:ascii="Times New Roman" w:hAnsi="Times New Roman"/>
        </w:rPr>
      </w:pPr>
      <w:r w:rsidRPr="004B3B15">
        <w:rPr>
          <w:rFonts w:ascii="Times New Roman" w:hAnsi="Times New Roman"/>
        </w:rPr>
        <w:t xml:space="preserve">Destaca además en la presente reforma la introducción de una nueva regulación de la cuestión interna de constitucionalidad o auto cuestión de inconstitucionalidad para los casos en los que la estimación del amparo provenga de la aplicación de una Ley lesiva de derechos o libertades públicas.  </w:t>
      </w:r>
    </w:p>
    <w:p w14:paraId="48094972" w14:textId="7338D9FA" w:rsidR="008F758A" w:rsidRDefault="004B3B15" w:rsidP="00B83779">
      <w:pPr>
        <w:pStyle w:val="texto"/>
        <w:ind w:firstLine="0"/>
        <w:rPr>
          <w:rFonts w:ascii="Times New Roman" w:hAnsi="Times New Roman"/>
        </w:rPr>
      </w:pPr>
      <w:r w:rsidRPr="004B3B15">
        <w:rPr>
          <w:rFonts w:ascii="Times New Roman" w:hAnsi="Times New Roman"/>
        </w:rPr>
        <w:t xml:space="preserve">Por tanto, en mi opinión, la reforma era necesaria debido a diversos factores y no solo a la sobrecarga del TC con motivo del número de recursos de amparo que se admitían y del retraso en su resolución. Creemos que el Tribunal ya había cumplido su misión: </w:t>
      </w:r>
      <w:r w:rsidRPr="004B3B15">
        <w:rPr>
          <w:rFonts w:ascii="Times New Roman" w:hAnsi="Times New Roman"/>
        </w:rPr>
        <w:lastRenderedPageBreak/>
        <w:t xml:space="preserve">interpretar la Constitución </w:t>
      </w:r>
      <w:r w:rsidR="007B7556" w:rsidRPr="004B3B15">
        <w:rPr>
          <w:rFonts w:ascii="Times New Roman" w:hAnsi="Times New Roman"/>
        </w:rPr>
        <w:t>en materia</w:t>
      </w:r>
      <w:r w:rsidRPr="004B3B15">
        <w:rPr>
          <w:rFonts w:ascii="Times New Roman" w:hAnsi="Times New Roman"/>
        </w:rPr>
        <w:t xml:space="preserve"> de derechos fundamentales, y que ahora corresponde a la jurisdicción ordinaria la tutela de los mismos. Únicamente cuando el sistema falle (por la trascendencia constitucional) quedaría habilitado el TC para pronunciarse, siempre en defensa de la efectiva protección de los derechos a los particulares.</w:t>
      </w:r>
    </w:p>
    <w:p w14:paraId="28E6C190" w14:textId="77777777" w:rsidR="006F44C0" w:rsidRPr="00E858C1" w:rsidRDefault="006F44C0" w:rsidP="00C72445">
      <w:pPr>
        <w:pStyle w:val="Ttulo2"/>
      </w:pPr>
      <w:bookmarkStart w:id="285" w:name="_Toc531862034"/>
      <w:bookmarkStart w:id="286" w:name="_Toc533020346"/>
      <w:bookmarkStart w:id="287" w:name="_Toc49423630"/>
      <w:bookmarkStart w:id="288" w:name="_Toc49708582"/>
      <w:bookmarkStart w:id="289" w:name="_Toc49790269"/>
      <w:bookmarkStart w:id="290" w:name="_Toc49866508"/>
      <w:bookmarkStart w:id="291" w:name="_Toc50373159"/>
      <w:r w:rsidRPr="00E858C1">
        <w:t>LA NUEVA REGULACIÓN DEL RECURSO DE AMPARO</w:t>
      </w:r>
      <w:bookmarkEnd w:id="285"/>
      <w:bookmarkEnd w:id="286"/>
      <w:bookmarkEnd w:id="287"/>
      <w:bookmarkEnd w:id="288"/>
      <w:bookmarkEnd w:id="289"/>
      <w:bookmarkEnd w:id="290"/>
      <w:bookmarkEnd w:id="291"/>
    </w:p>
    <w:p w14:paraId="07C7948E" w14:textId="7380B91B" w:rsidR="006F44C0" w:rsidRDefault="007A6B28" w:rsidP="00F25B67">
      <w:pPr>
        <w:spacing w:after="240"/>
      </w:pPr>
      <w:r>
        <w:t>L</w:t>
      </w:r>
      <w:r w:rsidR="006F44C0">
        <w:t xml:space="preserve">a problemática </w:t>
      </w:r>
      <w:r>
        <w:t>que plantea la regulación dada al recurso de amparo</w:t>
      </w:r>
      <w:r w:rsidR="00093B4B">
        <w:rPr>
          <w:rStyle w:val="Refdenotaalpie"/>
        </w:rPr>
        <w:footnoteReference w:id="123"/>
      </w:r>
      <w:r>
        <w:t xml:space="preserve"> por la LO 6/2007 </w:t>
      </w:r>
      <w:r w:rsidR="006F44C0">
        <w:t>se centra en dos pilares fundamentales</w:t>
      </w:r>
      <w:r>
        <w:t xml:space="preserve">: el nuevo trámite de admisión del recurso  -junto a la problemática de la especial trascendencia constitucional- </w:t>
      </w:r>
      <w:r w:rsidR="006F44C0">
        <w:t xml:space="preserve"> y </w:t>
      </w:r>
      <w:r>
        <w:t>la introducción d</w:t>
      </w:r>
      <w:r w:rsidR="006F44C0">
        <w:t>el incidente de nulidad de actuaciones</w:t>
      </w:r>
      <w:r>
        <w:t xml:space="preserve"> como medio obligatorio para el agotamiento de la vía judicial previa</w:t>
      </w:r>
      <w:r w:rsidR="006F44C0">
        <w:rPr>
          <w:rStyle w:val="Refdenotaalpie"/>
        </w:rPr>
        <w:footnoteReference w:id="124"/>
      </w:r>
      <w:r w:rsidR="006F44C0">
        <w:t xml:space="preserve">. </w:t>
      </w:r>
    </w:p>
    <w:p w14:paraId="0E9ACA74" w14:textId="4BE6E234" w:rsidR="006F44C0" w:rsidRDefault="006F44C0" w:rsidP="00F25B67">
      <w:pPr>
        <w:spacing w:after="240"/>
      </w:pPr>
      <w:r>
        <w:t xml:space="preserve">En lo que respecta al amparo, </w:t>
      </w:r>
      <w:r w:rsidR="007A6B28">
        <w:t xml:space="preserve">es necesario centrarse en tres </w:t>
      </w:r>
      <w:r>
        <w:t>puntos</w:t>
      </w:r>
      <w:r w:rsidR="007A6B28">
        <w:t xml:space="preserve"> principales, claves en su configuración</w:t>
      </w:r>
      <w:r>
        <w:t xml:space="preserve">. Por una parte, </w:t>
      </w:r>
      <w:r w:rsidR="007A6B28">
        <w:t xml:space="preserve">en su nuevo trámite de admisión; por otra parte, </w:t>
      </w:r>
      <w:r>
        <w:t>en la objetivación de este recurso tras la reforma de su trámite de admisión</w:t>
      </w:r>
      <w:r w:rsidR="00093B4B">
        <w:t xml:space="preserve"> y, por último, </w:t>
      </w:r>
      <w:r>
        <w:t>en el concepto de “especial trascendencia constitucional”</w:t>
      </w:r>
      <w:r w:rsidR="00093B4B">
        <w:t>, clave como requisito exigido en su trámite de admisión.</w:t>
      </w:r>
    </w:p>
    <w:p w14:paraId="635586D3" w14:textId="77777777" w:rsidR="006F44C0" w:rsidRDefault="006F44C0" w:rsidP="00F25B67">
      <w:pPr>
        <w:spacing w:after="240"/>
      </w:pPr>
      <w:r w:rsidRPr="006C405C">
        <w:t>Respecto al inci</w:t>
      </w:r>
      <w:r>
        <w:t xml:space="preserve">dente de nulidad de actuaciones, en el cual nos centraremos en el tercer capítulo de este trabajo, éste supuso, en principio, una vía más de protección dentro de la jurisdicción ordinaria teniendo en cuenta la grave restricción de acceso a la jurisdicción constitucional introducida por esta reforma. Podemos decir que se intentó compensar la </w:t>
      </w:r>
      <w:r>
        <w:lastRenderedPageBreak/>
        <w:t xml:space="preserve">dificultad de acceso en el orden constitucional introduciendo una nueva opción de protección de los derechos en los tribunales ordinarios. </w:t>
      </w:r>
    </w:p>
    <w:p w14:paraId="6BCEC848" w14:textId="792482DB" w:rsidR="006F44C0" w:rsidRPr="00E858C1" w:rsidRDefault="00756616" w:rsidP="001A4310">
      <w:pPr>
        <w:pStyle w:val="Ttulo3"/>
        <w:numPr>
          <w:ilvl w:val="0"/>
          <w:numId w:val="46"/>
        </w:numPr>
      </w:pPr>
      <w:bookmarkStart w:id="292" w:name="_Toc531862035"/>
      <w:bookmarkStart w:id="293" w:name="_Toc533020347"/>
      <w:bookmarkStart w:id="294" w:name="_Toc49423631"/>
      <w:bookmarkStart w:id="295" w:name="_Toc49708583"/>
      <w:bookmarkStart w:id="296" w:name="_Toc49790270"/>
      <w:bookmarkStart w:id="297" w:name="_Toc49866509"/>
      <w:bookmarkStart w:id="298" w:name="_Toc50373160"/>
      <w:r>
        <w:t>P</w:t>
      </w:r>
      <w:r w:rsidRPr="00E858C1">
        <w:t>rocedencia e interposición del recurso de amparo constitucional</w:t>
      </w:r>
      <w:bookmarkEnd w:id="292"/>
      <w:bookmarkEnd w:id="293"/>
      <w:bookmarkEnd w:id="294"/>
      <w:bookmarkEnd w:id="295"/>
      <w:bookmarkEnd w:id="296"/>
      <w:bookmarkEnd w:id="297"/>
      <w:bookmarkEnd w:id="298"/>
    </w:p>
    <w:p w14:paraId="76E6761A" w14:textId="77777777" w:rsidR="006F44C0" w:rsidRPr="00066249" w:rsidRDefault="006F44C0" w:rsidP="001A4310">
      <w:pPr>
        <w:pStyle w:val="Ttulo4"/>
        <w:numPr>
          <w:ilvl w:val="0"/>
          <w:numId w:val="47"/>
        </w:numPr>
      </w:pPr>
      <w:bookmarkStart w:id="299" w:name="_Toc531862036"/>
      <w:bookmarkStart w:id="300" w:name="_Toc533020348"/>
      <w:bookmarkStart w:id="301" w:name="_Toc49423632"/>
      <w:bookmarkStart w:id="302" w:name="_Toc49866510"/>
      <w:r>
        <w:t>Derechos protegidos y actos recurribles</w:t>
      </w:r>
      <w:bookmarkEnd w:id="299"/>
      <w:bookmarkEnd w:id="300"/>
      <w:bookmarkEnd w:id="301"/>
      <w:bookmarkEnd w:id="302"/>
    </w:p>
    <w:p w14:paraId="024DBEB5" w14:textId="6FEA700C" w:rsidR="006F44C0" w:rsidRPr="00C72445" w:rsidRDefault="006F44C0" w:rsidP="00F25B67">
      <w:pPr>
        <w:spacing w:after="240"/>
      </w:pPr>
      <w:r w:rsidRPr="00C72445">
        <w:t xml:space="preserve">El recurso de amparo puede interponerse frente a actos de los poderes públicos que lesionen los derechos reconocidos en el artículo 14 de la </w:t>
      </w:r>
      <w:r w:rsidR="007B7556" w:rsidRPr="00C72445">
        <w:t>CE, en</w:t>
      </w:r>
      <w:r w:rsidRPr="00C72445">
        <w:t xml:space="preserve"> la Sección Primera del Capítulo I del Título II (artículos 14 a 29 CE) y el artículo 30.2 CE. Sólo la lesión de los derechos fundamentales reconocidos en estos artículos es susceptible de recurso de amparo constitucional, según establecen los artículos 53.2 CE y 41.1 de la LOTC</w:t>
      </w:r>
      <w:r w:rsidRPr="00C72445">
        <w:rPr>
          <w:rStyle w:val="Refdenotaalpie"/>
          <w:vertAlign w:val="baseline"/>
        </w:rPr>
        <w:footnoteReference w:id="125"/>
      </w:r>
      <w:r w:rsidRPr="00C72445">
        <w:t>.</w:t>
      </w:r>
    </w:p>
    <w:p w14:paraId="7B99D195" w14:textId="77777777" w:rsidR="006F44C0" w:rsidRPr="00C72445" w:rsidRDefault="006F44C0" w:rsidP="00F25B67">
      <w:pPr>
        <w:spacing w:after="240"/>
      </w:pPr>
      <w:r w:rsidRPr="00C72445">
        <w:t xml:space="preserve">Esta afirmación no ha cambiado tras la reforma de 2007, es decir, el objeto del recurso de amparo sigue siendo el mismo que cuando se creó. Ahora bien, podemos preguntarnos si esto debería haberse modificado. </w:t>
      </w:r>
    </w:p>
    <w:p w14:paraId="570A4B4C" w14:textId="77777777" w:rsidR="006F44C0" w:rsidRPr="00C72445" w:rsidRDefault="006F44C0" w:rsidP="00F25B67">
      <w:pPr>
        <w:spacing w:after="240"/>
      </w:pPr>
      <w:r w:rsidRPr="00C72445">
        <w:t>Ya dijimos en el primer capítulo de este trabajo que, entre las soluciones propuestas para solventar la crisis funcional del TC, se encontraba la de excluir algunos derechos del ámbito de protección del recurso de amparo, especialmente el 24 y el 14 por ser éstos los más invocados atendiendo a las estadísticas del propio TC. El debate sobre todo giró en torno a la eliminación de los derechos contenido en el artículo 24 CE, por ser el más alegado</w:t>
      </w:r>
      <w:r w:rsidRPr="00C72445">
        <w:rPr>
          <w:rStyle w:val="Refdenotaalpie"/>
          <w:vertAlign w:val="baseline"/>
        </w:rPr>
        <w:footnoteReference w:id="126"/>
      </w:r>
      <w:r w:rsidRPr="00C72445">
        <w:t>. Su eliminación fue vista con buenos ojos por muchos autores</w:t>
      </w:r>
      <w:r w:rsidRPr="00C72445">
        <w:rPr>
          <w:rStyle w:val="Refdenotaalpie"/>
          <w:vertAlign w:val="baseline"/>
        </w:rPr>
        <w:footnoteReference w:id="127"/>
      </w:r>
      <w:r w:rsidRPr="00C72445">
        <w:t>. Sin embargo, como hemos visto, finalmente no se produjo esta decisión.</w:t>
      </w:r>
    </w:p>
    <w:p w14:paraId="40F7916E" w14:textId="77777777" w:rsidR="006F44C0" w:rsidRPr="00C72445" w:rsidRDefault="006F44C0" w:rsidP="00F25B67">
      <w:pPr>
        <w:spacing w:after="240"/>
      </w:pPr>
      <w:r w:rsidRPr="00C72445">
        <w:lastRenderedPageBreak/>
        <w:t>Este hecho ya fue mencionado por DÍEZ PICAZO años antes de esta reforma. Planteaba el autor la interesante cuestión de si todas las declaraciones recogidas entre los artículos 14 y 29 CE eran susceptibles de hacerse valer por esta vía procesal; es decir, si todos los derechos que se ubican en esa parte del texto constitucional son amparables por el mero hecho de poseer esta ubicación.</w:t>
      </w:r>
      <w:r w:rsidRPr="00C72445">
        <w:rPr>
          <w:rStyle w:val="Refdenotaalpie"/>
          <w:vertAlign w:val="baseline"/>
        </w:rPr>
        <w:footnoteReference w:id="128"/>
      </w:r>
      <w:r w:rsidRPr="00C72445">
        <w:t xml:space="preserve">  </w:t>
      </w:r>
    </w:p>
    <w:p w14:paraId="7492F53C" w14:textId="77777777" w:rsidR="006F44C0" w:rsidRPr="00C72445" w:rsidRDefault="006F44C0" w:rsidP="00F25B67">
      <w:pPr>
        <w:spacing w:after="240"/>
      </w:pPr>
      <w:r w:rsidRPr="00C72445">
        <w:t>Afirma el autor que el considerar que sí lo son es precisamente lo que ha causado diversos problemas. Sin embargo, años después hemos visto que no todos son alegados con la misma frecuencia e intensidad.</w:t>
      </w:r>
    </w:p>
    <w:p w14:paraId="44D6FB8D" w14:textId="77777777" w:rsidR="006F44C0" w:rsidRPr="00C72445" w:rsidRDefault="006F44C0" w:rsidP="00F25B67">
      <w:pPr>
        <w:spacing w:after="240"/>
      </w:pPr>
      <w:r w:rsidRPr="00C72445">
        <w:t xml:space="preserve">Cabe plantearse la pregunta opuesta, ¿existen derechos fuera de estos artículos que sean recurribles en amparo? </w:t>
      </w:r>
    </w:p>
    <w:p w14:paraId="067D3AB3" w14:textId="77777777" w:rsidR="006F44C0" w:rsidRPr="00C72445" w:rsidRDefault="006F44C0" w:rsidP="00F25B67">
      <w:pPr>
        <w:spacing w:after="240"/>
      </w:pPr>
      <w:r w:rsidRPr="00C72445">
        <w:t>Como indica DÍEZ PICAZO debemos plantearnos dos casos: el primero es el de aquellas normas constitucionales ubicadas fuera de estos artículos que el TC considera que complementan alguno de los derechos susceptibles de amparo y que, por este motivo también merecen ser protegidas mediante éste. Un ejemplo de esto es la ampliación producida en torno al artículo 24 CE.</w:t>
      </w:r>
    </w:p>
    <w:p w14:paraId="0D419CC7" w14:textId="77777777" w:rsidR="006F44C0" w:rsidRPr="00C72445" w:rsidRDefault="006F44C0" w:rsidP="00F25B67">
      <w:pPr>
        <w:spacing w:after="240"/>
      </w:pPr>
      <w:r w:rsidRPr="00C72445">
        <w:t xml:space="preserve">El segundo es el referente a derechos fundamentales de configuración legal, es decir, derechos fundamentales cuyo concreto contenido no puede determinarse sin una legislación que lo desarrolle. Un ejemplo de ello son los diversos derechos consagrados en el art. 23 CE. </w:t>
      </w:r>
    </w:p>
    <w:p w14:paraId="2928372A" w14:textId="77777777" w:rsidR="006F44C0" w:rsidRPr="00C72445" w:rsidRDefault="006F44C0" w:rsidP="00F25B67">
      <w:pPr>
        <w:spacing w:after="240"/>
      </w:pPr>
      <w:r w:rsidRPr="00C72445">
        <w:t>El problema que se nos plantea es que nuestro TC ha otorgado a algunas de estas normas de desarrollo el carácter de parte integrante del derecho fundamental, con la consecuente posibilidad de que en caso de vulneración del mismo quepa la invocación del recurso de amparo. Bien es cierto que este hecho está justificado, pues de no ser así, muchos derechos fundamentales quedarían vacíos en su contenido, pero no podemos olvidar que es el legislador el que modifica ese contenido legal.</w:t>
      </w:r>
    </w:p>
    <w:p w14:paraId="06D91AEE" w14:textId="77777777" w:rsidR="006F44C0" w:rsidRPr="00C72445" w:rsidRDefault="006F44C0" w:rsidP="00F25B67">
      <w:pPr>
        <w:spacing w:after="240"/>
      </w:pPr>
      <w:r w:rsidRPr="00C72445">
        <w:lastRenderedPageBreak/>
        <w:t>Por otra parte, se requiere que la lesión causada a éstos sea ser real y efectiva, no teniendo nunca este recurso carácter cautelar o preventivo. El propio Tribunal Constitucional ha señalado que "el recurso de amparo no tiene carácter cautelar, y este Tribunal no puede pronunciarse sobre lesiones de un derecho fundamental que aún no se han producido" (STC 110/1984). Del mismo modo, posteriormente declaró que "el recurso de amparo no posee una función meramente preventiva o cautelar, por lo que únicamente es admisible ante la existencia real y concreta, efectiva y cierta de vulneraciones de derechos fundamentales y libertades públicas, siendo improcedente frente a lesiones meramente temidas, potencias o futuras" (STC 27/1997).</w:t>
      </w:r>
    </w:p>
    <w:p w14:paraId="51EAD9AD" w14:textId="77777777" w:rsidR="006F44C0" w:rsidRPr="00C72445" w:rsidRDefault="006F44C0" w:rsidP="00F25B67">
      <w:pPr>
        <w:spacing w:after="240"/>
      </w:pPr>
      <w:r w:rsidRPr="00C72445">
        <w:t>Cabe destacar que, pese a que esté orientado a las lesiones llevadas a cabo por los poderes públicos, cabe interponerlo frente a lesiones de particulares entendiendo que la lesión del derecho fundamental ha sido realizada por el poder judicial al no haber reparado la lesión causada al derecho. Sobre este punto incidiremos más adelante.</w:t>
      </w:r>
    </w:p>
    <w:p w14:paraId="39ADAB0C" w14:textId="77777777" w:rsidR="006F44C0" w:rsidRPr="00C72445" w:rsidRDefault="006F44C0" w:rsidP="00F25B67">
      <w:pPr>
        <w:spacing w:after="240"/>
      </w:pPr>
      <w:r w:rsidRPr="00C72445">
        <w:t>Respecto a los actos recurribles</w:t>
      </w:r>
      <w:r w:rsidRPr="00C72445">
        <w:rPr>
          <w:rStyle w:val="Refdenotaalpie"/>
          <w:vertAlign w:val="baseline"/>
        </w:rPr>
        <w:footnoteReference w:id="129"/>
      </w:r>
      <w:r w:rsidRPr="00C72445">
        <w:t xml:space="preserve"> recogidos en el artículo 41.2 LOTC, la LO 6/2007 ha añadido las “omisiones” de los poderes públicos como susceptibles vulnerar un derecho fundamental.</w:t>
      </w:r>
    </w:p>
    <w:p w14:paraId="5687C619" w14:textId="77777777" w:rsidR="006F44C0" w:rsidRPr="00C72445" w:rsidRDefault="006F44C0" w:rsidP="00F25B67">
      <w:pPr>
        <w:spacing w:after="240"/>
      </w:pPr>
      <w:r w:rsidRPr="00C72445">
        <w:t>En el recurso de amparo constitucional no pueden hacerse valer otras pretensiones que las dirigidas a restablecer o preservar los derechos o libertades por las que se formuló el recurso, según establece el artículo 41.3 de la LOTC. En este punto la Ley no ha introducido ninguna modificación.</w:t>
      </w:r>
    </w:p>
    <w:p w14:paraId="4E5EFF9B" w14:textId="77777777" w:rsidR="006F44C0" w:rsidRPr="00C72445" w:rsidRDefault="006F44C0" w:rsidP="00C72445">
      <w:pPr>
        <w:pStyle w:val="Ttulo4"/>
      </w:pPr>
      <w:bookmarkStart w:id="303" w:name="_Toc531862037"/>
      <w:bookmarkStart w:id="304" w:name="_Toc533020349"/>
      <w:bookmarkStart w:id="305" w:name="_Toc49423633"/>
      <w:bookmarkStart w:id="306" w:name="_Toc49866511"/>
      <w:r w:rsidRPr="00C72445">
        <w:t>Tipos de recursos de amparo</w:t>
      </w:r>
      <w:bookmarkEnd w:id="303"/>
      <w:bookmarkEnd w:id="304"/>
      <w:bookmarkEnd w:id="305"/>
      <w:bookmarkEnd w:id="306"/>
    </w:p>
    <w:p w14:paraId="2D80B008" w14:textId="77777777" w:rsidR="006F44C0" w:rsidRPr="00C72445" w:rsidRDefault="006F44C0" w:rsidP="00F25B67">
      <w:pPr>
        <w:spacing w:after="240"/>
        <w:rPr>
          <w:color w:val="000000" w:themeColor="text1"/>
        </w:rPr>
      </w:pPr>
      <w:r w:rsidRPr="00C72445">
        <w:rPr>
          <w:color w:val="000000" w:themeColor="text1"/>
        </w:rPr>
        <w:t xml:space="preserve">En función del poder público del que provenga la lesión del derecho, la LOTC distingue tres tipos de recursos de amparo: </w:t>
      </w:r>
    </w:p>
    <w:p w14:paraId="3CEDEAC3" w14:textId="77777777" w:rsidR="006F44C0" w:rsidRPr="0060700A" w:rsidRDefault="006F44C0" w:rsidP="00F25B67">
      <w:pPr>
        <w:spacing w:after="240"/>
      </w:pPr>
      <w:r w:rsidRPr="0060700A">
        <w:t xml:space="preserve">El recurso de amparo contra “las decisiones o actos sin valor de Ley, emanados de las Cortes o de cualquiera de sus órganos, o de las Asambleas legislativas de las </w:t>
      </w:r>
      <w:r w:rsidRPr="0060700A">
        <w:lastRenderedPageBreak/>
        <w:t>Comunidades Autónomas, o de sus órganos, que violen los derechos y libertades susceptibles de amparo constitucional”. Recogido en el artículo 42 de la LOTC. Este artículo no ha sido objeto de reforma por la Lo 6/2007. Su plazo sigue siendo de tres meses desde que, con arreglo a las normas internas de las Cámaras o Asambleas, sean firmes.</w:t>
      </w:r>
    </w:p>
    <w:p w14:paraId="0E541C1A" w14:textId="77777777" w:rsidR="006F44C0" w:rsidRPr="007B1578" w:rsidRDefault="006F44C0" w:rsidP="00F25B67">
      <w:pPr>
        <w:spacing w:after="240"/>
        <w:rPr>
          <w:szCs w:val="24"/>
        </w:rPr>
      </w:pPr>
      <w:r w:rsidRPr="007B1578">
        <w:rPr>
          <w:szCs w:val="24"/>
        </w:rPr>
        <w:t>Con este listado exhaustivo, la Ley Orgánica del Tribunal Constitucional intenta dejar claro que cualquier acto sin valor de ley que provenga de una Cámara parlamentaria, estatal o autonómica, o de cualquiera de sus órganos, es susceptible de recurso de amparo si vulnera un derecho fundamental protegido por este proceso. Es sumamente relevante destacar que se trata de actos sin valor de ley, pues LOTC no permite el recurso de amparo directo frente a leyes.</w:t>
      </w:r>
      <w:r w:rsidRPr="007B1578">
        <w:rPr>
          <w:szCs w:val="24"/>
        </w:rPr>
        <w:br/>
      </w:r>
      <w:r w:rsidRPr="007B1578">
        <w:rPr>
          <w:szCs w:val="24"/>
        </w:rPr>
        <w:br/>
        <w:t xml:space="preserve">Podemos apreciar una peculiaridad en este tipo de recursos de amparo que se deriva de la garantía de la autonomía parlamentaria. Esta peculiaridad se basa en el hecho de que la mayor parte de la actividad parlamentaria no esté sujeta a revisión judicial. Nos referimos en concreto a los actos parlamentarios conocidos como “interna </w:t>
      </w:r>
      <w:proofErr w:type="spellStart"/>
      <w:r w:rsidRPr="007B1578">
        <w:rPr>
          <w:szCs w:val="24"/>
        </w:rPr>
        <w:t>corporis</w:t>
      </w:r>
      <w:proofErr w:type="spellEnd"/>
      <w:r w:rsidRPr="007B1578">
        <w:rPr>
          <w:szCs w:val="24"/>
        </w:rPr>
        <w:t xml:space="preserve"> acta”, los cuales pueden ser recurridos en amparo constitucional sin tener que acudir a los tribunales de manera previa, requisito exigido para cualquier otro tipo de amparo constitucional. Sólo se les exigirá el agotamiento de los medios de impugnación ante la misma Cámara, si los hubiere.</w:t>
      </w:r>
      <w:r w:rsidRPr="007B1578">
        <w:rPr>
          <w:szCs w:val="24"/>
        </w:rPr>
        <w:br/>
      </w:r>
      <w:r w:rsidRPr="007B1578">
        <w:rPr>
          <w:szCs w:val="24"/>
        </w:rPr>
        <w:br/>
        <w:t xml:space="preserve">Es necesario subrayar que, si el acto parlamentario tuviese una naturaleza materialmente administrativa, la situación sería distinta. Atendiendo a la Ley Orgánica 6/1985, de 1 de julio, del Poder Judicial [arts. 58.1 y 74.1.c)] y a la Ley 29/1998, de 13 de julio, reguladora de la Jurisdicción Contencioso-Administrativa, estos actos serían susceptibles de control por los Juzgados y Tribunales de lo Contencioso-Administrativo [art. 1.3.a)]. Por tanto, en estos casos, el afectado por la lesión tendrá que acudir primero a los tribunales ordinarios y, sólo una vez agotada la vía judicial previa, podrá recurrir ante el Tribunal Constitucional en amparo. El ATC 296/1985, en su Fundamento Jurídico Primero añade que "Respecto de los actos parlamentarios, el artículo 42 de la LOTC únicamente admite el recurso de amparo contra los que no tienen valor de ley. Para poder ser recurrido un acto de esta procedencia y naturaleza, a través de la vía del artículo 42, es menester que haya alcanzado firmeza, lo que sólo se alcanza una vez que se hayan agotado las </w:t>
      </w:r>
      <w:r w:rsidRPr="007B1578">
        <w:rPr>
          <w:szCs w:val="24"/>
        </w:rPr>
        <w:lastRenderedPageBreak/>
        <w:t>instancias internas y, si fuera procedente, las vías externas establecidas contra tales actos, esto es, la contencioso-administrativa, donde podría instarse antes del amparo, la reparación del derecho constitucional vulnerado".</w:t>
      </w:r>
    </w:p>
    <w:p w14:paraId="4BC6BC14" w14:textId="77777777" w:rsidR="006F44C0" w:rsidRPr="00637B40" w:rsidRDefault="006F44C0" w:rsidP="00F25B67">
      <w:pPr>
        <w:spacing w:after="240"/>
      </w:pPr>
      <w:r w:rsidRPr="00637B40">
        <w:t>El segundo tipo es el recurso de amparo contra “Las violaciones de los derechos y libertades antes referidos originadas por disposiciones, actos jurídicos, omisiones o simple vía de hecho del Gobierno o de sus autoridades o funcionarios, o de los órganos ejecutivos colegiados de las comunidades autónomas o de sus autoridades o funcionarios o agentes”. Recogido en el artículo 43 de la LOTC. Este artículo sí que ha sido objeto de modificación por la LO 6/2007. En concreto, se añadió al párrafo primero la posibilidad de violación de los derechos y libertades por las “omisiones” de los poderes públicos, en relación con lo anteriormente mencionado sobre el artículo 41.2 de la LOTC.</w:t>
      </w:r>
    </w:p>
    <w:p w14:paraId="222A32AB" w14:textId="77777777" w:rsidR="006F44C0" w:rsidRPr="00637B40" w:rsidRDefault="006F44C0" w:rsidP="00F25B67">
      <w:pPr>
        <w:spacing w:after="240"/>
      </w:pPr>
      <w:r w:rsidRPr="00637B40">
        <w:t>El resto del artículo no ha sido modificado. El plazo para interponer el recurso continúa siendo el de los veinte días siguientes a la notificación de la resolución recaída en el previo proceso judicial. El último inciso del artículo añade que “El recurso sólo podrá fundarse en la infracción por una resolución firme de los preceptos constitucionales que reconocen los derechos o libertades susceptibles de amparo”.</w:t>
      </w:r>
      <w:r>
        <w:rPr>
          <w:rStyle w:val="Refdenotaalpie"/>
        </w:rPr>
        <w:footnoteReference w:id="130"/>
      </w:r>
    </w:p>
    <w:p w14:paraId="47E69713" w14:textId="77777777" w:rsidR="006F44C0" w:rsidRPr="00637B40" w:rsidRDefault="006F44C0" w:rsidP="00F25B67">
      <w:pPr>
        <w:spacing w:after="240"/>
      </w:pPr>
      <w:r w:rsidRPr="00637B40">
        <w:t>El tercer tipo es el recurso de amparo contra actos u omisiones de órganos judiciales</w:t>
      </w:r>
      <w:r w:rsidRPr="007B1578">
        <w:rPr>
          <w:rStyle w:val="Refdenotaalpie"/>
          <w:color w:val="000000" w:themeColor="text1"/>
        </w:rPr>
        <w:footnoteReference w:id="131"/>
      </w:r>
      <w:r w:rsidRPr="00637B40">
        <w:t xml:space="preserve">, artículo 44 de la LOTC. Este artículo también ha sido modificado. En concreto, se </w:t>
      </w:r>
      <w:r w:rsidRPr="00637B40">
        <w:lastRenderedPageBreak/>
        <w:t>sustituye la necesidad de agotar “todos los recursos utilizables” por “los medios de impugnación previstos por las normas procesales para el caso concreto”.</w:t>
      </w:r>
    </w:p>
    <w:p w14:paraId="743E7C48" w14:textId="77777777" w:rsidR="006F44C0" w:rsidRPr="00637B40" w:rsidRDefault="006F44C0" w:rsidP="00F25B67">
      <w:pPr>
        <w:spacing w:after="240"/>
      </w:pPr>
      <w:r w:rsidRPr="00637B40">
        <w:t>Ahora bien, el hecho de limitar la protección del amparo constitucional a las lesiones de derechos fundamentales producidas únicamente por los poderes públicos, ha sido modificada en la práctica por la jurisprudencia del Tribunal Constitucional. Éste ha admitido recursos de amparo frente a violaciones de derechos fundamentales provocadas por particulares. Para ello, ha recurrido a la ficción de entender que el acto lesivo del derecho procede realmente del poder judicial, encargado de su protección y no del particular que causó la lesión del derecho. Se considera así que cuando el poder judicial no repara una lesión de derechos provocada por un particular, es el propio poder judicial el que vulnera el derecho, al no repararlo. De este modo, los actos provocados por particulares también resultarán susceptibles de amparo, pero sólo en el caso de que se atribuya al poder judicial la lesión del derecho por conocer del asunto y no proceder a la oportuna reparación.</w:t>
      </w:r>
    </w:p>
    <w:p w14:paraId="1C32C1D5" w14:textId="703E7383" w:rsidR="006F44C0" w:rsidRDefault="006F44C0" w:rsidP="00F25B67">
      <w:pPr>
        <w:spacing w:after="240"/>
        <w:rPr>
          <w:szCs w:val="24"/>
        </w:rPr>
      </w:pPr>
      <w:r w:rsidRPr="00637B40">
        <w:t>De este modo, podemos apreciar dos subtipos de recursos de amparo dentro del artículo 44 de la LOTC, por una parte, aquellos que provienen de una l</w:t>
      </w:r>
      <w:r w:rsidRPr="00637B40">
        <w:rPr>
          <w:szCs w:val="24"/>
        </w:rPr>
        <w:t xml:space="preserve">esión provocada por particulares, que el poder judicial no ha reparado (únicamente cabe recurrir el acto procedente del poder judicial) y, por otra, los que provienen de </w:t>
      </w:r>
      <w:r w:rsidR="007B7556" w:rsidRPr="00637B40">
        <w:rPr>
          <w:szCs w:val="24"/>
        </w:rPr>
        <w:t>una lesión provocada</w:t>
      </w:r>
      <w:r w:rsidRPr="00637B40">
        <w:rPr>
          <w:szCs w:val="24"/>
        </w:rPr>
        <w:t xml:space="preserve"> por el poder judicial directamente</w:t>
      </w:r>
      <w:r>
        <w:rPr>
          <w:szCs w:val="24"/>
        </w:rPr>
        <w:t>.</w:t>
      </w:r>
    </w:p>
    <w:p w14:paraId="6242BC9A" w14:textId="38457AE8" w:rsidR="006F44C0" w:rsidRPr="00637B40" w:rsidRDefault="006F44C0" w:rsidP="00F25B67">
      <w:pPr>
        <w:spacing w:after="240"/>
        <w:rPr>
          <w:szCs w:val="24"/>
        </w:rPr>
      </w:pPr>
      <w:r w:rsidRPr="00DA5C0D">
        <w:rPr>
          <w:szCs w:val="24"/>
        </w:rPr>
        <w:t xml:space="preserve">Existen, además, casos en los que los recursos de amparo planteados ante el TC se dirigen tanto contra actos administrativos o gubernativos (art. 43 LOTC) como contra actos jurisdiccionales adoptados en la vía judicial consecutiva a aquellos </w:t>
      </w:r>
      <w:r w:rsidR="007B7556" w:rsidRPr="00DA5C0D">
        <w:rPr>
          <w:szCs w:val="24"/>
        </w:rPr>
        <w:t>(art.</w:t>
      </w:r>
      <w:r w:rsidRPr="00DA5C0D">
        <w:rPr>
          <w:szCs w:val="24"/>
        </w:rPr>
        <w:t xml:space="preserve"> 44 LOTC). Respecto a este último, esto puede suceder porque la resolución jurisdiccional no haya reparado la lesión del derecho fundamental que se atribuía a la vía gubernativa o </w:t>
      </w:r>
      <w:r w:rsidRPr="00DA5C0D">
        <w:rPr>
          <w:szCs w:val="24"/>
        </w:rPr>
        <w:lastRenderedPageBreak/>
        <w:t xml:space="preserve">administrativa o, también puede suceder, que se haya producido una nueva lesión de un derecho </w:t>
      </w:r>
      <w:r w:rsidR="007B7556" w:rsidRPr="00DA5C0D">
        <w:rPr>
          <w:szCs w:val="24"/>
        </w:rPr>
        <w:t>fundamental en</w:t>
      </w:r>
      <w:r w:rsidRPr="00DA5C0D">
        <w:rPr>
          <w:szCs w:val="24"/>
        </w:rPr>
        <w:t xml:space="preserve"> la resolución jurisdiccional que se haya emitido. Hablamos en estos casos de «recursos de amparo mixtos».</w:t>
      </w:r>
      <w:r w:rsidRPr="007B1578">
        <w:rPr>
          <w:rStyle w:val="Refdenotaalpie"/>
          <w:color w:val="000000" w:themeColor="text1"/>
        </w:rPr>
        <w:footnoteReference w:id="132"/>
      </w:r>
    </w:p>
    <w:p w14:paraId="354A50F0" w14:textId="77777777" w:rsidR="006F44C0" w:rsidRPr="00452F47" w:rsidRDefault="006F44C0" w:rsidP="00F25B67">
      <w:pPr>
        <w:shd w:val="clear" w:color="auto" w:fill="FFFFFF"/>
        <w:spacing w:after="240"/>
        <w:rPr>
          <w:color w:val="000000" w:themeColor="text1"/>
          <w:szCs w:val="24"/>
        </w:rPr>
      </w:pPr>
      <w:r w:rsidRPr="00452F47">
        <w:rPr>
          <w:color w:val="000000" w:themeColor="text1"/>
          <w:szCs w:val="24"/>
        </w:rPr>
        <w:t>Cuando esto sucede, el TC considera cuando dicta su sentencia de amparo que el acto administrativo sigue siendo el verdadero objeto del proceso.</w:t>
      </w:r>
      <w:r>
        <w:rPr>
          <w:color w:val="000000" w:themeColor="text1"/>
          <w:szCs w:val="24"/>
        </w:rPr>
        <w:t xml:space="preserve"> </w:t>
      </w:r>
      <w:r w:rsidRPr="00452F47">
        <w:rPr>
          <w:color w:val="000000" w:themeColor="text1"/>
          <w:szCs w:val="24"/>
        </w:rPr>
        <w:t xml:space="preserve">Esto se debe, en palabras de SÁNCHEZ GARRIDO, </w:t>
      </w:r>
      <w:r w:rsidRPr="00452F47">
        <w:rPr>
          <w:i/>
          <w:color w:val="000000" w:themeColor="text1"/>
          <w:szCs w:val="24"/>
        </w:rPr>
        <w:t>“al carácter autónomo y preferente que en éste posee la pretensión deducida por el cauce del art. 43 LOTC, por lo que entiende  procedente el examen y resolución previo de las lesiones imputadas a las resolución o resoluciones administrativas, dejándose para un ulterior análisis las vulneraciones que se atribuyen a las</w:t>
      </w:r>
      <w:r>
        <w:rPr>
          <w:i/>
          <w:color w:val="000000" w:themeColor="text1"/>
          <w:szCs w:val="24"/>
        </w:rPr>
        <w:t xml:space="preserve"> resoluciones jurisdiccionales”</w:t>
      </w:r>
      <w:r>
        <w:rPr>
          <w:color w:val="000000" w:themeColor="text1"/>
          <w:szCs w:val="24"/>
        </w:rPr>
        <w:t>.</w:t>
      </w:r>
      <w:r>
        <w:rPr>
          <w:rStyle w:val="Refdenotaalpie"/>
          <w:color w:val="000000" w:themeColor="text1"/>
          <w:szCs w:val="24"/>
        </w:rPr>
        <w:footnoteReference w:id="133"/>
      </w:r>
    </w:p>
    <w:p w14:paraId="7F0FDDBA" w14:textId="77777777" w:rsidR="006F44C0" w:rsidRPr="007B1578" w:rsidRDefault="006F44C0" w:rsidP="00F25B67">
      <w:pPr>
        <w:shd w:val="clear" w:color="auto" w:fill="FFFFFF"/>
        <w:spacing w:after="240"/>
        <w:rPr>
          <w:color w:val="000000" w:themeColor="text1"/>
          <w:szCs w:val="24"/>
        </w:rPr>
      </w:pPr>
      <w:r w:rsidRPr="007B1578">
        <w:rPr>
          <w:color w:val="000000" w:themeColor="text1"/>
          <w:szCs w:val="24"/>
        </w:rPr>
        <w:t>Además de los mencionados recursos de amparo correspondientes a los artículos 42, 43 y 44 de los LOTC, dispuestos en función del poder público del que proviene la lesión del derecho fundamental, podemos distinguir otros tipos de recursos de amparo en nuestro ordenamiento jurídico.</w:t>
      </w:r>
    </w:p>
    <w:p w14:paraId="1EBA20E8" w14:textId="77777777" w:rsidR="006F44C0" w:rsidRPr="003E7E0B" w:rsidRDefault="006F44C0" w:rsidP="00F25B67">
      <w:pPr>
        <w:pStyle w:val="Prrafodelista"/>
        <w:numPr>
          <w:ilvl w:val="0"/>
          <w:numId w:val="7"/>
        </w:numPr>
      </w:pPr>
      <w:r w:rsidRPr="003E7E0B">
        <w:rPr>
          <w:bCs/>
        </w:rPr>
        <w:t xml:space="preserve">El recurso de amparo frente a la inadmisión a trámite por la Mesa del Congreso de una iniciativa legislativa popular: </w:t>
      </w:r>
      <w:r w:rsidRPr="003E7E0B">
        <w:br/>
        <w:t>Previsto en el artículo 6 de la Ley Orgánica 3/1984, de 26 de marzo, reguladora de la Iniciativa Legislativa Popular. Este artículo dispone que la Comisión Promotora de la iniciativa legislativa popular podrá interponer un recurso de amparo contra la decisión de la Mesa del Congreso de no admitir a trámite la iniciativa. Debido a la procedencia del acto, la Mesa del Congreso de los Diputados, este recurso de amparo entraría dentro de los recursos previstos en el artículo 42 LOTC.</w:t>
      </w:r>
    </w:p>
    <w:p w14:paraId="658D3354" w14:textId="77777777" w:rsidR="006F44C0" w:rsidRPr="003E7E0B" w:rsidRDefault="006F44C0" w:rsidP="00F25B67">
      <w:pPr>
        <w:pStyle w:val="Prrafodelista"/>
        <w:ind w:left="708"/>
      </w:pPr>
    </w:p>
    <w:p w14:paraId="74F70F8E" w14:textId="77777777" w:rsidR="006F44C0" w:rsidRPr="007E660B" w:rsidRDefault="006F44C0" w:rsidP="00F25B67">
      <w:pPr>
        <w:pStyle w:val="Prrafodelista"/>
        <w:numPr>
          <w:ilvl w:val="0"/>
          <w:numId w:val="7"/>
        </w:numPr>
      </w:pPr>
      <w:r w:rsidRPr="007E660B">
        <w:rPr>
          <w:bCs/>
        </w:rPr>
        <w:lastRenderedPageBreak/>
        <w:t xml:space="preserve">Recurso de amparo electoral: </w:t>
      </w:r>
      <w:r w:rsidRPr="007E660B">
        <w:t>Previsto en la Ley Orgánica 5/1985, de 19 de junio, de Régimen Electoral General. Esta Ley dos modalidades de recurso de amparo contra actos y decisiones de la Administración electoral:</w:t>
      </w:r>
    </w:p>
    <w:p w14:paraId="451CA5F5" w14:textId="77777777" w:rsidR="006F44C0" w:rsidRPr="007E660B" w:rsidRDefault="006F44C0" w:rsidP="00F25B67">
      <w:pPr>
        <w:pStyle w:val="Prrafodelista"/>
        <w:ind w:left="1065"/>
      </w:pPr>
    </w:p>
    <w:p w14:paraId="77178D14" w14:textId="77777777" w:rsidR="006F44C0" w:rsidRDefault="006F44C0" w:rsidP="001218F1">
      <w:pPr>
        <w:pStyle w:val="Prrafodelista"/>
        <w:numPr>
          <w:ilvl w:val="0"/>
          <w:numId w:val="8"/>
        </w:numPr>
        <w:ind w:left="1065"/>
      </w:pPr>
      <w:r w:rsidRPr="007E660B">
        <w:t>El recurso de amparo contra los Acuerdos de las Juntas Electorales sobre proclamación de candidatos y candidaturas (art. 49.3).</w:t>
      </w:r>
    </w:p>
    <w:p w14:paraId="67900311" w14:textId="77777777" w:rsidR="006F44C0" w:rsidRPr="007E660B" w:rsidRDefault="006F44C0" w:rsidP="001218F1">
      <w:pPr>
        <w:pStyle w:val="Prrafodelista"/>
        <w:numPr>
          <w:ilvl w:val="0"/>
          <w:numId w:val="8"/>
        </w:numPr>
        <w:ind w:left="1065"/>
      </w:pPr>
      <w:r w:rsidRPr="007E660B">
        <w:t xml:space="preserve">El recurso de amparo contra los Acuerdos de las Juntas Electorales sobre proclamación de electos y elección y proclamación de </w:t>
      </w:r>
      <w:proofErr w:type="gramStart"/>
      <w:r w:rsidRPr="007E660B">
        <w:t>Presidentes</w:t>
      </w:r>
      <w:proofErr w:type="gramEnd"/>
      <w:r w:rsidRPr="007E660B">
        <w:t xml:space="preserve"> de las Corporaciones locales (art. 114.2).</w:t>
      </w:r>
    </w:p>
    <w:p w14:paraId="19016965" w14:textId="1CB55D09" w:rsidR="006F44C0" w:rsidRDefault="006F44C0" w:rsidP="00F25B67">
      <w:pPr>
        <w:pStyle w:val="Prrafodelista"/>
        <w:numPr>
          <w:ilvl w:val="0"/>
          <w:numId w:val="7"/>
        </w:numPr>
      </w:pPr>
      <w:r w:rsidRPr="003E7E0B">
        <w:t xml:space="preserve">Por último, el recurso de amparo contra las Resoluciones del Consejo Nacional de Objeción de Conciencia que denieguen la solicitud de declaración de objeción de conciencia. Previsto en el artículo 1.2 de la Ley Orgánica 8/1984, de 26 de diciembre, por el que se regula el Régimen de Recursos en caso de Objeción de Conciencia, su Régimen Penal y se deroga el artículo 45 de la Ley Orgánica 2/1979, de 3 de octubre, del Tribunal Constitucional. Este recurso se inserta dentro del recurso de amparo frente a actos del poder ejecutivo o de la Administración previsto en el artículo 43 de la LOTC. Sin embargo, </w:t>
      </w:r>
      <w:r w:rsidR="007B7556" w:rsidRPr="003E7E0B">
        <w:t>hoy es</w:t>
      </w:r>
      <w:r w:rsidRPr="003E7E0B">
        <w:t xml:space="preserve"> inoperante tras la suspensión del servicio militar obligatorio y, en paralelo, el sistema de prestación social sustitutoria.</w:t>
      </w:r>
    </w:p>
    <w:p w14:paraId="6634FDF0" w14:textId="77777777" w:rsidR="006F44C0" w:rsidRPr="007B1578" w:rsidRDefault="006F44C0" w:rsidP="00C72445">
      <w:pPr>
        <w:pStyle w:val="Ttulo4"/>
      </w:pPr>
      <w:bookmarkStart w:id="307" w:name="_Toc531862038"/>
      <w:bookmarkStart w:id="308" w:name="_Toc533020350"/>
      <w:bookmarkStart w:id="309" w:name="_Toc49423634"/>
      <w:bookmarkStart w:id="310" w:name="_Toc49866512"/>
      <w:r>
        <w:t>Plazos para la interposición de la demanda</w:t>
      </w:r>
      <w:bookmarkEnd w:id="307"/>
      <w:bookmarkEnd w:id="308"/>
      <w:bookmarkEnd w:id="309"/>
      <w:bookmarkEnd w:id="310"/>
    </w:p>
    <w:p w14:paraId="19FECD83" w14:textId="77777777" w:rsidR="006F44C0" w:rsidRPr="00C72445" w:rsidRDefault="006F44C0" w:rsidP="00C72445">
      <w:pPr>
        <w:pStyle w:val="texto"/>
        <w:ind w:firstLine="0"/>
        <w:rPr>
          <w:rFonts w:ascii="Times New Roman" w:hAnsi="Times New Roman"/>
        </w:rPr>
      </w:pPr>
      <w:r w:rsidRPr="00C72445">
        <w:rPr>
          <w:rFonts w:ascii="Times New Roman" w:hAnsi="Times New Roman"/>
        </w:rPr>
        <w:t>Respecto a los plazos, a los que ya hemos hecho alusión, éstos variarán dependiendo del tipo de recurso de amparo ante el que nos encontremos. Así, para la interposición del recurso de amparo parlamentario el plazo continúa siendo de tres meses desde que se produce la resolución firme. En el amparo contra actos del poder judicial, hemos mencionado que la LO 6/2007 ha reformado su plazo produciéndose un alargamiento de éste, que pasará de 20 a 30 días. En cuanto al plazo para la interposición del recurso contra actos de la Administración, éste no ha sido modificado, por lo que continúa siendo de 20 días desde que recaiga resolución firme en vía judicial.</w:t>
      </w:r>
    </w:p>
    <w:p w14:paraId="5F1ECE97" w14:textId="77777777" w:rsidR="006F44C0" w:rsidRPr="00C72445" w:rsidRDefault="006F44C0" w:rsidP="00C72445">
      <w:pPr>
        <w:pStyle w:val="texto"/>
        <w:ind w:firstLine="0"/>
        <w:rPr>
          <w:rFonts w:ascii="Times New Roman" w:hAnsi="Times New Roman"/>
        </w:rPr>
      </w:pPr>
      <w:r w:rsidRPr="00C72445">
        <w:rPr>
          <w:rFonts w:ascii="Times New Roman" w:hAnsi="Times New Roman"/>
        </w:rPr>
        <w:lastRenderedPageBreak/>
        <w:t>Respecto al cómputo de esto, atendiendo al propio TC “Los plazos se cuentan desde el día siguiente al de la notificación de la última resolución recaída en el proceso judicial previo hasta las quince horas del día siguiente al de su término. En el cómputo se excluyen los días inhábiles a efectos del recurso de amparo, como son los sábados, los festivos (conforme al calendario del municipio de Madrid por estar en él la sede del Tribunal Constitucional) y los del mes de agosto. Cuando el último día del plazo sea inhábil, se prorrogará hasta el siguiente día hábil”.</w:t>
      </w:r>
    </w:p>
    <w:p w14:paraId="3BE852F1" w14:textId="77777777" w:rsidR="006F44C0" w:rsidRPr="00C72445" w:rsidRDefault="006F44C0" w:rsidP="00C72445">
      <w:pPr>
        <w:pStyle w:val="texto"/>
        <w:ind w:firstLine="0"/>
        <w:rPr>
          <w:rFonts w:ascii="Times New Roman" w:hAnsi="Times New Roman"/>
        </w:rPr>
      </w:pPr>
      <w:r w:rsidRPr="00C72445">
        <w:rPr>
          <w:rFonts w:ascii="Times New Roman" w:hAnsi="Times New Roman"/>
        </w:rPr>
        <w:t>En todo caso, por aplicación del art. 135.1 LEC y expresa previsión del art. 85.2 LOTC, la presentación de los recursos de amparo es posible hasta las quince horas del día hábil siguiente al del vencimiento del plazo de interposición.</w:t>
      </w:r>
    </w:p>
    <w:p w14:paraId="5AC2CA74" w14:textId="1E38B48B" w:rsidR="006F44C0" w:rsidRPr="00C72445" w:rsidRDefault="006F44C0" w:rsidP="00C72445">
      <w:pPr>
        <w:pStyle w:val="texto"/>
        <w:ind w:firstLine="0"/>
        <w:rPr>
          <w:rFonts w:ascii="Times New Roman" w:hAnsi="Times New Roman"/>
        </w:rPr>
      </w:pPr>
      <w:r w:rsidRPr="00C72445">
        <w:rPr>
          <w:rFonts w:ascii="Times New Roman" w:hAnsi="Times New Roman"/>
        </w:rPr>
        <w:t xml:space="preserve">Desde nuestro punto de vista, habría sido conveniente una ampliación mayor del plazo de interposición del recurso en los </w:t>
      </w:r>
      <w:r w:rsidR="007B7556" w:rsidRPr="00C72445">
        <w:rPr>
          <w:rFonts w:ascii="Times New Roman" w:hAnsi="Times New Roman"/>
        </w:rPr>
        <w:t>tres supuestos</w:t>
      </w:r>
      <w:r w:rsidRPr="00C72445">
        <w:rPr>
          <w:rFonts w:ascii="Times New Roman" w:hAnsi="Times New Roman"/>
        </w:rPr>
        <w:t xml:space="preserve"> que recoge la LOTC, teniendo en cuanta la exigencia del nuevo requisito de la especial trascendencia constitucional y las complicaciones que conlleva su justificación. La ampliación en tan sólo 10 días para </w:t>
      </w:r>
      <w:r w:rsidR="007B7556" w:rsidRPr="00C72445">
        <w:rPr>
          <w:rFonts w:ascii="Times New Roman" w:hAnsi="Times New Roman"/>
        </w:rPr>
        <w:t>los casos</w:t>
      </w:r>
      <w:r w:rsidRPr="00C72445">
        <w:rPr>
          <w:rFonts w:ascii="Times New Roman" w:hAnsi="Times New Roman"/>
        </w:rPr>
        <w:t xml:space="preserve"> del artículo 44 resulta insuficiente a nuestro modo de ver, dadas las circunstancias actuales. Algunos autores, como FERNÁNDEZ FARRERES, la califican incluso de “raquítica”.</w:t>
      </w:r>
      <w:r w:rsidRPr="00C72445">
        <w:rPr>
          <w:rStyle w:val="Refdenotaalpie"/>
          <w:rFonts w:ascii="Times New Roman" w:hAnsi="Times New Roman"/>
          <w:vertAlign w:val="baseline"/>
        </w:rPr>
        <w:footnoteReference w:id="134"/>
      </w:r>
    </w:p>
    <w:p w14:paraId="7DDDBB59" w14:textId="77777777" w:rsidR="006F44C0" w:rsidRDefault="006F44C0" w:rsidP="006F44C0">
      <w:r>
        <w:t xml:space="preserve">Resulta muy sorprende, además, que no se modificara en este sentido el artículo 43.2 LOTC puesto que, desde la reforma, </w:t>
      </w:r>
      <w:r w:rsidRPr="00C00025">
        <w:t>cuando la violación del</w:t>
      </w:r>
      <w:r>
        <w:t xml:space="preserve"> derecho fundamental tiene </w:t>
      </w:r>
      <w:r w:rsidRPr="00C00025">
        <w:t>su origen inmediato y directo en un acto u omisión</w:t>
      </w:r>
      <w:r>
        <w:t xml:space="preserve"> </w:t>
      </w:r>
      <w:r w:rsidRPr="00C00025">
        <w:t xml:space="preserve">de un órgano judicial, el plazo para interponer el recurso de amparo </w:t>
      </w:r>
      <w:r>
        <w:t xml:space="preserve">es de 30 días atendiendo al art. 44.2 LOTC; sin embargo, </w:t>
      </w:r>
      <w:r w:rsidRPr="00C00025">
        <w:t>cuando la violación sea originada por</w:t>
      </w:r>
      <w:r>
        <w:t xml:space="preserve"> </w:t>
      </w:r>
      <w:r w:rsidRPr="00C00025">
        <w:t>disposiciones, actos jurídicos, omisiones o simple vía de hecho del Gobierno o</w:t>
      </w:r>
      <w:r>
        <w:t xml:space="preserve"> </w:t>
      </w:r>
      <w:r w:rsidRPr="00C00025">
        <w:t>de sus autoridades o funcionarios, o de los órganos ejecutivos colegiados de las</w:t>
      </w:r>
      <w:r>
        <w:t xml:space="preserve"> </w:t>
      </w:r>
      <w:r w:rsidRPr="00C00025">
        <w:t>Comunidades Autónomas o de sus autor</w:t>
      </w:r>
      <w:r>
        <w:t xml:space="preserve">idades o funcionarios o agentes </w:t>
      </w:r>
      <w:r w:rsidRPr="00C00025">
        <w:lastRenderedPageBreak/>
        <w:t>el plazo para interponer el recurso</w:t>
      </w:r>
      <w:r>
        <w:t xml:space="preserve"> es tan solo de 20 días atendiendo al art. 43.2 LOTC</w:t>
      </w:r>
      <w:r w:rsidRPr="00C00025">
        <w:t>.</w:t>
      </w:r>
      <w:r>
        <w:t xml:space="preserve"> En mi opinión, y en la de otros muchos autores, esto carece de sentido alguno.</w:t>
      </w:r>
      <w:r>
        <w:rPr>
          <w:rStyle w:val="Refdenotaalpie"/>
        </w:rPr>
        <w:footnoteReference w:id="135"/>
      </w:r>
    </w:p>
    <w:p w14:paraId="3E694529" w14:textId="77777777" w:rsidR="006F44C0" w:rsidRPr="00C72445" w:rsidRDefault="006F44C0" w:rsidP="006F44C0">
      <w:pPr>
        <w:pStyle w:val="texto"/>
        <w:ind w:firstLine="0"/>
        <w:rPr>
          <w:rFonts w:ascii="Times New Roman" w:hAnsi="Times New Roman"/>
        </w:rPr>
      </w:pPr>
      <w:r w:rsidRPr="00C72445">
        <w:rPr>
          <w:rFonts w:ascii="Times New Roman" w:hAnsi="Times New Roman"/>
        </w:rPr>
        <w:t>También ha sido objeto de modificación el artículo 85 de la LOTC, en relación con los días hábiles y el lugar de interposición de la demanda de amparo. En concreto, se ha modificado por completo el apartado 2 de este artículo y se ha añadido un apartado 3, antes inexistente.</w:t>
      </w:r>
      <w:r w:rsidRPr="00C72445">
        <w:rPr>
          <w:rStyle w:val="Refdenotaalpie"/>
          <w:rFonts w:ascii="Times New Roman" w:hAnsi="Times New Roman"/>
          <w:color w:val="000000" w:themeColor="text1"/>
        </w:rPr>
        <w:footnoteReference w:id="136"/>
      </w:r>
    </w:p>
    <w:p w14:paraId="678F0B3C" w14:textId="77777777" w:rsidR="006F44C0" w:rsidRPr="00C72445" w:rsidRDefault="006F44C0" w:rsidP="006F44C0">
      <w:pPr>
        <w:pStyle w:val="texto"/>
        <w:ind w:firstLine="0"/>
        <w:rPr>
          <w:rFonts w:ascii="Times New Roman" w:hAnsi="Times New Roman"/>
        </w:rPr>
      </w:pPr>
      <w:r w:rsidRPr="00C72445">
        <w:rPr>
          <w:rFonts w:ascii="Times New Roman" w:hAnsi="Times New Roman"/>
        </w:rPr>
        <w:t xml:space="preserve">Una cuestión que cabría plantearse respecto a la diferencia de los plazos de los arts. 43 y 44 LOTC introducida por la reforma de 2007, sería la de cuál de estos dos plazos debería aplicarse a los recursos de amparo mixtos en los que impugnamos a la vez actos de origen administrativos y actos de origen judicial. El TC se pronunció al respecto (ATC 172/2009 –FJ 3- ) optando por la opción más favorable de 30 días. Cabe destacar que esta opción sólo sería aplicable para los auténticos amparos mixtos, es decir, aquellos en los que se impugna el acto administrativo y el jurisdiccional por la existencia de dos lesiones autónomas imputables a cada uno de ellos independientemente. </w:t>
      </w:r>
      <w:r w:rsidRPr="00C72445">
        <w:rPr>
          <w:rStyle w:val="Refdenotaalpie"/>
          <w:rFonts w:ascii="Times New Roman" w:hAnsi="Times New Roman"/>
        </w:rPr>
        <w:footnoteReference w:id="137"/>
      </w:r>
    </w:p>
    <w:p w14:paraId="75AEF8BA" w14:textId="77777777" w:rsidR="006F44C0" w:rsidRPr="00C72445" w:rsidRDefault="006F44C0" w:rsidP="006F44C0">
      <w:pPr>
        <w:pStyle w:val="texto"/>
        <w:ind w:firstLine="0"/>
        <w:rPr>
          <w:rFonts w:ascii="Times New Roman" w:hAnsi="Times New Roman"/>
        </w:rPr>
      </w:pPr>
      <w:r w:rsidRPr="00C72445">
        <w:rPr>
          <w:rFonts w:ascii="Times New Roman" w:hAnsi="Times New Roman"/>
        </w:rPr>
        <w:t>Respecto al cómputo de los plazos procesales para interponer la demanda de amparo, podemos ver que los arts. 43 y 44 LOTC usan distintas expresiones para referirse a ellos. No obstante, el TC ha unificado los criterios de interpretación de ambos entendiendo que los plazos deben empezar a computarse al día siguiente de producirse la correspondiente notificación (ATC 204/1999 – FJ 2- ).</w:t>
      </w:r>
    </w:p>
    <w:p w14:paraId="5488E20B" w14:textId="77777777" w:rsidR="006F44C0" w:rsidRPr="00C72445" w:rsidRDefault="006F44C0" w:rsidP="006F44C0">
      <w:pPr>
        <w:pStyle w:val="texto"/>
        <w:ind w:firstLine="0"/>
        <w:rPr>
          <w:rFonts w:ascii="Times New Roman" w:hAnsi="Times New Roman"/>
        </w:rPr>
      </w:pPr>
      <w:r w:rsidRPr="00C72445">
        <w:rPr>
          <w:rFonts w:ascii="Times New Roman" w:hAnsi="Times New Roman"/>
        </w:rPr>
        <w:t xml:space="preserve">En cuanto al art. 42 LOTC, éste establece un plazo específico de tres meses para la impugnación de los actos parlamentarios lesivos de derechos fundamentales. Además, </w:t>
      </w:r>
      <w:r w:rsidRPr="00C72445">
        <w:rPr>
          <w:rFonts w:ascii="Times New Roman" w:hAnsi="Times New Roman"/>
        </w:rPr>
        <w:lastRenderedPageBreak/>
        <w:t>este precepto contiene un requisito muy importante para determinar el cómputo del plazo señalado. Éste determina que los actos lesivos de derechos fundamentales de origen parlamentario “</w:t>
      </w:r>
      <w:r w:rsidRPr="00C72445">
        <w:rPr>
          <w:rFonts w:ascii="Times New Roman" w:hAnsi="Times New Roman"/>
          <w:i/>
        </w:rPr>
        <w:t>podrán ser recurridos dentro del plazo de tres meses desde que, con arreglo a las normas internas de las Cámaras o Asambleas, sean firmes</w:t>
      </w:r>
      <w:r w:rsidRPr="00C72445">
        <w:rPr>
          <w:rFonts w:ascii="Times New Roman" w:hAnsi="Times New Roman"/>
        </w:rPr>
        <w:t xml:space="preserve">”. </w:t>
      </w:r>
      <w:proofErr w:type="gramStart"/>
      <w:r w:rsidRPr="00C72445">
        <w:rPr>
          <w:rFonts w:ascii="Times New Roman" w:hAnsi="Times New Roman"/>
        </w:rPr>
        <w:t>Vemos</w:t>
      </w:r>
      <w:proofErr w:type="gramEnd"/>
      <w:r w:rsidRPr="00C72445">
        <w:rPr>
          <w:rFonts w:ascii="Times New Roman" w:hAnsi="Times New Roman"/>
        </w:rPr>
        <w:t xml:space="preserve"> por tanto, que se exige la firmeza como requisito específico para poder recurrir en estos casos.</w:t>
      </w:r>
      <w:r w:rsidRPr="00C72445">
        <w:rPr>
          <w:rStyle w:val="Refdenotaalpie"/>
          <w:rFonts w:ascii="Times New Roman" w:hAnsi="Times New Roman"/>
        </w:rPr>
        <w:footnoteReference w:id="138"/>
      </w:r>
    </w:p>
    <w:p w14:paraId="22549E2F" w14:textId="77777777" w:rsidR="006F44C0" w:rsidRPr="00C72445" w:rsidRDefault="006F44C0" w:rsidP="006F44C0">
      <w:pPr>
        <w:pStyle w:val="texto"/>
        <w:ind w:firstLine="0"/>
        <w:rPr>
          <w:rFonts w:ascii="Times New Roman" w:hAnsi="Times New Roman"/>
        </w:rPr>
      </w:pPr>
      <w:r w:rsidRPr="00C72445">
        <w:rPr>
          <w:rFonts w:ascii="Times New Roman" w:hAnsi="Times New Roman"/>
        </w:rPr>
        <w:t xml:space="preserve">Señala PÉREZ TREMPS que </w:t>
      </w:r>
      <w:r w:rsidRPr="00C72445">
        <w:rPr>
          <w:rFonts w:ascii="Times New Roman" w:hAnsi="Times New Roman"/>
          <w:i/>
        </w:rPr>
        <w:t xml:space="preserve">“la firmeza de los actos parlamentarios viene determinada por la previsión en los correspondientes reglamentos de “recursos internos” o “solicitudes de reconsideración”. Al no existir una regla única ni tampoco un derecho “pre reglamentario” y general a dicha reconsideración (ATC 52/1994), el Tribunal deberá determinar en cada caso si el acto es firme a la vista del reglamento parlamentario u otra norma aplicable”. </w:t>
      </w:r>
      <w:r w:rsidRPr="00C72445">
        <w:rPr>
          <w:rFonts w:ascii="Times New Roman" w:hAnsi="Times New Roman"/>
        </w:rPr>
        <w:t xml:space="preserve"> </w:t>
      </w:r>
    </w:p>
    <w:p w14:paraId="234530EA" w14:textId="77777777" w:rsidR="006F44C0" w:rsidRDefault="006F44C0" w:rsidP="006F44C0">
      <w:r>
        <w:t xml:space="preserve">Cabe destacar también en este punto, a afectos ejemplificativos el </w:t>
      </w:r>
      <w:r w:rsidRPr="00F645A4">
        <w:t>AUTO 175/2009, de 1 de junio</w:t>
      </w:r>
      <w:r>
        <w:t>, por ser paradigmático para ver la doctrina que sigue nuestro TC a la hora de la aplicación de los plazos a los casos concretos.</w:t>
      </w:r>
    </w:p>
    <w:p w14:paraId="3072518F" w14:textId="77777777" w:rsidR="006F44C0" w:rsidRPr="00C84607" w:rsidRDefault="006F44C0" w:rsidP="006F44C0">
      <w:r w:rsidRPr="00C84607">
        <w:t xml:space="preserve">En este caso, el demandante de amparo había sido sometido, a raíz de una misma denuncia, a dos expedientes sancionadores con la consecuente imposición de dos multas. El demandante de interpuso recurso contencioso administrativo contra la segunda de las sanciones, alegando la vulneración del del principio </w:t>
      </w:r>
      <w:r w:rsidRPr="007B7556">
        <w:rPr>
          <w:i/>
        </w:rPr>
        <w:t xml:space="preserve">non bis in </w:t>
      </w:r>
      <w:proofErr w:type="spellStart"/>
      <w:r w:rsidRPr="007B7556">
        <w:rPr>
          <w:i/>
        </w:rPr>
        <w:t>idem</w:t>
      </w:r>
      <w:proofErr w:type="spellEnd"/>
      <w:r w:rsidRPr="00C84607">
        <w:t xml:space="preserve"> en materia sancionadora por los hechos acaecidos.</w:t>
      </w:r>
    </w:p>
    <w:p w14:paraId="2CAF988B" w14:textId="663ABC34" w:rsidR="006F44C0" w:rsidRDefault="006F44C0" w:rsidP="00C72445">
      <w:pPr>
        <w:spacing w:after="240"/>
      </w:pPr>
      <w:r w:rsidRPr="00C84607">
        <w:t xml:space="preserve">El Juzgado de lo Contencioso Administrativo, mediante Sentencia de fecha 16 de diciembre de 2008, desestimó dicho recurso y confirmando la sanción impuesta. Afirmó que, aunque la denuncia que motivadora de la incoación de ambos procedimientos sancionadores era la misma, las sanciones impuestas en cada expediente administrativo sancionador lo eran por hechos distintos. Se </w:t>
      </w:r>
      <w:r w:rsidR="007B7556" w:rsidRPr="00C84607">
        <w:t>rechazó,</w:t>
      </w:r>
      <w:r w:rsidRPr="00C84607">
        <w:t xml:space="preserve"> por tanto, la existencia de identidad de </w:t>
      </w:r>
      <w:r w:rsidR="007B7556" w:rsidRPr="00C84607">
        <w:t>hechos,</w:t>
      </w:r>
      <w:r w:rsidRPr="00C84607">
        <w:t xml:space="preserve"> así como la infracción del principio de bis in </w:t>
      </w:r>
      <w:proofErr w:type="spellStart"/>
      <w:r w:rsidRPr="00C84607">
        <w:t>idem</w:t>
      </w:r>
      <w:proofErr w:type="spellEnd"/>
      <w:r w:rsidRPr="00C84607">
        <w:t>.</w:t>
      </w:r>
    </w:p>
    <w:p w14:paraId="677BCBCF" w14:textId="77777777" w:rsidR="006F44C0" w:rsidRPr="00C84607" w:rsidRDefault="006F44C0" w:rsidP="00C72445">
      <w:pPr>
        <w:spacing w:after="240"/>
      </w:pPr>
      <w:r w:rsidRPr="00C84607">
        <w:t>Notificada la Sentencia el día 18 de diciembre de 2008, se promovió contra ella recurso de amparo.</w:t>
      </w:r>
      <w:r>
        <w:t xml:space="preserve"> </w:t>
      </w:r>
      <w:r w:rsidRPr="00C84607">
        <w:t xml:space="preserve">La demanda de amparo se fundó en una única queja, la vulneración del derecho fundamental al principio de legalidad en materia sancionadora (art. 25.1 CE), por infracción del principio non bis in </w:t>
      </w:r>
      <w:proofErr w:type="spellStart"/>
      <w:r w:rsidRPr="00C84607">
        <w:t>idem</w:t>
      </w:r>
      <w:proofErr w:type="spellEnd"/>
      <w:r w:rsidRPr="00C84607">
        <w:t xml:space="preserve">. Una vulneración que se imputó directamente a </w:t>
      </w:r>
      <w:r w:rsidRPr="00C84607">
        <w:lastRenderedPageBreak/>
        <w:t xml:space="preserve">la Sentencia impugnada, articulando el recurso de amparo por la vía del art. 44 LOTC. Sostuvo el recurrente, frente a lo afirmado por la resolución judicial, que los hechos tenían una existencia independiente de su calificación jurídica y que en el presente caso existía un único hecho, por el que había sido doblemente sancionado. </w:t>
      </w:r>
    </w:p>
    <w:p w14:paraId="1346B0B3" w14:textId="77777777" w:rsidR="006F44C0" w:rsidRDefault="006F44C0" w:rsidP="00C72445">
      <w:pPr>
        <w:spacing w:after="240"/>
      </w:pPr>
      <w:r w:rsidRPr="00C84607">
        <w:t>La cuestión que nos incumbe de este Auto es la decisión de admisión del recurso en base a su extemporaneidad o no, atendiendo al objeto del proceso constitucional, la vía de impugnación utilizada y el plazo disponible para la interposición de la demanda de amparo. Todo ello teniendo en cuenta el trato diferenciado que introdujo la reforma operada en la LOTC por la Ley 6/2007, de 24 de mayo en el régimen jurídico de los recursos de amparo en esta materia.</w:t>
      </w:r>
    </w:p>
    <w:p w14:paraId="19F5771B" w14:textId="77777777" w:rsidR="006F44C0" w:rsidRDefault="006F44C0" w:rsidP="00C72445">
      <w:pPr>
        <w:spacing w:after="240"/>
      </w:pPr>
      <w:r>
        <w:t xml:space="preserve">El TC afirmó, en primer lugar, que </w:t>
      </w:r>
      <w:r w:rsidRPr="004C573B">
        <w:t>el verdadero objeto de este proces</w:t>
      </w:r>
      <w:r>
        <w:t>o constitucional se circunscribía</w:t>
      </w:r>
      <w:r w:rsidRPr="004C573B">
        <w:t xml:space="preserve"> al acto administrativo que originariamente produjo la lesión. En efecto, la vulneración del principio non bis in </w:t>
      </w:r>
      <w:proofErr w:type="spellStart"/>
      <w:r w:rsidRPr="004C573B">
        <w:t>idem</w:t>
      </w:r>
      <w:proofErr w:type="spellEnd"/>
      <w:r w:rsidRPr="004C573B">
        <w:t xml:space="preserve"> en materia sancionadora, de haberse producido, tendría origen directo en la resolución sancionadora de la Administración, que el órgano judicial se limita a confirmar, por considerarla conforme a derecho.</w:t>
      </w:r>
      <w:r>
        <w:rPr>
          <w:rStyle w:val="Refdenotaalpie"/>
        </w:rPr>
        <w:footnoteReference w:id="139"/>
      </w:r>
    </w:p>
    <w:p w14:paraId="78E7037F" w14:textId="77777777" w:rsidR="006F44C0" w:rsidRDefault="006F44C0" w:rsidP="00C72445">
      <w:pPr>
        <w:spacing w:after="240"/>
      </w:pPr>
      <w:r w:rsidRPr="00E65259">
        <w:t>Por tanto, en este caso, atendiendo al TC no nos encontraríamos ni ante un amparo del art. 44 LOTC, ni ante un recurso de amparo que pueda ser calificado como mixto, con la consiguiente aplicación integrada de los arts. 43.2 y 44.2 LOTC y, en su caso, la aplicación del plazo de treinta días para la interposición del recurso de amparo ante el TC previsto en el segundo de los preceptos citados. El motivo radica en que, según el TC, no se imputa a la resolución judicial una vulneración autónoma de derecho fundamental alguno, sino que sólo se impugna en tanto que confirma las resoluciones administrativas. Por ello, el art. 43 LOTC sería la vía específica de impugnación que corresponde a este recurso de amparo.</w:t>
      </w:r>
    </w:p>
    <w:p w14:paraId="517E2449" w14:textId="77777777" w:rsidR="006F44C0" w:rsidRPr="009F754C" w:rsidRDefault="006F44C0" w:rsidP="00C72445">
      <w:pPr>
        <w:spacing w:after="240"/>
      </w:pPr>
      <w:r w:rsidRPr="009F754C">
        <w:lastRenderedPageBreak/>
        <w:t>Este auto presenta una especial relevancia debido a que establece un criterio decisivo en relación con la modificación operada mediante la LO 6/2007, en el régimen jurídico de los recursos de amparo en materia de los plazos de interposición de las demandas de amparo.</w:t>
      </w:r>
    </w:p>
    <w:p w14:paraId="6F42D5D0" w14:textId="77777777" w:rsidR="006F44C0" w:rsidRPr="009F754C" w:rsidRDefault="006F44C0" w:rsidP="00C72445">
      <w:pPr>
        <w:spacing w:after="240"/>
      </w:pPr>
      <w:r w:rsidRPr="009F754C">
        <w:t>Como ya hemos citado anteriormente, el plazo de amplió de 20 a 30 días para la interposición de los recursos que fuesen articulados por la vía del art. 44 LOTC, es decir, los formulados denunciando violaciones de derechos fundamentales con origen inmediato y directo en un acto u omisión de un órgano judicial. Como hemos visto, el legislador dejó vigente el plazo de veinte días para los recursos de amparo referidos a las violaciones originadas por una actuación administrativa (disposiciones, actos jurídicos, omisiones o simple vía de hecho del Gobierno o de sus autoridades o funcionarios, o de los órganos ejecutivos colegiados de las comunidades Autónomas o funcionarios o agentes) a las que se refiere el art. 43 LOTC.</w:t>
      </w:r>
    </w:p>
    <w:p w14:paraId="72118FD6" w14:textId="742192E0" w:rsidR="006F44C0" w:rsidRDefault="006F44C0" w:rsidP="00C72445">
      <w:pPr>
        <w:spacing w:after="240"/>
      </w:pPr>
      <w:r w:rsidRPr="009F754C">
        <w:t xml:space="preserve">Vemos, por </w:t>
      </w:r>
      <w:r w:rsidR="007B7556" w:rsidRPr="009F754C">
        <w:t>tanto,</w:t>
      </w:r>
      <w:r w:rsidRPr="009F754C">
        <w:t xml:space="preserve"> que la LOTC exige un tratamiento diferente y específico para cada supuesto atendiendo al origen de la lesión que pretenda ser reparada y al poder político al que se le impute la lesión del derecho fundamental, es decir, en base a cuál sea el objeto concreto del proceso constitucional de amparo. Sobre esta base, los criterios fija</w:t>
      </w:r>
      <w:r>
        <w:t>dos por el TC son determinantes.</w:t>
      </w:r>
      <w:r w:rsidRPr="009F754C">
        <w:rPr>
          <w:rStyle w:val="Refdenotaalpie"/>
        </w:rPr>
        <w:t xml:space="preserve"> </w:t>
      </w:r>
      <w:r>
        <w:rPr>
          <w:rStyle w:val="Refdenotaalpie"/>
        </w:rPr>
        <w:footnoteReference w:id="140"/>
      </w:r>
    </w:p>
    <w:p w14:paraId="26C7E793" w14:textId="77777777" w:rsidR="006F44C0" w:rsidRPr="007B1578" w:rsidRDefault="006F44C0" w:rsidP="00C72445">
      <w:pPr>
        <w:pStyle w:val="Ttulo4"/>
      </w:pPr>
      <w:bookmarkStart w:id="311" w:name="_Toc531862039"/>
      <w:bookmarkStart w:id="312" w:name="_Toc533020351"/>
      <w:bookmarkStart w:id="313" w:name="_Toc49423635"/>
      <w:bookmarkStart w:id="314" w:name="_Toc49866513"/>
      <w:r w:rsidRPr="007B1578">
        <w:lastRenderedPageBreak/>
        <w:t>Legitimación y partes en el proceso</w:t>
      </w:r>
      <w:bookmarkEnd w:id="311"/>
      <w:bookmarkEnd w:id="312"/>
      <w:bookmarkEnd w:id="313"/>
      <w:bookmarkEnd w:id="314"/>
    </w:p>
    <w:p w14:paraId="5E0BBC5B" w14:textId="77777777" w:rsidR="006F44C0" w:rsidRPr="00C72445" w:rsidRDefault="006F44C0" w:rsidP="006F44C0">
      <w:pPr>
        <w:pStyle w:val="texto"/>
        <w:ind w:firstLine="0"/>
        <w:rPr>
          <w:rFonts w:ascii="Times New Roman" w:hAnsi="Times New Roman"/>
        </w:rPr>
      </w:pPr>
      <w:r w:rsidRPr="00C72445">
        <w:rPr>
          <w:rFonts w:ascii="Times New Roman" w:hAnsi="Times New Roman"/>
        </w:rPr>
        <w:t xml:space="preserve">La Constitución dispone en su art. 162.1 b) que está legitimada para interponer el recurso de amparo </w:t>
      </w:r>
      <w:r w:rsidRPr="00C72445">
        <w:rPr>
          <w:rFonts w:ascii="Times New Roman" w:hAnsi="Times New Roman"/>
          <w:i/>
        </w:rPr>
        <w:t>“toda persona natural o jurídica que invoque un interés legítimo, así como el Defensor del Pueblo y el Ministerio Fiscal”</w:t>
      </w:r>
      <w:r w:rsidRPr="00C72445">
        <w:rPr>
          <w:rFonts w:ascii="Times New Roman" w:hAnsi="Times New Roman"/>
        </w:rPr>
        <w:t>.</w:t>
      </w:r>
    </w:p>
    <w:p w14:paraId="0345D39E" w14:textId="77777777" w:rsidR="006F44C0" w:rsidRPr="00C72445" w:rsidRDefault="006F44C0" w:rsidP="006F44C0">
      <w:pPr>
        <w:pStyle w:val="texto"/>
        <w:ind w:firstLine="0"/>
        <w:rPr>
          <w:rFonts w:ascii="Times New Roman" w:hAnsi="Times New Roman"/>
        </w:rPr>
      </w:pPr>
      <w:r w:rsidRPr="00C72445">
        <w:rPr>
          <w:rFonts w:ascii="Times New Roman" w:hAnsi="Times New Roman"/>
        </w:rPr>
        <w:t>A su vez, la Constitución se complementa con el art. 46.1 LOTC, el cual establece una distinción para la legitimación dependiendo del tipo de recurso de amparo que presentemos. En los casos de los artículos cuarenta y dos y cuarenta y cinco estarán legitimados para interponer el recurso de amparo constitucional la persona directamente afectada, el Defensor del Pueblo y el Ministerio Fiscal. Para los casos de los artículos cuarenta y tres y cuarenta y cuatro, lo estarán quienes hayan sido parte en el proceso judicial correspondiente, el Defensor del Pueblo y el Ministerio Fiscal.</w:t>
      </w:r>
    </w:p>
    <w:p w14:paraId="28D3FEBC" w14:textId="77777777" w:rsidR="006F44C0" w:rsidRPr="00C72445" w:rsidRDefault="006F44C0" w:rsidP="006F44C0">
      <w:pPr>
        <w:pStyle w:val="texto"/>
        <w:ind w:firstLine="0"/>
        <w:rPr>
          <w:rFonts w:ascii="Times New Roman" w:hAnsi="Times New Roman"/>
        </w:rPr>
      </w:pPr>
      <w:r w:rsidRPr="00C72445">
        <w:rPr>
          <w:rFonts w:ascii="Times New Roman" w:hAnsi="Times New Roman"/>
        </w:rPr>
        <w:t>Complementando esto, el art. 47, referente a la intervención procesal en el recurso de amparo, dispone que pueden comparecer en el proceso de amparo constitucional, con el carácter de demandado o con el de coadyuvante, las personas favorecidas por la decisión, acto o hecho en razón del cual se formule el recurso o que ostenten un interés legítimo en el mismo.</w:t>
      </w:r>
    </w:p>
    <w:p w14:paraId="67E03DD3" w14:textId="77777777" w:rsidR="006F44C0" w:rsidRPr="00C72445" w:rsidRDefault="006F44C0" w:rsidP="006F44C0">
      <w:pPr>
        <w:pStyle w:val="texto"/>
        <w:ind w:firstLine="0"/>
        <w:rPr>
          <w:rFonts w:ascii="Times New Roman" w:hAnsi="Times New Roman"/>
        </w:rPr>
      </w:pPr>
      <w:r w:rsidRPr="00C72445">
        <w:rPr>
          <w:rFonts w:ascii="Times New Roman" w:hAnsi="Times New Roman"/>
        </w:rPr>
        <w:t>La LO 6/2007 no ha modificado la regulación sobre la legitimación y las partes en el proceso. Mencionamos en el anterior capítulo del presente trabajo que, entre las soluciones que propusieron para solventar la situación de sobrecarga de trabajo del Tribunal, se propuso la de restringir la legitimación para interponer el recurso.  Por tanto, el legislador ha excluido de la reforma tal posibilidad.</w:t>
      </w:r>
    </w:p>
    <w:p w14:paraId="20B0BC18" w14:textId="36079216" w:rsidR="006F44C0" w:rsidRPr="00C72445" w:rsidRDefault="006F44C0" w:rsidP="006F44C0">
      <w:pPr>
        <w:pStyle w:val="texto"/>
        <w:ind w:firstLine="0"/>
        <w:rPr>
          <w:rFonts w:ascii="Times New Roman" w:hAnsi="Times New Roman"/>
        </w:rPr>
      </w:pPr>
      <w:r w:rsidRPr="00C72445">
        <w:rPr>
          <w:rFonts w:ascii="Times New Roman" w:hAnsi="Times New Roman"/>
        </w:rPr>
        <w:t xml:space="preserve">Respecto a la legitimación activa, el TC ha declarado que ésta se sustenta fundamentalmente </w:t>
      </w:r>
      <w:r w:rsidRPr="00C72445">
        <w:rPr>
          <w:rFonts w:ascii="Times New Roman" w:hAnsi="Times New Roman"/>
          <w:i/>
        </w:rPr>
        <w:t xml:space="preserve">“en la posesión de un interés legítimo, categoría más amplia que la del derecho subjetivo y la de interés directo y, por tanto, la legitimación se concede a toda persona cuyo círculo jurídico pueda resultar afectado por la violación de un derecho </w:t>
      </w:r>
      <w:r w:rsidR="007B7556" w:rsidRPr="00C72445">
        <w:rPr>
          <w:rFonts w:ascii="Times New Roman" w:hAnsi="Times New Roman"/>
          <w:i/>
        </w:rPr>
        <w:t>fundamental,</w:t>
      </w:r>
      <w:r w:rsidRPr="00C72445">
        <w:rPr>
          <w:rFonts w:ascii="Times New Roman" w:hAnsi="Times New Roman"/>
          <w:i/>
        </w:rPr>
        <w:t xml:space="preserve"> aunque la violación no se haya producido directamente en su contra”</w:t>
      </w:r>
      <w:r w:rsidRPr="00C72445">
        <w:rPr>
          <w:rFonts w:ascii="Times New Roman" w:hAnsi="Times New Roman"/>
        </w:rPr>
        <w:t xml:space="preserve"> (STC 58/2000 de 28 de febrero y 53/2008, de 14 de abril).</w:t>
      </w:r>
    </w:p>
    <w:p w14:paraId="372CA289" w14:textId="77777777" w:rsidR="006F44C0" w:rsidRPr="00C72445" w:rsidRDefault="006F44C0" w:rsidP="006F44C0">
      <w:pPr>
        <w:pStyle w:val="texto"/>
        <w:ind w:firstLine="0"/>
        <w:rPr>
          <w:rFonts w:ascii="Times New Roman" w:hAnsi="Times New Roman"/>
        </w:rPr>
      </w:pPr>
      <w:r w:rsidRPr="00C72445">
        <w:rPr>
          <w:rFonts w:ascii="Times New Roman" w:hAnsi="Times New Roman"/>
        </w:rPr>
        <w:t xml:space="preserve">Vemos, por tanto, que este "interés legítimo" ha sido interpretado por el TC de una modo muy amplio y flexible, englobando no sólo a los titulares de los derechos fundamentales </w:t>
      </w:r>
      <w:r w:rsidRPr="00C72445">
        <w:rPr>
          <w:rFonts w:ascii="Times New Roman" w:hAnsi="Times New Roman"/>
        </w:rPr>
        <w:lastRenderedPageBreak/>
        <w:t>presuntamente vulnerados, sino también a aquellos que tienen un interés jurídicamente protegible en la preservación de los derechos y libertades de otras personas, dada su relación con tales derechos o con sus titulares.</w:t>
      </w:r>
    </w:p>
    <w:p w14:paraId="466435FD" w14:textId="77777777" w:rsidR="006F44C0" w:rsidRPr="00C72445" w:rsidRDefault="006F44C0" w:rsidP="006F44C0">
      <w:pPr>
        <w:pStyle w:val="texto"/>
        <w:ind w:firstLine="0"/>
        <w:rPr>
          <w:rFonts w:ascii="Times New Roman" w:hAnsi="Times New Roman"/>
        </w:rPr>
      </w:pPr>
      <w:r w:rsidRPr="00C72445">
        <w:rPr>
          <w:rFonts w:ascii="Times New Roman" w:hAnsi="Times New Roman"/>
        </w:rPr>
        <w:t>Por otra parte, hemos visto que el art. 162.1 b) CE hace referencia a que "toda persona natural o jurídica" está legitimada para presentar el recurso de amparo.  Este hecho ha supuesto muchas cuestiones al respecto, sobre todo respecto a las personas jurídicas. Según el TC, todo dependerá de la posibilidad de éstas de ser titulares de derechos fundamentales ya que sólo si pueden ostentar esta titularidad o, en su caso, demostrar un interés legítimo en el caso en cuestión, podremos considerarlas legitimadas para ello.</w:t>
      </w:r>
    </w:p>
    <w:p w14:paraId="0D780B0C" w14:textId="06EEF3EB" w:rsidR="006F44C0" w:rsidRPr="00C72445" w:rsidRDefault="006F44C0" w:rsidP="006F44C0">
      <w:pPr>
        <w:pStyle w:val="texto"/>
        <w:ind w:firstLine="0"/>
        <w:rPr>
          <w:rFonts w:ascii="Times New Roman" w:hAnsi="Times New Roman"/>
        </w:rPr>
      </w:pPr>
      <w:r w:rsidRPr="00C72445">
        <w:rPr>
          <w:rFonts w:ascii="Times New Roman" w:hAnsi="Times New Roman"/>
        </w:rPr>
        <w:t xml:space="preserve">Concretamente el Alto Tribunal dispuso lo siguiente en la STC 139/1995: </w:t>
      </w:r>
      <w:r w:rsidRPr="00C72445">
        <w:rPr>
          <w:rFonts w:ascii="Times New Roman" w:hAnsi="Times New Roman"/>
          <w:i/>
        </w:rPr>
        <w:t xml:space="preserve">"Desde un punto de vista constitucional, existe un reconocimiento, en ocasiones expreso y en ocasiones implícito, de la titularidad de las personas jurídicas a determinados derechos fundamentales". </w:t>
      </w:r>
      <w:r w:rsidRPr="00C72445">
        <w:rPr>
          <w:rFonts w:ascii="Times New Roman" w:hAnsi="Times New Roman"/>
        </w:rPr>
        <w:t xml:space="preserve">Por tanto, debemos atender a la naturaleza del propio derecho </w:t>
      </w:r>
      <w:r w:rsidR="007B7556" w:rsidRPr="00C72445">
        <w:rPr>
          <w:rFonts w:ascii="Times New Roman" w:hAnsi="Times New Roman"/>
        </w:rPr>
        <w:t>fundamental para</w:t>
      </w:r>
      <w:r w:rsidRPr="00C72445">
        <w:rPr>
          <w:rFonts w:ascii="Times New Roman" w:hAnsi="Times New Roman"/>
        </w:rPr>
        <w:t xml:space="preserve"> ver si éste permite esa titularidad o no.</w:t>
      </w:r>
    </w:p>
    <w:p w14:paraId="514C808F" w14:textId="3B769F6B" w:rsidR="006F44C0" w:rsidRPr="00C72445" w:rsidRDefault="006F44C0" w:rsidP="006F44C0">
      <w:pPr>
        <w:pStyle w:val="texto"/>
        <w:ind w:firstLine="0"/>
        <w:rPr>
          <w:rFonts w:ascii="Times New Roman" w:hAnsi="Times New Roman"/>
          <w:i/>
        </w:rPr>
      </w:pPr>
      <w:r w:rsidRPr="00C72445">
        <w:rPr>
          <w:rFonts w:ascii="Times New Roman" w:hAnsi="Times New Roman"/>
        </w:rPr>
        <w:t>Sin embargo, la doctrina general del TC ha venido negando por regla general la legitimación activa de las personas jurídico-públicas respecto de derechos fundamentales de carácter «</w:t>
      </w:r>
      <w:r w:rsidR="007B7556" w:rsidRPr="00C72445">
        <w:rPr>
          <w:rFonts w:ascii="Times New Roman" w:hAnsi="Times New Roman"/>
        </w:rPr>
        <w:t>sustantivo» (</w:t>
      </w:r>
      <w:r w:rsidRPr="00C72445">
        <w:rPr>
          <w:rFonts w:ascii="Times New Roman" w:hAnsi="Times New Roman"/>
        </w:rPr>
        <w:t xml:space="preserve">ATC 193/2010, de 1 de diciembre, FJ 2º). Asimismo, ha circunscrito  la titularidad de derechos fundamentales de las personas jurídico-públicas y, a su vez, la legitimación para recurrir en amparo a supuestos de violación del derecho a la tutela judicial efectiva (art. 24.1 CE), cuando aquéllas se encuentran en una posición análoga a la de un particular (STC 175/2001, de 26 de julio, FJ 8.º), </w:t>
      </w:r>
      <w:r w:rsidRPr="00C72445">
        <w:rPr>
          <w:rFonts w:ascii="Times New Roman" w:hAnsi="Times New Roman"/>
          <w:i/>
        </w:rPr>
        <w:t>“careciendo de privilegios o prerrogativas procesales, pero no cuando —especialmente en una jurisdicción revisora de la actividad administrativa, como la contencioso-administrativa—, el amparo trata de hacer valer lo decidido inicialmente por la Administración (STC 205/1990, de 17 de mayo, FJ 3.º, 175/2001, de 26 de julio, FJ 7.º)”.</w:t>
      </w:r>
      <w:r w:rsidRPr="00C72445">
        <w:rPr>
          <w:rStyle w:val="Refdenotaalpie"/>
          <w:rFonts w:ascii="Times New Roman" w:hAnsi="Times New Roman"/>
          <w:i/>
        </w:rPr>
        <w:footnoteReference w:id="141"/>
      </w:r>
    </w:p>
    <w:p w14:paraId="7EECC670" w14:textId="1D07BAE3" w:rsidR="006F44C0" w:rsidRPr="00C72445" w:rsidRDefault="007B7556" w:rsidP="006F44C0">
      <w:pPr>
        <w:pStyle w:val="texto"/>
        <w:ind w:firstLine="0"/>
        <w:rPr>
          <w:rFonts w:ascii="Times New Roman" w:hAnsi="Times New Roman"/>
          <w:i/>
        </w:rPr>
      </w:pPr>
      <w:r w:rsidRPr="00C72445">
        <w:rPr>
          <w:rFonts w:ascii="Times New Roman" w:hAnsi="Times New Roman"/>
        </w:rPr>
        <w:t>Vemos,</w:t>
      </w:r>
      <w:r w:rsidR="006F44C0" w:rsidRPr="00C72445">
        <w:rPr>
          <w:rFonts w:ascii="Times New Roman" w:hAnsi="Times New Roman"/>
        </w:rPr>
        <w:t xml:space="preserve"> además, que el art. 46 atribuye legitimación activa a dos instituciones, el Defensor del Pueblo y el Ministerio Fiscal. El precepto se limita a establecer dos reglas: Por una </w:t>
      </w:r>
      <w:r w:rsidR="006F44C0" w:rsidRPr="00C72445">
        <w:rPr>
          <w:rFonts w:ascii="Times New Roman" w:hAnsi="Times New Roman"/>
        </w:rPr>
        <w:lastRenderedPageBreak/>
        <w:t xml:space="preserve">parte, si una de estas dos instituciones es la que promueve el amparo, el Tribunal debe comunicarlo a los posibles agraviados que sean conocidos y la publicación de la interposición en el Boletín Oficial del Estado. Por su parte, el apartado 2 del art. 47 establece que </w:t>
      </w:r>
      <w:r w:rsidR="006F44C0" w:rsidRPr="00C72445">
        <w:rPr>
          <w:rFonts w:ascii="Times New Roman" w:hAnsi="Times New Roman"/>
          <w:i/>
        </w:rPr>
        <w:t>“El Ministerio Fiscal intervendrá en todos los procesos de amparo, en defensa de la legalidad, de los derechos de los ciudadanos y del interés público tutelado por la Ley”.</w:t>
      </w:r>
    </w:p>
    <w:p w14:paraId="0E001A72" w14:textId="2F8ABAE2" w:rsidR="006F44C0" w:rsidRPr="0076790F" w:rsidRDefault="00756616" w:rsidP="00C72445">
      <w:pPr>
        <w:pStyle w:val="Ttulo3"/>
      </w:pPr>
      <w:bookmarkStart w:id="315" w:name="_Toc531862040"/>
      <w:bookmarkStart w:id="316" w:name="_Toc533020352"/>
      <w:bookmarkStart w:id="317" w:name="_Toc49423636"/>
      <w:bookmarkStart w:id="318" w:name="_Toc49708584"/>
      <w:bookmarkStart w:id="319" w:name="_Toc49790271"/>
      <w:bookmarkStart w:id="320" w:name="_Toc49866514"/>
      <w:bookmarkStart w:id="321" w:name="_Toc50373161"/>
      <w:r>
        <w:t>T</w:t>
      </w:r>
      <w:r w:rsidRPr="0076790F">
        <w:t>ramitación de los recursos de amparo</w:t>
      </w:r>
      <w:bookmarkEnd w:id="315"/>
      <w:bookmarkEnd w:id="316"/>
      <w:bookmarkEnd w:id="317"/>
      <w:bookmarkEnd w:id="318"/>
      <w:bookmarkEnd w:id="319"/>
      <w:bookmarkEnd w:id="320"/>
      <w:bookmarkEnd w:id="321"/>
      <w:r w:rsidRPr="0076790F">
        <w:t xml:space="preserve"> </w:t>
      </w:r>
    </w:p>
    <w:p w14:paraId="35034EE6" w14:textId="77777777" w:rsidR="006F44C0" w:rsidRPr="007B1578" w:rsidRDefault="006F44C0" w:rsidP="001A4310">
      <w:pPr>
        <w:pStyle w:val="Ttulo4"/>
        <w:numPr>
          <w:ilvl w:val="0"/>
          <w:numId w:val="48"/>
        </w:numPr>
      </w:pPr>
      <w:bookmarkStart w:id="322" w:name="_Toc531862041"/>
      <w:bookmarkStart w:id="323" w:name="_Toc533020353"/>
      <w:bookmarkStart w:id="324" w:name="_Toc49423637"/>
      <w:bookmarkStart w:id="325" w:name="_Toc49866515"/>
      <w:r w:rsidRPr="007B1578">
        <w:t xml:space="preserve">El conocimiento </w:t>
      </w:r>
      <w:r>
        <w:t>la resolución del recurso</w:t>
      </w:r>
      <w:r w:rsidRPr="007B1578">
        <w:t xml:space="preserve"> por parte de las Secciones</w:t>
      </w:r>
      <w:bookmarkEnd w:id="322"/>
      <w:bookmarkEnd w:id="323"/>
      <w:bookmarkEnd w:id="324"/>
      <w:bookmarkEnd w:id="325"/>
    </w:p>
    <w:p w14:paraId="5AF68BF8"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Junto a la reconfiguración del trámite de admisión, la reforma, en búsqueda de facilitar la resolución de los recursos de amparo se complementa con la posibilidad de que, en el caso de que éstos sean admitidos y deban ser resueltos por una sentencia, ésta pueda ser dictada por las Secciones y no sólo, como hasta ahora venía sucediendo, por las Salas de nuestro TC. Atendiendo a la nueva redacción dada al artículo 8.3 LOTC, </w:t>
      </w:r>
      <w:r w:rsidRPr="00C72445">
        <w:rPr>
          <w:rFonts w:ascii="Times New Roman" w:hAnsi="Times New Roman"/>
          <w:i/>
          <w:color w:val="000000" w:themeColor="text1"/>
        </w:rPr>
        <w:t>“podrá corresponder también a las Secciones el conocimiento y resolución de aquellos asuntos de amparo que la Sala correspondiente les defiera en los términos previstos en esta Ley”</w:t>
      </w:r>
      <w:r w:rsidRPr="00C72445">
        <w:rPr>
          <w:rFonts w:ascii="Times New Roman" w:hAnsi="Times New Roman"/>
          <w:color w:val="000000" w:themeColor="text1"/>
        </w:rPr>
        <w:t>.</w:t>
      </w:r>
    </w:p>
    <w:p w14:paraId="3F648EB2" w14:textId="77777777" w:rsidR="006F44C0" w:rsidRPr="00C72445" w:rsidRDefault="006F44C0" w:rsidP="006F44C0">
      <w:pPr>
        <w:pStyle w:val="texto"/>
        <w:ind w:firstLine="0"/>
        <w:rPr>
          <w:rFonts w:ascii="Times New Roman" w:hAnsi="Times New Roman"/>
          <w:i/>
          <w:color w:val="000000" w:themeColor="text1"/>
        </w:rPr>
      </w:pPr>
      <w:r w:rsidRPr="00C72445">
        <w:rPr>
          <w:rFonts w:ascii="Times New Roman" w:hAnsi="Times New Roman"/>
          <w:color w:val="000000" w:themeColor="text1"/>
        </w:rPr>
        <w:t xml:space="preserve">El artículo 48, por su parte, dispone que </w:t>
      </w:r>
      <w:r w:rsidRPr="00C72445">
        <w:rPr>
          <w:rFonts w:ascii="Times New Roman" w:hAnsi="Times New Roman"/>
          <w:i/>
          <w:color w:val="000000" w:themeColor="text1"/>
        </w:rPr>
        <w:t>“El conocimiento de los recursos de amparo constitucional corresponde a las Salas del Tribunal Constitucional y, en su caso, a las Secciones”.</w:t>
      </w:r>
    </w:p>
    <w:p w14:paraId="0FC32832"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La competencia por parte de las Secciones, por tanto, estará condicionada por la determinación de las Salas. La LO 6/2007 indica que la Sala podrá deferir la resolución del recurso, cuando para su resolución sea aplicable doctrina consolidada del Tribunal Constitucional, a una de sus Secciones (artículo 52.2 LOTC).</w:t>
      </w:r>
    </w:p>
    <w:p w14:paraId="4CE9BE5C"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Las Secciones, cada una integradas por tres magistrados, deberán acordar mediante providencia la admisión por unanimidad de sus miembros (art. 50.1 LOTC). Si tan solo se alcanzara una mayoría, la decisión debe elevarse a la Sala respectiva, para que ésta resuelva en consecuencia (art. 50.2 LOTC).</w:t>
      </w:r>
    </w:p>
    <w:p w14:paraId="3E38B21A" w14:textId="2AED0E09"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En caso de inadmisión, la providencia adoptada por las Secciones o, en su caso, por las Salas, deben </w:t>
      </w:r>
      <w:r w:rsidR="007B7556" w:rsidRPr="00C72445">
        <w:rPr>
          <w:rFonts w:ascii="Times New Roman" w:hAnsi="Times New Roman"/>
          <w:color w:val="000000" w:themeColor="text1"/>
        </w:rPr>
        <w:t>especificar el</w:t>
      </w:r>
      <w:r w:rsidRPr="00C72445">
        <w:rPr>
          <w:rFonts w:ascii="Times New Roman" w:hAnsi="Times New Roman"/>
          <w:color w:val="000000" w:themeColor="text1"/>
        </w:rPr>
        <w:t xml:space="preserve"> requisito incumplido y se notificar al demandante y al </w:t>
      </w:r>
      <w:r w:rsidRPr="00C72445">
        <w:rPr>
          <w:rFonts w:ascii="Times New Roman" w:hAnsi="Times New Roman"/>
          <w:color w:val="000000" w:themeColor="text1"/>
        </w:rPr>
        <w:lastRenderedPageBreak/>
        <w:t>Ministerio Fiscal. Dichas providencias solamente podrán ser recurridas en súplica por el Ministerio Fiscal en el plazo de tres días. Este recurso se resolverá mediante auto, que no será susceptible de impugnación alguna (art. 50.3 LOTC.</w:t>
      </w:r>
    </w:p>
    <w:p w14:paraId="201571C1"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Además, según la nueva redacción del artículo 55.2 LOTC, ahora también están habilitadas para plantear cuestiones internas de inconstitucionalidad al Pleno, pero sobre esto trataremos más adelante.</w:t>
      </w:r>
    </w:p>
    <w:p w14:paraId="71B9B893" w14:textId="43403948"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Con </w:t>
      </w:r>
      <w:r w:rsidR="007B7556" w:rsidRPr="00C72445">
        <w:rPr>
          <w:rFonts w:ascii="Times New Roman" w:hAnsi="Times New Roman"/>
          <w:color w:val="000000" w:themeColor="text1"/>
        </w:rPr>
        <w:t>esta nueva</w:t>
      </w:r>
      <w:r w:rsidRPr="00C72445">
        <w:rPr>
          <w:rFonts w:ascii="Times New Roman" w:hAnsi="Times New Roman"/>
          <w:color w:val="000000" w:themeColor="text1"/>
        </w:rPr>
        <w:t xml:space="preserve"> “delegación” de competencias podemos ver que la intención del Tribunal no es otra que la de aminorar su sobrecarga de trabajo, objetivo que ya dijimos que persigue esta reforma. Por </w:t>
      </w:r>
      <w:proofErr w:type="gramStart"/>
      <w:r w:rsidRPr="00C72445">
        <w:rPr>
          <w:rFonts w:ascii="Times New Roman" w:hAnsi="Times New Roman"/>
          <w:color w:val="000000" w:themeColor="text1"/>
        </w:rPr>
        <w:t>tanto</w:t>
      </w:r>
      <w:proofErr w:type="gramEnd"/>
      <w:r w:rsidRPr="00C72445">
        <w:rPr>
          <w:rFonts w:ascii="Times New Roman" w:hAnsi="Times New Roman"/>
          <w:color w:val="000000" w:themeColor="text1"/>
        </w:rPr>
        <w:t xml:space="preserve"> con esta descentralización del régimen de organización interna del Tribunal se agilizaría el ritmo de trabajo.</w:t>
      </w:r>
      <w:r w:rsidRPr="00C72445">
        <w:rPr>
          <w:rStyle w:val="Refdenotaalpie"/>
          <w:rFonts w:ascii="Times New Roman" w:hAnsi="Times New Roman"/>
          <w:color w:val="000000" w:themeColor="text1"/>
        </w:rPr>
        <w:footnoteReference w:id="142"/>
      </w:r>
      <w:r w:rsidRPr="00C72445">
        <w:rPr>
          <w:rFonts w:ascii="Times New Roman" w:hAnsi="Times New Roman"/>
          <w:color w:val="000000" w:themeColor="text1"/>
        </w:rPr>
        <w:t xml:space="preserve"> </w:t>
      </w:r>
      <w:r w:rsidRPr="00C72445">
        <w:rPr>
          <w:rFonts w:ascii="Times New Roman" w:hAnsi="Times New Roman"/>
        </w:rPr>
        <w:t xml:space="preserve"> Sin embargo, se trata de una medida discutible por diversas razones.</w:t>
      </w:r>
    </w:p>
    <w:p w14:paraId="7CEAD9D5" w14:textId="77777777" w:rsidR="006F44C0" w:rsidRPr="00354F0B" w:rsidRDefault="006F44C0" w:rsidP="006F44C0">
      <w:r>
        <w:t xml:space="preserve">Por una </w:t>
      </w:r>
      <w:r w:rsidRPr="00354F0B">
        <w:t xml:space="preserve">parte, llama enormemente la atención el hecho de que la viabilidad del recurso dependa de que presente «especial trascendencia constitucional» y que, sin embargo, se abra la posibilidad de que la resolución del mismo se delegue a las Secciones. </w:t>
      </w:r>
      <w:r>
        <w:rPr>
          <w:rStyle w:val="Refdenotaalpie"/>
        </w:rPr>
        <w:footnoteReference w:id="143"/>
      </w:r>
    </w:p>
    <w:p w14:paraId="58B3B916" w14:textId="77777777" w:rsidR="006F44C0" w:rsidRPr="007218E4" w:rsidRDefault="006F44C0" w:rsidP="006F44C0">
      <w:r w:rsidRPr="007218E4">
        <w:t xml:space="preserve">Por otro lado, como ya hemos dicho, la posibilidad de que las Secciones dicten sentencias de amparo se condiciona a que para su resolución sea aplicable doctrina consolidada del Tribunal Constitucional. Pero en nuestra opinión, esto no es suficiente. Teniendo en cuenta que el criterio establecido para la admisión del recurso por razón de su especial trascendencia constitucional está ligado a la importancia del asunto “para la interpretación de la Constitución, para su aplicación o para su general eficacia, y para la determinación del contenido y alcance de los derechos fundamentales”, no es probable que un asunto sobre el que exista ya doctrina consolidada de nuestro TC sea considerado por este como un caso que presente especial trascendencia constitucional, más aún si tenemos en cuenta la tendencia </w:t>
      </w:r>
      <w:proofErr w:type="spellStart"/>
      <w:r w:rsidRPr="007218E4">
        <w:t>objetivizadora</w:t>
      </w:r>
      <w:proofErr w:type="spellEnd"/>
      <w:r w:rsidRPr="007218E4">
        <w:t xml:space="preserve"> del TC de la que ahora hablaremos.</w:t>
      </w:r>
    </w:p>
    <w:p w14:paraId="01D072D0" w14:textId="77777777" w:rsidR="006F44C0" w:rsidRDefault="006F44C0" w:rsidP="006F44C0">
      <w:r w:rsidRPr="00354F0B">
        <w:t>En conclusión, esta medida solo parece ir encaminada a paliar te</w:t>
      </w:r>
      <w:r>
        <w:t>mporalmente la pendencia de asuntos en el TC.</w:t>
      </w:r>
    </w:p>
    <w:p w14:paraId="34D145AB" w14:textId="77777777" w:rsidR="006F44C0" w:rsidRDefault="006F44C0" w:rsidP="00C72445">
      <w:pPr>
        <w:pStyle w:val="Ttulo4"/>
      </w:pPr>
      <w:bookmarkStart w:id="326" w:name="_Toc531862042"/>
      <w:bookmarkStart w:id="327" w:name="_Toc533020354"/>
      <w:bookmarkStart w:id="328" w:name="_Toc49423638"/>
      <w:bookmarkStart w:id="329" w:name="_Toc49866516"/>
      <w:r w:rsidRPr="007B1578">
        <w:lastRenderedPageBreak/>
        <w:t>La demanda de amparo</w:t>
      </w:r>
      <w:bookmarkEnd w:id="326"/>
      <w:bookmarkEnd w:id="327"/>
      <w:bookmarkEnd w:id="328"/>
      <w:bookmarkEnd w:id="329"/>
    </w:p>
    <w:p w14:paraId="5B6A7C20" w14:textId="77777777" w:rsidR="006F44C0" w:rsidRDefault="006F44C0" w:rsidP="00C72445">
      <w:pPr>
        <w:spacing w:after="240"/>
      </w:pPr>
      <w:r w:rsidRPr="005F7189">
        <w:t>El recurso de amparo se inicia mediante demanda dir</w:t>
      </w:r>
      <w:r>
        <w:t>igida al TC</w:t>
      </w:r>
      <w:r w:rsidRPr="005F7189">
        <w:t xml:space="preserve"> donde, además de acreditarse el cumplimiento d</w:t>
      </w:r>
      <w:r>
        <w:t>e los requisitos antes mencionados</w:t>
      </w:r>
      <w:r w:rsidRPr="005F7189">
        <w:t>, deben hacerse constar con claridad y concisión los hechos que la fundamenten, los preceptos constitucionales infringidos y fijar con precisión el amparo que se solicita para preservar o restablecer el derecho o libertad que se considere vulnerado.</w:t>
      </w:r>
    </w:p>
    <w:p w14:paraId="1F28C1A7" w14:textId="77777777" w:rsidR="006F44C0" w:rsidRPr="00FB0F16" w:rsidRDefault="006F44C0" w:rsidP="00C72445">
      <w:pPr>
        <w:spacing w:after="240"/>
        <w:rPr>
          <w:color w:val="000000" w:themeColor="text1"/>
        </w:rPr>
      </w:pPr>
      <w:r>
        <w:t>La demanda de amparo es uno de los puntos que más modificaciones ha sufrido. Centrándonos primero en los aspectos más formales, e</w:t>
      </w:r>
      <w:r w:rsidRPr="00FB0F16">
        <w:rPr>
          <w:color w:val="000000" w:themeColor="text1"/>
        </w:rPr>
        <w:t xml:space="preserve">l artículo 49 de la LOTC, el cual regula la configuración de la demanda de amparo, es uno de los preceptos </w:t>
      </w:r>
      <w:r>
        <w:rPr>
          <w:color w:val="000000" w:themeColor="text1"/>
        </w:rPr>
        <w:t>con mayores modificaciones tras</w:t>
      </w:r>
      <w:r w:rsidRPr="00FB0F16">
        <w:rPr>
          <w:color w:val="000000" w:themeColor="text1"/>
        </w:rPr>
        <w:t xml:space="preserve"> la reforma de la LO</w:t>
      </w:r>
      <w:r>
        <w:rPr>
          <w:color w:val="000000" w:themeColor="text1"/>
        </w:rPr>
        <w:t>TC</w:t>
      </w:r>
      <w:r w:rsidRPr="00FB0F16">
        <w:rPr>
          <w:color w:val="000000" w:themeColor="text1"/>
        </w:rPr>
        <w:t>.</w:t>
      </w:r>
      <w:r>
        <w:rPr>
          <w:color w:val="000000" w:themeColor="text1"/>
        </w:rPr>
        <w:t xml:space="preserve"> Además, </w:t>
      </w:r>
      <w:r w:rsidRPr="00FB0F16">
        <w:rPr>
          <w:color w:val="000000" w:themeColor="text1"/>
        </w:rPr>
        <w:t>junto con el artículo 50, suponen la parte más importante de la reforma efectuada.</w:t>
      </w:r>
      <w:r>
        <w:rPr>
          <w:color w:val="000000" w:themeColor="text1"/>
        </w:rPr>
        <w:t xml:space="preserve"> A ambos artículos dedicaremos </w:t>
      </w:r>
      <w:r w:rsidRPr="00FB0F16">
        <w:rPr>
          <w:color w:val="000000" w:themeColor="text1"/>
        </w:rPr>
        <w:t xml:space="preserve">la mayor parte del presente trabajo por resultar de gran interés para nuestro estudio. </w:t>
      </w:r>
    </w:p>
    <w:p w14:paraId="7999D7F7" w14:textId="1176902D" w:rsidR="006F44C0" w:rsidRPr="00C72445" w:rsidRDefault="006F44C0" w:rsidP="00C72445">
      <w:pPr>
        <w:pStyle w:val="texto"/>
        <w:spacing w:after="240" w:afterAutospacing="0"/>
        <w:ind w:firstLine="0"/>
        <w:rPr>
          <w:rFonts w:ascii="Times New Roman" w:hAnsi="Times New Roman"/>
          <w:color w:val="000000" w:themeColor="text1"/>
        </w:rPr>
      </w:pPr>
      <w:r w:rsidRPr="00C72445">
        <w:rPr>
          <w:rFonts w:ascii="Times New Roman" w:hAnsi="Times New Roman"/>
          <w:color w:val="000000" w:themeColor="text1"/>
        </w:rPr>
        <w:t xml:space="preserve">El artículo 49 LOTC ha sufrido una modificación sustancial. Esta no sólo afecta al demandante de </w:t>
      </w:r>
      <w:r w:rsidR="007B7556" w:rsidRPr="00C72445">
        <w:rPr>
          <w:rFonts w:ascii="Times New Roman" w:hAnsi="Times New Roman"/>
          <w:color w:val="000000" w:themeColor="text1"/>
        </w:rPr>
        <w:t>amparo,</w:t>
      </w:r>
      <w:r w:rsidRPr="00C72445">
        <w:rPr>
          <w:rFonts w:ascii="Times New Roman" w:hAnsi="Times New Roman"/>
          <w:color w:val="000000" w:themeColor="text1"/>
        </w:rPr>
        <w:t xml:space="preserve"> sino que, como veremos, también incumbe al propio Tribunal al haberse modificado el articulado correspondiente al trámite de admisión de la demanda (art. 50 LOTC).</w:t>
      </w:r>
    </w:p>
    <w:p w14:paraId="1DFF16B1" w14:textId="0132509C"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Los recursos de amparo deben iniciarse mediante demanda (art. 49.1 LOTC).  No obstante, excepcionalmente, el procedimiento puede iniciarse mediante un documento distinto a la demanda. Éste consiste en una comunicación dirigida al propio TC que no cumple las exigencias de la demanda pero que puede iniciar el procedimiento de </w:t>
      </w:r>
      <w:r w:rsidR="007B7556" w:rsidRPr="00C72445">
        <w:rPr>
          <w:rFonts w:ascii="Times New Roman" w:hAnsi="Times New Roman"/>
          <w:color w:val="000000" w:themeColor="text1"/>
        </w:rPr>
        <w:t>amparo para</w:t>
      </w:r>
      <w:r w:rsidRPr="00C72445">
        <w:rPr>
          <w:rFonts w:ascii="Times New Roman" w:hAnsi="Times New Roman"/>
          <w:color w:val="000000" w:themeColor="text1"/>
        </w:rPr>
        <w:t xml:space="preserve"> que, llegado el momento, se presente la demanda. Estos casos se darán cuando una persona que considere un derecho fundamental lesionado, se dirija al TC con el </w:t>
      </w:r>
      <w:r w:rsidR="007B7556" w:rsidRPr="00C72445">
        <w:rPr>
          <w:rFonts w:ascii="Times New Roman" w:hAnsi="Times New Roman"/>
          <w:color w:val="000000" w:themeColor="text1"/>
        </w:rPr>
        <w:t>objeto de</w:t>
      </w:r>
      <w:r w:rsidRPr="00C72445">
        <w:rPr>
          <w:rFonts w:ascii="Times New Roman" w:hAnsi="Times New Roman"/>
          <w:color w:val="000000" w:themeColor="text1"/>
        </w:rPr>
        <w:t xml:space="preserve"> solicitar la asistencia jurídica gratuita. En estos casos también será necesaria la presentación de la demanda como acto procesal que abre el proceso de amparo.</w:t>
      </w:r>
      <w:r w:rsidRPr="00C72445">
        <w:rPr>
          <w:rStyle w:val="Refdenotaalpie"/>
          <w:rFonts w:ascii="Times New Roman" w:hAnsi="Times New Roman"/>
          <w:color w:val="000000" w:themeColor="text1"/>
        </w:rPr>
        <w:footnoteReference w:id="144"/>
      </w:r>
    </w:p>
    <w:p w14:paraId="5E1656CC"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La demanda ha de ser objeto de una decisión de admisión por parte de las Secciones o de las Salas. Para su admisión a trámite, además de cumplir los requisitos legalmente previstos, es preciso que el contenido del recurso justifique una decisión sobre el fondo por parte del Tribunal Constitucional en razón de su especial trascendencia constitucional, </w:t>
      </w:r>
      <w:r w:rsidRPr="00C72445">
        <w:rPr>
          <w:rFonts w:ascii="Times New Roman" w:hAnsi="Times New Roman"/>
          <w:color w:val="000000" w:themeColor="text1"/>
        </w:rPr>
        <w:lastRenderedPageBreak/>
        <w:t>que se apreciará atendiendo a su importancia para la interpretación de la Constitución, para su aplicación o para su general eficacia y para la determinación del contenido y alcance de los derechos fundamentales, modificación efectuada por la LO 6/2007.</w:t>
      </w:r>
    </w:p>
    <w:p w14:paraId="1A0CA96D"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Esta modificación afectó concretamente a los apartados 1 y 4 del artículo</w:t>
      </w:r>
      <w:r w:rsidRPr="00C72445">
        <w:rPr>
          <w:rStyle w:val="Refdenotaalpie"/>
          <w:rFonts w:ascii="Times New Roman" w:eastAsiaTheme="majorEastAsia" w:hAnsi="Times New Roman"/>
          <w:color w:val="000000" w:themeColor="text1"/>
        </w:rPr>
        <w:footnoteReference w:id="145"/>
      </w:r>
      <w:r w:rsidRPr="00C72445">
        <w:rPr>
          <w:rFonts w:ascii="Times New Roman" w:hAnsi="Times New Roman"/>
          <w:color w:val="000000" w:themeColor="text1"/>
        </w:rPr>
        <w:t>. En el art. 49.1 LOTC podemos apreciar el contenido  material de la demanda, así como las exigencias formales mínimas que ésta debe cumplir.</w:t>
      </w:r>
      <w:r w:rsidRPr="00C72445">
        <w:rPr>
          <w:rStyle w:val="Refdenotaalpie"/>
          <w:rFonts w:ascii="Times New Roman" w:hAnsi="Times New Roman"/>
          <w:color w:val="000000" w:themeColor="text1"/>
        </w:rPr>
        <w:footnoteReference w:id="146"/>
      </w:r>
    </w:p>
    <w:p w14:paraId="72CC81DA" w14:textId="77777777" w:rsidR="006F44C0" w:rsidRPr="00C72445" w:rsidRDefault="006F44C0" w:rsidP="006F44C0">
      <w:pPr>
        <w:pStyle w:val="texto"/>
        <w:rPr>
          <w:rFonts w:ascii="Times New Roman" w:hAnsi="Times New Roman"/>
          <w:color w:val="000000" w:themeColor="text1"/>
        </w:rPr>
      </w:pPr>
      <w:r w:rsidRPr="00C72445">
        <w:rPr>
          <w:rFonts w:ascii="Times New Roman" w:hAnsi="Times New Roman"/>
          <w:i/>
          <w:color w:val="000000" w:themeColor="text1"/>
        </w:rPr>
        <w:t xml:space="preserve">“Uno. El recurso de amparo constitucional se iniciará mediante demanda en la que se expondrán con claridad y concisión los hechos que la fundamenten, se citarán los preceptos constitucionales que se estimen infringidos y se fijará con precisión el amparo que se solicita para preservar o restablecer el derecho o libertad que se considere vulnerado. En todo caso, la demanda justificará la especial trascendencia constitucional del recurso”. </w:t>
      </w:r>
      <w:r w:rsidRPr="00C72445">
        <w:rPr>
          <w:rStyle w:val="Refdenotaalpie"/>
          <w:rFonts w:ascii="Times New Roman" w:hAnsi="Times New Roman"/>
          <w:i/>
          <w:color w:val="000000" w:themeColor="text1"/>
        </w:rPr>
        <w:footnoteReference w:id="147"/>
      </w:r>
    </w:p>
    <w:p w14:paraId="2A9E7E6F" w14:textId="61F8B5F5"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Respecto a este </w:t>
      </w:r>
      <w:r w:rsidR="007B7556" w:rsidRPr="00C72445">
        <w:rPr>
          <w:rFonts w:ascii="Times New Roman" w:hAnsi="Times New Roman"/>
          <w:color w:val="000000" w:themeColor="text1"/>
        </w:rPr>
        <w:t>apartado, tras</w:t>
      </w:r>
      <w:r w:rsidRPr="00C72445">
        <w:rPr>
          <w:rFonts w:ascii="Times New Roman" w:hAnsi="Times New Roman"/>
          <w:color w:val="000000" w:themeColor="text1"/>
        </w:rPr>
        <w:t xml:space="preserve"> la determinación de los elementos esenciales que han de justificarse en la demanda, se añade el nuevo requisito que ha de cumplimentar necesariamente el recurrente de amparo, el de la justificación de “la especial trascendencia constitucional”. Este requisito se añade al ya existente de justificar la </w:t>
      </w:r>
      <w:r w:rsidRPr="00C72445">
        <w:rPr>
          <w:rFonts w:ascii="Times New Roman" w:hAnsi="Times New Roman"/>
          <w:color w:val="000000" w:themeColor="text1"/>
        </w:rPr>
        <w:lastRenderedPageBreak/>
        <w:t>específica o específicas vulneraciones de los derechos fundamentales que se consideran lesionados y la concreta tutela que se solicita al Tribunal.</w:t>
      </w:r>
    </w:p>
    <w:p w14:paraId="1D653414"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Por tanto, junto a la anterior regulación, se añade una exigencia concreta que es la justificación de la especial trascendencia. El problema radica, como posteriormente analizaremos, en que se trata de un concepto jurídico indeterminado. Ello supone, como puede imaginarse, una gran indefensión para el recurrente, pues nada se explicita sobre qué ha de entenderse o cómo ha de cumplimentarse esa carga que le es impuesta.</w:t>
      </w:r>
    </w:p>
    <w:p w14:paraId="4E8BAF3E"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En cuanto a la forma en la que la demanda debe presentarse, debe hacerse de manera escrita y presencialmente. Cabe destacar que el artículo 85.2 LOTC en su segundo párrafo señala que el Tribunal determinará reglamentariamente las condiciones de empleo, a los efectos anteriores, de cualesquiera medios técnicos, electrónicos, informáticos o telemáticos, por lo que cabe la posibilidad del uso de medios como el fax o el correo electrónico por su inmediatez.</w:t>
      </w:r>
      <w:r w:rsidRPr="00C72445">
        <w:rPr>
          <w:rStyle w:val="Refdenotaalpie"/>
          <w:rFonts w:ascii="Times New Roman" w:hAnsi="Times New Roman"/>
          <w:color w:val="000000" w:themeColor="text1"/>
        </w:rPr>
        <w:footnoteReference w:id="148"/>
      </w:r>
    </w:p>
    <w:p w14:paraId="5FCEBE67"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La demanda de amparo, además de acreditar el cumplimiento de los requisitos antes referidos, debe hacer constar con claridad y concisión los hechos que la fundamenten, así como los preceptos constitucionales que considere infringidos y debe señalar con precisión el amparo que solicita para preservar o restablecer el derecho fundamental o la libertad que considere que se ha vulnerado. </w:t>
      </w:r>
    </w:p>
    <w:p w14:paraId="196B704E" w14:textId="6D3D53A3"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Como vemos, los elementos formales que la LOTC exige para la demanda son la </w:t>
      </w:r>
      <w:r w:rsidR="007B7556" w:rsidRPr="00C72445">
        <w:rPr>
          <w:rFonts w:ascii="Times New Roman" w:hAnsi="Times New Roman"/>
          <w:color w:val="000000" w:themeColor="text1"/>
        </w:rPr>
        <w:t>claridad y</w:t>
      </w:r>
      <w:r w:rsidRPr="00C72445">
        <w:rPr>
          <w:rFonts w:ascii="Times New Roman" w:hAnsi="Times New Roman"/>
          <w:color w:val="000000" w:themeColor="text1"/>
        </w:rPr>
        <w:t xml:space="preserve"> la concisión. Estos conceptos son muy imprecisos por los que deben valorarse en cada caso concreto ya que no han sido concretados mediante reglas generales. Nuestro TC ha aplicado la flexibilidad que debe regir la interpretación de las normas procesales, especialmente en un procedimiento para la protección de los derechos fundamentales. Por ello, es sumamente transigente a la hora de exigir el cumplimiento de estas exigencias (ATC 131/2012 FJ 1º).</w:t>
      </w:r>
    </w:p>
    <w:p w14:paraId="49C00F9E"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En los que respecta al contenido de la demanda de amparo, éste no dista mucho del de cualquier otro tipo de demanda. Podemos sintetizarlo en los siguientes puntos</w:t>
      </w:r>
      <w:r w:rsidRPr="00C72445">
        <w:rPr>
          <w:rStyle w:val="Refdenotaalpie"/>
          <w:rFonts w:ascii="Times New Roman" w:hAnsi="Times New Roman"/>
          <w:color w:val="000000" w:themeColor="text1"/>
        </w:rPr>
        <w:footnoteReference w:id="149"/>
      </w:r>
      <w:r w:rsidRPr="00C72445">
        <w:rPr>
          <w:rFonts w:ascii="Times New Roman" w:hAnsi="Times New Roman"/>
          <w:color w:val="000000" w:themeColor="text1"/>
        </w:rPr>
        <w:t>:</w:t>
      </w:r>
    </w:p>
    <w:p w14:paraId="6823EB79" w14:textId="77777777" w:rsidR="006F44C0" w:rsidRPr="00C72445" w:rsidRDefault="006F44C0" w:rsidP="001218F1">
      <w:pPr>
        <w:pStyle w:val="texto"/>
        <w:numPr>
          <w:ilvl w:val="0"/>
          <w:numId w:val="9"/>
        </w:numPr>
        <w:spacing w:after="100"/>
        <w:rPr>
          <w:rFonts w:ascii="Times New Roman" w:hAnsi="Times New Roman"/>
          <w:color w:val="000000" w:themeColor="text1"/>
        </w:rPr>
      </w:pPr>
      <w:r w:rsidRPr="00C72445">
        <w:rPr>
          <w:rFonts w:ascii="Times New Roman" w:hAnsi="Times New Roman"/>
          <w:color w:val="000000" w:themeColor="text1"/>
        </w:rPr>
        <w:t>Sustrato fáctico de la pretensión: Éste no es revisable en amparo (arts. 44.1 b y 54 LOTC). La demanda debe suministrar la información necesaria para comprender la lógica de la pretensión sin que sea necesario para ello realizar profundas consideraciones sobre los hechos. Por tanto, el objetivo de este punto es proveer al TC de los elementos necesarios   para hacer comprensible la demanda de amparo.</w:t>
      </w:r>
    </w:p>
    <w:p w14:paraId="450D814F" w14:textId="46E0D919" w:rsidR="006F44C0" w:rsidRPr="00C72445" w:rsidRDefault="006F44C0" w:rsidP="001218F1">
      <w:pPr>
        <w:pStyle w:val="texto"/>
        <w:numPr>
          <w:ilvl w:val="0"/>
          <w:numId w:val="9"/>
        </w:numPr>
        <w:spacing w:after="100"/>
        <w:rPr>
          <w:rFonts w:ascii="Times New Roman" w:hAnsi="Times New Roman"/>
          <w:color w:val="000000" w:themeColor="text1"/>
        </w:rPr>
      </w:pPr>
      <w:r w:rsidRPr="00C72445">
        <w:rPr>
          <w:rFonts w:ascii="Times New Roman" w:hAnsi="Times New Roman"/>
          <w:color w:val="000000" w:themeColor="text1"/>
        </w:rPr>
        <w:t xml:space="preserve">Fundamentación jurídica: Este punto posee mayor importancia que el anterior. La fundamentación jurídica compete exclusivamente al demandante. Esta argumentación debe sustentar la pretensión de amparo. El TC ha reiterado en múltiples ocasiones que no le corresponde a él reconstruir la demanda para subsanar deficiencias en su planteamiento (entre otras STC 91/2000, 182/2009 y 151/2013). Cabe además destacar que, una vez determinado en la demanda el objeto del recurso de amparo, éste no puede luego ser modificado ni ampliado en posteriores escritos. Puede </w:t>
      </w:r>
      <w:r w:rsidR="007B7556" w:rsidRPr="00C72445">
        <w:rPr>
          <w:rFonts w:ascii="Times New Roman" w:hAnsi="Times New Roman"/>
          <w:color w:val="000000" w:themeColor="text1"/>
        </w:rPr>
        <w:t>realizarse algún</w:t>
      </w:r>
      <w:r w:rsidRPr="00C72445">
        <w:rPr>
          <w:rFonts w:ascii="Times New Roman" w:hAnsi="Times New Roman"/>
          <w:color w:val="000000" w:themeColor="text1"/>
        </w:rPr>
        <w:t xml:space="preserve"> escrito aclaratorio o añadir algún otro razonamiento jurídico, pero nunca modificar el objeto del recurso.</w:t>
      </w:r>
    </w:p>
    <w:p w14:paraId="3226934F" w14:textId="77777777" w:rsidR="006F44C0" w:rsidRPr="00C72445" w:rsidRDefault="006F44C0" w:rsidP="001218F1">
      <w:pPr>
        <w:pStyle w:val="texto"/>
        <w:numPr>
          <w:ilvl w:val="0"/>
          <w:numId w:val="9"/>
        </w:numPr>
        <w:spacing w:after="100"/>
        <w:rPr>
          <w:rFonts w:ascii="Times New Roman" w:hAnsi="Times New Roman"/>
          <w:color w:val="000000" w:themeColor="text1"/>
        </w:rPr>
      </w:pPr>
      <w:r w:rsidRPr="00C72445">
        <w:rPr>
          <w:rFonts w:ascii="Times New Roman" w:hAnsi="Times New Roman"/>
          <w:color w:val="000000" w:themeColor="text1"/>
        </w:rPr>
        <w:t>Identificación del acto impugnado: En la demanda debe identificarse el acto o actos objeto de impugnación a los cuales les va a ser imputada la lesión de uno o varios derechos fundamentales. Debido al carácter subsidiario del recurso de amparo, estos actos impugnados van a venir determinados por la realizada previamente en la vía judicial.</w:t>
      </w:r>
    </w:p>
    <w:p w14:paraId="0CEE0EDA" w14:textId="77777777" w:rsidR="006F44C0" w:rsidRPr="00C72445" w:rsidRDefault="006F44C0" w:rsidP="001218F1">
      <w:pPr>
        <w:pStyle w:val="texto"/>
        <w:numPr>
          <w:ilvl w:val="0"/>
          <w:numId w:val="9"/>
        </w:numPr>
        <w:spacing w:after="100"/>
        <w:rPr>
          <w:rFonts w:ascii="Times New Roman" w:hAnsi="Times New Roman"/>
          <w:color w:val="000000" w:themeColor="text1"/>
        </w:rPr>
      </w:pPr>
      <w:r w:rsidRPr="00C72445">
        <w:rPr>
          <w:rFonts w:ascii="Times New Roman" w:hAnsi="Times New Roman"/>
          <w:color w:val="000000" w:themeColor="text1"/>
        </w:rPr>
        <w:t xml:space="preserve">La justificación de la “especial trascendencia constitucional”: A este punto de la demanda dedicaremos el siguiente apartado. </w:t>
      </w:r>
    </w:p>
    <w:p w14:paraId="23BC69CF" w14:textId="1F84A161" w:rsidR="006F44C0" w:rsidRPr="00C72445" w:rsidRDefault="006F44C0" w:rsidP="001218F1">
      <w:pPr>
        <w:pStyle w:val="texto"/>
        <w:numPr>
          <w:ilvl w:val="0"/>
          <w:numId w:val="9"/>
        </w:numPr>
        <w:spacing w:after="100"/>
        <w:rPr>
          <w:rFonts w:ascii="Times New Roman" w:hAnsi="Times New Roman"/>
          <w:color w:val="000000" w:themeColor="text1"/>
        </w:rPr>
      </w:pPr>
      <w:r w:rsidRPr="00C72445">
        <w:rPr>
          <w:rFonts w:ascii="Times New Roman" w:hAnsi="Times New Roman"/>
          <w:color w:val="000000" w:themeColor="text1"/>
        </w:rPr>
        <w:t xml:space="preserve">La pretensión: En un recurso de amparo no cabe cualquier pretensión, sino sólo aquella que comporta la denuncia de la violación real y efectiva de un derecho fundamental contenido en los arts. 14 a 30 CE. </w:t>
      </w:r>
      <w:r w:rsidR="007B7556" w:rsidRPr="00C72445">
        <w:rPr>
          <w:rFonts w:ascii="Times New Roman" w:hAnsi="Times New Roman"/>
          <w:color w:val="000000" w:themeColor="text1"/>
        </w:rPr>
        <w:t>Además,</w:t>
      </w:r>
      <w:r w:rsidRPr="00C72445">
        <w:rPr>
          <w:rFonts w:ascii="Times New Roman" w:hAnsi="Times New Roman"/>
          <w:color w:val="000000" w:themeColor="text1"/>
        </w:rPr>
        <w:t xml:space="preserve"> sólo pueden formularse aquellas pretensiones que puedan repararse mediante este recurso. el art. 55.1 </w:t>
      </w:r>
      <w:r w:rsidRPr="00C72445">
        <w:rPr>
          <w:rFonts w:ascii="Times New Roman" w:hAnsi="Times New Roman"/>
          <w:color w:val="000000" w:themeColor="text1"/>
        </w:rPr>
        <w:lastRenderedPageBreak/>
        <w:t xml:space="preserve">LOTC establece los posibles pronunciamientos de una sentencia estimatoria de amparo, por lo que el </w:t>
      </w:r>
      <w:r w:rsidRPr="00C72445">
        <w:rPr>
          <w:rFonts w:ascii="Times New Roman" w:hAnsi="Times New Roman"/>
          <w:i/>
          <w:color w:val="000000" w:themeColor="text1"/>
        </w:rPr>
        <w:t>petitum</w:t>
      </w:r>
      <w:r w:rsidRPr="00C72445">
        <w:rPr>
          <w:rFonts w:ascii="Times New Roman" w:hAnsi="Times New Roman"/>
          <w:color w:val="000000" w:themeColor="text1"/>
        </w:rPr>
        <w:t xml:space="preserve"> debe concordar con alguno de ellos</w:t>
      </w:r>
      <w:r w:rsidRPr="00C72445">
        <w:rPr>
          <w:rStyle w:val="Refdenotaalpie"/>
          <w:rFonts w:ascii="Times New Roman" w:hAnsi="Times New Roman"/>
          <w:color w:val="000000" w:themeColor="text1"/>
        </w:rPr>
        <w:footnoteReference w:id="150"/>
      </w:r>
      <w:r w:rsidRPr="00C72445">
        <w:rPr>
          <w:rFonts w:ascii="Times New Roman" w:hAnsi="Times New Roman"/>
          <w:color w:val="000000" w:themeColor="text1"/>
        </w:rPr>
        <w:t>.</w:t>
      </w:r>
    </w:p>
    <w:p w14:paraId="796129C5"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Por último, destacar que el demandante de amparo debe comparecer representado por un Procurador del Colegio de Madrid y asistido por un Letrado de cualquier Colegio de España. Debe presentar la en el Registro General del Tribunal Constitucional dentro del plazo legalmente previsto o, en su casa, hasta las quince horas del día siguiente al del vencimiento del plazo en el propio Registro del Tribunal o en la oficina o servicio de registro central de los Tribunales civiles de cualquier localidad.</w:t>
      </w:r>
    </w:p>
    <w:p w14:paraId="1F8C7590" w14:textId="2732E3EE"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La principal conclusión que podemos extraer de esto es que se ha añadido una nueva dificultad a la redacción de la demanda de amparo. Además, como ya hemos visto, la LOTC no es clara a la hora de explicar en qué consiste este concepto. Hubo que esperar tres años hasta la STC 155/2009 de 25 de junio para que nuestro TC arrojara algo de luz a tan indeterminado concepto. No debemos de olvidar, por tanto, </w:t>
      </w:r>
      <w:r w:rsidR="007B7556" w:rsidRPr="00C72445">
        <w:rPr>
          <w:rFonts w:ascii="Times New Roman" w:hAnsi="Times New Roman"/>
          <w:color w:val="000000" w:themeColor="text1"/>
        </w:rPr>
        <w:t>que,</w:t>
      </w:r>
      <w:r w:rsidRPr="00C72445">
        <w:rPr>
          <w:rFonts w:ascii="Times New Roman" w:hAnsi="Times New Roman"/>
          <w:color w:val="000000" w:themeColor="text1"/>
        </w:rPr>
        <w:t xml:space="preserve"> desde la entrada en vigor de la reforma en 2007 hasta la Sentencia de 2009, los operadores jurídicos tuvieron que lidiar con el problema de qué debía entenderse por “especial trascendencia constitucional”.</w:t>
      </w:r>
    </w:p>
    <w:p w14:paraId="4F8142AD" w14:textId="77777777" w:rsidR="006F44C0" w:rsidRPr="007B1578" w:rsidRDefault="006F44C0" w:rsidP="00C72445">
      <w:pPr>
        <w:pStyle w:val="Ttulo4"/>
      </w:pPr>
      <w:bookmarkStart w:id="330" w:name="_Toc531862043"/>
      <w:bookmarkStart w:id="331" w:name="_Toc533020355"/>
      <w:bookmarkStart w:id="332" w:name="_Toc49423639"/>
      <w:bookmarkStart w:id="333" w:name="_Toc49866517"/>
      <w:r w:rsidRPr="007B1578">
        <w:t>Requisitos para la admisión de la demanda</w:t>
      </w:r>
      <w:bookmarkEnd w:id="330"/>
      <w:bookmarkEnd w:id="331"/>
      <w:bookmarkEnd w:id="332"/>
      <w:bookmarkEnd w:id="333"/>
    </w:p>
    <w:p w14:paraId="2CE7C08A"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La demanda de amparo ha de ser objeto de una decisión de admisión a trámite por parte de las Secciones o de las Salas del TC. Para su admisión a trámite, además de cumplir los requisitos legalmente previstos, el contenido de la demanda debe justificar una decisión sobre el fondo por parte del TC en razón de su especial trascendencia constitucional, la cual se apreciará, como hemos mencionado, atendiendo a su importancia para la </w:t>
      </w:r>
      <w:r w:rsidRPr="00C72445">
        <w:rPr>
          <w:rFonts w:ascii="Times New Roman" w:hAnsi="Times New Roman"/>
          <w:color w:val="000000" w:themeColor="text1"/>
        </w:rPr>
        <w:lastRenderedPageBreak/>
        <w:t>interpretación de la Constitución, para su aplicación o para su general eficacia y para la determinación del contenido y alcance de los derechos fundamentales.</w:t>
      </w:r>
    </w:p>
    <w:p w14:paraId="51D231DE"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Al igual que el anterior artículo, el art. 50 LOTC ha sido objeto de un profundo cambio en su redacción</w:t>
      </w:r>
      <w:r w:rsidRPr="00C72445">
        <w:rPr>
          <w:rStyle w:val="Refdenotaalpie"/>
          <w:rFonts w:ascii="Times New Roman" w:hAnsi="Times New Roman"/>
          <w:color w:val="000000" w:themeColor="text1"/>
        </w:rPr>
        <w:footnoteReference w:id="151"/>
      </w:r>
      <w:r w:rsidRPr="00C72445">
        <w:rPr>
          <w:rFonts w:ascii="Times New Roman" w:hAnsi="Times New Roman"/>
          <w:color w:val="000000" w:themeColor="text1"/>
        </w:rPr>
        <w:t xml:space="preserve">. El contenido de la demanda, citado en el anterior artículo, y su admisión a trámite, a la que ahora hacemos mención, han supuesto el centro de la reforma, convirtiéndose en los elementos esenciales de la nueva configuración dada al recurso de amparo. </w:t>
      </w:r>
      <w:r w:rsidRPr="00C72445">
        <w:rPr>
          <w:rStyle w:val="Refdenotaalpie"/>
          <w:rFonts w:ascii="Times New Roman" w:hAnsi="Times New Roman"/>
          <w:color w:val="000000" w:themeColor="text1"/>
        </w:rPr>
        <w:footnoteReference w:id="152"/>
      </w:r>
    </w:p>
    <w:p w14:paraId="07CFF349"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 xml:space="preserve">Como ya hemos comentado anteriormente, la reforma del recurso de amparo destaca principalmente por la introducción de una nueva configuración del trámite de admisión. Este cambio radica en transformar el anterior sistema de «inadmisión» por un nuevo sistema de «admisión», de forma que ahora será el recurrente el que alegue y acredite que el recurso cumple con los presupuestos procesales de admisibilidad y que, en especial, su contenido justifica una decisión sobre el fondo por parte del Tribunal en razón de su </w:t>
      </w:r>
      <w:r w:rsidRPr="00C72445">
        <w:rPr>
          <w:rFonts w:ascii="Times New Roman" w:hAnsi="Times New Roman"/>
          <w:i/>
          <w:color w:val="000000" w:themeColor="text1"/>
        </w:rPr>
        <w:t>«especial trascendencia constitucional»</w:t>
      </w:r>
      <w:r w:rsidRPr="00C72445">
        <w:rPr>
          <w:rFonts w:ascii="Times New Roman" w:hAnsi="Times New Roman"/>
          <w:color w:val="000000" w:themeColor="text1"/>
        </w:rPr>
        <w:t>.</w:t>
      </w:r>
    </w:p>
    <w:p w14:paraId="4FB4DEA2" w14:textId="77777777" w:rsidR="006F44C0" w:rsidRPr="00C72445" w:rsidRDefault="006F44C0" w:rsidP="006F44C0">
      <w:pPr>
        <w:pStyle w:val="texto"/>
        <w:ind w:firstLine="0"/>
        <w:rPr>
          <w:rFonts w:ascii="Times New Roman" w:hAnsi="Times New Roman"/>
          <w:i/>
          <w:color w:val="000000" w:themeColor="text1"/>
        </w:rPr>
      </w:pPr>
      <w:r w:rsidRPr="00C72445">
        <w:rPr>
          <w:rFonts w:ascii="Times New Roman" w:hAnsi="Times New Roman"/>
          <w:color w:val="000000" w:themeColor="text1"/>
        </w:rPr>
        <w:t>Sin embargo, para algunos autores como  DE LA OLIVA</w:t>
      </w:r>
      <w:r w:rsidRPr="00C72445">
        <w:rPr>
          <w:rStyle w:val="Refdenotaalpie"/>
          <w:rFonts w:ascii="Times New Roman" w:hAnsi="Times New Roman"/>
          <w:color w:val="000000" w:themeColor="text1"/>
        </w:rPr>
        <w:footnoteReference w:id="153"/>
      </w:r>
      <w:r w:rsidRPr="00C72445">
        <w:rPr>
          <w:rFonts w:ascii="Times New Roman" w:hAnsi="Times New Roman"/>
          <w:color w:val="000000" w:themeColor="text1"/>
        </w:rPr>
        <w:t xml:space="preserve">, no se trata de que se haya invertido el “juicio de admisibilidad”, sino de que el mismo recurso de amparo es concebido diversamente y reorientado en una dirección, no tanto inversa como sustancialmente distinta. Es decir, </w:t>
      </w:r>
      <w:r w:rsidRPr="00C72445">
        <w:rPr>
          <w:rFonts w:ascii="Times New Roman" w:hAnsi="Times New Roman"/>
          <w:i/>
          <w:color w:val="000000" w:themeColor="text1"/>
        </w:rPr>
        <w:t xml:space="preserve">«se trata de que un instituto jurídico-procesal, con una función constitucionalmente clara, experimenta, por obra de una norma positiva </w:t>
      </w:r>
      <w:proofErr w:type="spellStart"/>
      <w:r w:rsidRPr="00C72445">
        <w:rPr>
          <w:rFonts w:ascii="Times New Roman" w:hAnsi="Times New Roman"/>
          <w:i/>
          <w:color w:val="000000" w:themeColor="text1"/>
        </w:rPr>
        <w:t>infraconstitucional</w:t>
      </w:r>
      <w:proofErr w:type="spellEnd"/>
      <w:r w:rsidRPr="00C72445">
        <w:rPr>
          <w:rFonts w:ascii="Times New Roman" w:hAnsi="Times New Roman"/>
          <w:i/>
          <w:color w:val="000000" w:themeColor="text1"/>
        </w:rPr>
        <w:t>, un cambio esencial de función».</w:t>
      </w:r>
    </w:p>
    <w:p w14:paraId="68CDBFA5"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A nuestro juicio, esta inversión de la admisibilidad del recurso sí se habría producido pues, tras la reforma, el sistema de inadmisión de los recursos ha desaparecido pasando a ser un sistema de admisión. Es decir, no partimos de la admisión a trámite de la demanda de amparo y de la posible inadmisión en caso de no cumplir ésta algunos de los requisitos establecidos por la LOTC como hasta ahora se venía haciendo. Por el contrario, partimos de la no admisión de la demanda y del esfuerzo por parte del recurrente de justificar, además de los requisitos formales exigidos, el nuevo requisito de la justificación de la especial trascendencia constitucional. Requisito que valorará el TC para decidir la admisión o no de la demanda. Apreciamos, por tanto, una inversión de la admisibilidad en el sentido de que es el recurrente el que debe justificar la admisión por las razones señaladas más arriba</w:t>
      </w:r>
      <w:r w:rsidRPr="00C72445">
        <w:rPr>
          <w:rStyle w:val="Refdenotaalpie"/>
          <w:rFonts w:ascii="Times New Roman" w:hAnsi="Times New Roman"/>
          <w:color w:val="000000" w:themeColor="text1"/>
        </w:rPr>
        <w:footnoteReference w:id="154"/>
      </w:r>
      <w:r w:rsidRPr="00C72445">
        <w:rPr>
          <w:rFonts w:ascii="Times New Roman" w:hAnsi="Times New Roman"/>
          <w:color w:val="000000" w:themeColor="text1"/>
        </w:rPr>
        <w:t>.</w:t>
      </w:r>
    </w:p>
    <w:p w14:paraId="383E1221"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Según  Marc CARRILLO</w:t>
      </w:r>
      <w:r w:rsidRPr="00C72445">
        <w:rPr>
          <w:rStyle w:val="Refdenotaalpie"/>
          <w:rFonts w:ascii="Times New Roman" w:hAnsi="Times New Roman"/>
          <w:color w:val="000000" w:themeColor="text1"/>
        </w:rPr>
        <w:footnoteReference w:id="155"/>
      </w:r>
      <w:r w:rsidRPr="00C72445">
        <w:rPr>
          <w:rFonts w:ascii="Times New Roman" w:hAnsi="Times New Roman"/>
          <w:color w:val="000000" w:themeColor="text1"/>
        </w:rPr>
        <w:t xml:space="preserve">, la introducción del requisito de la trascendencia o la especial relevancia constitucional de la demanda de amparo supone de alguna forma la incorporación a la jurisdicción constitucional española, de una cierta regla de actuación jurisdiccional próxima al </w:t>
      </w:r>
      <w:proofErr w:type="spellStart"/>
      <w:r w:rsidRPr="00C72445">
        <w:rPr>
          <w:rFonts w:ascii="Times New Roman" w:hAnsi="Times New Roman"/>
          <w:i/>
          <w:color w:val="000000" w:themeColor="text1"/>
        </w:rPr>
        <w:t>writ</w:t>
      </w:r>
      <w:proofErr w:type="spellEnd"/>
      <w:r w:rsidRPr="00C72445">
        <w:rPr>
          <w:rFonts w:ascii="Times New Roman" w:hAnsi="Times New Roman"/>
          <w:i/>
          <w:color w:val="000000" w:themeColor="text1"/>
        </w:rPr>
        <w:t xml:space="preserve"> </w:t>
      </w:r>
      <w:proofErr w:type="spellStart"/>
      <w:r w:rsidRPr="00C72445">
        <w:rPr>
          <w:rFonts w:ascii="Times New Roman" w:hAnsi="Times New Roman"/>
          <w:i/>
          <w:color w:val="000000" w:themeColor="text1"/>
        </w:rPr>
        <w:t>certiorari</w:t>
      </w:r>
      <w:proofErr w:type="spellEnd"/>
      <w:r w:rsidRPr="00C72445">
        <w:rPr>
          <w:rStyle w:val="Refdenotaalpie"/>
          <w:rFonts w:ascii="Times New Roman" w:hAnsi="Times New Roman"/>
          <w:i/>
          <w:color w:val="000000" w:themeColor="text1"/>
        </w:rPr>
        <w:footnoteReference w:id="156"/>
      </w:r>
      <w:r w:rsidRPr="00C72445">
        <w:rPr>
          <w:rFonts w:ascii="Times New Roman" w:hAnsi="Times New Roman"/>
          <w:color w:val="000000" w:themeColor="text1"/>
        </w:rPr>
        <w:t xml:space="preserve"> de la cultura jurídica del </w:t>
      </w:r>
      <w:proofErr w:type="spellStart"/>
      <w:r w:rsidRPr="00C72445">
        <w:rPr>
          <w:rFonts w:ascii="Times New Roman" w:hAnsi="Times New Roman"/>
          <w:i/>
          <w:color w:val="000000" w:themeColor="text1"/>
        </w:rPr>
        <w:t>common</w:t>
      </w:r>
      <w:proofErr w:type="spellEnd"/>
      <w:r w:rsidRPr="00C72445">
        <w:rPr>
          <w:rFonts w:ascii="Times New Roman" w:hAnsi="Times New Roman"/>
          <w:i/>
          <w:color w:val="000000" w:themeColor="text1"/>
        </w:rPr>
        <w:t xml:space="preserve"> </w:t>
      </w:r>
      <w:proofErr w:type="spellStart"/>
      <w:r w:rsidRPr="00C72445">
        <w:rPr>
          <w:rFonts w:ascii="Times New Roman" w:hAnsi="Times New Roman"/>
          <w:i/>
          <w:color w:val="000000" w:themeColor="text1"/>
        </w:rPr>
        <w:t>law</w:t>
      </w:r>
      <w:proofErr w:type="spellEnd"/>
      <w:r w:rsidRPr="00C72445">
        <w:rPr>
          <w:rFonts w:ascii="Times New Roman" w:hAnsi="Times New Roman"/>
          <w:color w:val="000000" w:themeColor="text1"/>
        </w:rPr>
        <w:t xml:space="preserve"> que se aplica en los Estados Unidos. De esta forma, el Tribunal ha de estar dispuesto a asumir una nueva manera de enjuiciar las demandas de amparo acorde con un criterio en el que, sin perjuicio de los intereses subjetivos que naturalmente subyazcan, prime la dimensión objetiva del recurso, basada en la especial trascendencia constitucional del caso sometido a su enjuiciamiento. </w:t>
      </w:r>
    </w:p>
    <w:p w14:paraId="404A5920" w14:textId="37B96D88"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Cabe destacar </w:t>
      </w:r>
      <w:r w:rsidR="007B7556" w:rsidRPr="00C72445">
        <w:rPr>
          <w:rFonts w:ascii="Times New Roman" w:hAnsi="Times New Roman"/>
          <w:color w:val="000000" w:themeColor="text1"/>
        </w:rPr>
        <w:t>que,</w:t>
      </w:r>
      <w:r w:rsidRPr="00C72445">
        <w:rPr>
          <w:rFonts w:ascii="Times New Roman" w:hAnsi="Times New Roman"/>
          <w:color w:val="000000" w:themeColor="text1"/>
        </w:rPr>
        <w:t xml:space="preserve"> desde las primeras sentencias de nuestro TC, el recurso de amparo ha sido constitucionalmente, un recurso subjetivo, cuya naturaleza no podía ser alterada por el legislador ordinario. Sin embargo, la reforma de la LOTC mediante la Ley 6/2007 ha producido un cambio en la jurisprudencia del TC, que desde 2011 considera al recurso de amparo como un instrumento de defensa de la constitución y no como un instrumento procesal de defensa del particular. En definitiva, el recurso de amparo tiene, desde el ATC 29/2011, al que posteriormente haremos mención, exclusivamente, una dimensión objetiva.</w:t>
      </w:r>
    </w:p>
    <w:p w14:paraId="7F49F1FE"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Para algunos autores como Roberto ROMBOLI</w:t>
      </w:r>
      <w:r w:rsidRPr="00C72445">
        <w:rPr>
          <w:rStyle w:val="Refdenotaalpie"/>
          <w:rFonts w:ascii="Times New Roman" w:hAnsi="Times New Roman"/>
          <w:color w:val="000000" w:themeColor="text1"/>
        </w:rPr>
        <w:footnoteReference w:id="157"/>
      </w:r>
      <w:r w:rsidRPr="00C72445">
        <w:rPr>
          <w:rFonts w:ascii="Times New Roman" w:hAnsi="Times New Roman"/>
          <w:color w:val="000000" w:themeColor="text1"/>
        </w:rPr>
        <w:t xml:space="preserve">, esta objetivación del recurso de amparo supone una menor protección de los derechos fundamentales, en palabras del autor, </w:t>
      </w:r>
      <w:r w:rsidRPr="00C72445">
        <w:rPr>
          <w:rFonts w:ascii="Times New Roman" w:hAnsi="Times New Roman"/>
          <w:i/>
          <w:color w:val="000000" w:themeColor="text1"/>
        </w:rPr>
        <w:t>«El nuevo modo de entender el instrumento del amparo y su “</w:t>
      </w:r>
      <w:proofErr w:type="spellStart"/>
      <w:r w:rsidRPr="00C72445">
        <w:rPr>
          <w:rFonts w:ascii="Times New Roman" w:hAnsi="Times New Roman"/>
          <w:i/>
          <w:color w:val="000000" w:themeColor="text1"/>
        </w:rPr>
        <w:t>objetivización</w:t>
      </w:r>
      <w:proofErr w:type="spellEnd"/>
      <w:r w:rsidRPr="00C72445">
        <w:rPr>
          <w:rFonts w:ascii="Times New Roman" w:hAnsi="Times New Roman"/>
          <w:i/>
          <w:color w:val="000000" w:themeColor="text1"/>
        </w:rPr>
        <w:t>” llevaría, (…)  a una menor protección del derecho fundamental en el caso concreto; y especialmente en todas aquellas ocasiones en las que los jueces ordinarios ante una jurisprudencia consolidada del Tribunal Constitucional (la cual debería, en rigor, excluir la «utilidad» de resolver dicho caso en el fondo y por tanto la “especial trascendencia constitucional” del recurso) entendieran que no tienen el deber de seguirla o que no puedan seguirla»</w:t>
      </w:r>
      <w:r w:rsidRPr="00C72445">
        <w:rPr>
          <w:rFonts w:ascii="Times New Roman" w:hAnsi="Times New Roman"/>
          <w:color w:val="000000" w:themeColor="text1"/>
        </w:rPr>
        <w:t>.</w:t>
      </w:r>
    </w:p>
    <w:p w14:paraId="52D5A784"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 xml:space="preserve">En definitiva, el TC parece haber dificultado el acceso (hasta ahora sencillo) a su jurisdicción mediante la exigencia de este nuevo requisito. </w:t>
      </w:r>
    </w:p>
    <w:p w14:paraId="698851BC" w14:textId="167CAA59"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El problema de fondo versa sobre la determinación de lo que debemos entender por ‘especial trascendencia constitucional’ (art. 49.1 </w:t>
      </w:r>
      <w:r w:rsidR="007B7556" w:rsidRPr="00C72445">
        <w:rPr>
          <w:rFonts w:ascii="Times New Roman" w:hAnsi="Times New Roman"/>
          <w:color w:val="000000" w:themeColor="text1"/>
        </w:rPr>
        <w:t>CE) y</w:t>
      </w:r>
      <w:r w:rsidRPr="00C72445">
        <w:rPr>
          <w:rFonts w:ascii="Times New Roman" w:hAnsi="Times New Roman"/>
          <w:color w:val="000000" w:themeColor="text1"/>
        </w:rPr>
        <w:t xml:space="preserve"> los criterios establecidos para su determinación (art. 50.1.b LOTC).</w:t>
      </w:r>
    </w:p>
    <w:p w14:paraId="2DB490E2" w14:textId="15A06513"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El Tribunal </w:t>
      </w:r>
      <w:r w:rsidR="007B7556" w:rsidRPr="00C72445">
        <w:rPr>
          <w:rFonts w:ascii="Times New Roman" w:hAnsi="Times New Roman"/>
          <w:color w:val="000000" w:themeColor="text1"/>
        </w:rPr>
        <w:t>Constitucional resolvió</w:t>
      </w:r>
      <w:r w:rsidRPr="00C72445">
        <w:rPr>
          <w:rFonts w:ascii="Times New Roman" w:hAnsi="Times New Roman"/>
          <w:color w:val="000000" w:themeColor="text1"/>
        </w:rPr>
        <w:t xml:space="preserve"> esta cuestión en la STC 155/2009, de 25 de junio. En ella identifica serie de casos en lo que concurriría el requisito de la </w:t>
      </w:r>
      <w:r w:rsidRPr="00C72445">
        <w:rPr>
          <w:rFonts w:ascii="Times New Roman" w:hAnsi="Times New Roman"/>
          <w:i/>
          <w:color w:val="000000" w:themeColor="text1"/>
        </w:rPr>
        <w:t>“especial trascendencia constitucional”</w:t>
      </w:r>
      <w:r w:rsidRPr="00C72445">
        <w:rPr>
          <w:rFonts w:ascii="Times New Roman" w:hAnsi="Times New Roman"/>
          <w:color w:val="000000" w:themeColor="text1"/>
        </w:rPr>
        <w:t>, casos que, como expondremos posteriormente, no han sido lo suficientemente clarificadores. Para más incertidumbre, el propio TC señaló en la citada sentencia que no se trataba de un elenco definitivamente cerrado de casos, lo cual suscita posibilita que se puedan incluir nuevos a los citados en la sentencia.</w:t>
      </w:r>
    </w:p>
    <w:p w14:paraId="0327040C"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La decisión última para admitir un recurso de amparo, además de la observancia de los requisitos procesales compete al Tribunal Constitucional, que deberá apreciar la existencia de una especial trascendencia constitucional en el asunto. De este modo, no basta con que el particular alegue una lesión de un derecho fundamental que no haya sido reparada por los tribunales ordinarios, sino que, además, el asunto deberá presentar algo más que justifique la intervención del Alto Tribunal.</w:t>
      </w:r>
    </w:p>
    <w:p w14:paraId="0AD300F3"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Como ya apuntamos, para que el amparo sea admitido por la Sección, se requiere la unanimidad. Si sólo se logra la mayoría, el asunto se trasladará a la Sala respectiva para que ésta decida (art. 50.2 LOTC).</w:t>
      </w:r>
    </w:p>
    <w:p w14:paraId="5BD833C8"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Las decisiones de inadmisión adoptadas por las Secciones o las Salas deben especificar el requisito incumplido. Contra la decisión de inadmisión del amparo, sólo cabe recurso del Ministerio Fiscal. Este recurso se resolverá mediante Auto y no podrá ser recurrido (art. 50.3 LOTC).</w:t>
      </w:r>
    </w:p>
    <w:p w14:paraId="11D89A8A" w14:textId="77777777" w:rsidR="00233659" w:rsidRDefault="006F44C0" w:rsidP="00233659">
      <w:pPr>
        <w:pStyle w:val="texto"/>
        <w:ind w:firstLine="0"/>
        <w:rPr>
          <w:rFonts w:ascii="Times New Roman" w:hAnsi="Times New Roman"/>
          <w:color w:val="000000" w:themeColor="text1"/>
        </w:rPr>
      </w:pPr>
      <w:r w:rsidRPr="00C72445">
        <w:rPr>
          <w:rFonts w:ascii="Times New Roman" w:hAnsi="Times New Roman"/>
          <w:color w:val="000000" w:themeColor="text1"/>
        </w:rPr>
        <w:t>Por último, el artículo señala que en los casos en que en la demanda de amparo concurran uno o varios defectos de naturaleza subsanable, se procederá en la forma que apunta el artículo 49.4. Si no se subsanara dentro del plazo fijado, la Sección acordará la inadmisión mediante providencia, contra la cual no cabrá recurso alguno.</w:t>
      </w:r>
    </w:p>
    <w:p w14:paraId="678096F1" w14:textId="6D03925E" w:rsidR="00233659" w:rsidRPr="00233659" w:rsidRDefault="00233659" w:rsidP="00233659">
      <w:pPr>
        <w:pStyle w:val="Ttulo4"/>
      </w:pPr>
      <w:bookmarkStart w:id="334" w:name="_Toc49866518"/>
      <w:r>
        <w:lastRenderedPageBreak/>
        <w:t>L</w:t>
      </w:r>
      <w:r w:rsidRPr="00233659">
        <w:t>a nueva configuración del trámite de admisión del recurso</w:t>
      </w:r>
      <w:bookmarkEnd w:id="334"/>
      <w:r w:rsidRPr="00233659">
        <w:t xml:space="preserve"> </w:t>
      </w:r>
    </w:p>
    <w:p w14:paraId="4B2B7A2F"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En la nueva regulación dada al recurso de amparo, éste es objeto de un trámite previo de admisión (art. 50.1 LOTC). En este nuevo trámite se decidirá sobre los siguientes aspectos: </w:t>
      </w:r>
    </w:p>
    <w:p w14:paraId="5DFB46B9" w14:textId="77777777" w:rsidR="00233659" w:rsidRPr="00233659" w:rsidRDefault="00233659" w:rsidP="003A63E8">
      <w:pPr>
        <w:pStyle w:val="texto"/>
        <w:numPr>
          <w:ilvl w:val="0"/>
          <w:numId w:val="67"/>
        </w:numPr>
        <w:rPr>
          <w:rFonts w:ascii="Times New Roman" w:hAnsi="Times New Roman"/>
          <w:color w:val="000000" w:themeColor="text1"/>
        </w:rPr>
      </w:pPr>
      <w:r w:rsidRPr="00233659">
        <w:rPr>
          <w:rFonts w:ascii="Times New Roman" w:hAnsi="Times New Roman"/>
          <w:color w:val="000000" w:themeColor="text1"/>
        </w:rPr>
        <w:t>En primer lugar, veremos si el recurrente en amparo está legitimado para presentar la demanda (art. 46 LOTC).</w:t>
      </w:r>
    </w:p>
    <w:p w14:paraId="0BD50565" w14:textId="77777777" w:rsidR="00233659" w:rsidRPr="00233659" w:rsidRDefault="00233659" w:rsidP="003A63E8">
      <w:pPr>
        <w:pStyle w:val="texto"/>
        <w:numPr>
          <w:ilvl w:val="0"/>
          <w:numId w:val="67"/>
        </w:numPr>
        <w:rPr>
          <w:rFonts w:ascii="Times New Roman" w:hAnsi="Times New Roman"/>
          <w:color w:val="000000" w:themeColor="text1"/>
        </w:rPr>
      </w:pPr>
      <w:r w:rsidRPr="00233659">
        <w:rPr>
          <w:rFonts w:ascii="Times New Roman" w:hAnsi="Times New Roman"/>
          <w:color w:val="000000" w:themeColor="text1"/>
        </w:rPr>
        <w:t>En segundo lugar, debemos determinar si el recurso ha sido formulado dentro del plazo previsto (arts. 42 a 44).</w:t>
      </w:r>
    </w:p>
    <w:p w14:paraId="063CB389" w14:textId="77777777" w:rsidR="00233659" w:rsidRPr="00233659" w:rsidRDefault="00233659" w:rsidP="003A63E8">
      <w:pPr>
        <w:pStyle w:val="texto"/>
        <w:numPr>
          <w:ilvl w:val="0"/>
          <w:numId w:val="67"/>
        </w:numPr>
        <w:rPr>
          <w:rFonts w:ascii="Times New Roman" w:hAnsi="Times New Roman"/>
          <w:color w:val="000000" w:themeColor="text1"/>
        </w:rPr>
      </w:pPr>
      <w:r w:rsidRPr="00233659">
        <w:rPr>
          <w:rFonts w:ascii="Times New Roman" w:hAnsi="Times New Roman"/>
          <w:color w:val="000000" w:themeColor="text1"/>
        </w:rPr>
        <w:t>En tercer lugar, debemos comprobar si se ha agotado la vía judicial previa o todos los medios de impugnación advertidos (arts. 43.1 y 44.).1</w:t>
      </w:r>
    </w:p>
    <w:p w14:paraId="61C038F4"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También tenemos que cerciorarnos de que se ha denunciado formalmente la vulneración tan pronto como tuvimos conocimiento de ella (art. 44.1 c).</w:t>
      </w:r>
    </w:p>
    <w:p w14:paraId="2655CC99"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Por último, es necesario que la demanda cumpla con las exigencias de claridad y concisión de los hechos; cite los preceptos constitucionales infringidos; especifique el amparo que se solicita para preservar o restablecer, en su caso, el derecho vulnerado y se alegue y acredite por parte del recurrente que el contenido del recurso justifique el pronunciamiento de una decisión sobre el fondo “en razón de su especial trascendencia constitucional , que se apreciará atendiendo a su importancia para la interpretación, aplicación o general eficacia de la Constitución y para la determinación del contenido y alcance de los derechos fundamentales” (arts. 49.1 y 50.1 b).</w:t>
      </w:r>
    </w:p>
    <w:p w14:paraId="4496C8E6" w14:textId="72D24DCB" w:rsidR="00233659" w:rsidRPr="00233659" w:rsidRDefault="007B7556" w:rsidP="003A63E8">
      <w:pPr>
        <w:pStyle w:val="texto"/>
        <w:ind w:firstLine="0"/>
        <w:rPr>
          <w:rFonts w:ascii="Times New Roman" w:hAnsi="Times New Roman"/>
          <w:color w:val="000000" w:themeColor="text1"/>
        </w:rPr>
      </w:pPr>
      <w:r w:rsidRPr="00233659">
        <w:rPr>
          <w:rFonts w:ascii="Times New Roman" w:hAnsi="Times New Roman"/>
          <w:color w:val="000000" w:themeColor="text1"/>
        </w:rPr>
        <w:t>VILLAVERDE apuntó</w:t>
      </w:r>
      <w:r w:rsidR="00233659" w:rsidRPr="00233659">
        <w:rPr>
          <w:rFonts w:ascii="Times New Roman" w:hAnsi="Times New Roman"/>
          <w:color w:val="000000" w:themeColor="text1"/>
        </w:rPr>
        <w:t xml:space="preserve"> que «el correcto uso y articulación del trámite de admisión de las demandas de amparo constituye (…) la pieza clave de la eficiencia de la jurisdicción de amparo (…). Lo que acabe siendo el recurso de amparo depende por completo de lo que se haga en su trámite de admisión».</w:t>
      </w:r>
    </w:p>
    <w:p w14:paraId="67A5E5AF"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Siguiendo la opinión de este autor, podemos decir que, teniendo en cuenta la enorme transformación que ha sufrido el trámite de admisión, tenemos un «nuevo» recurso de amparo.</w:t>
      </w:r>
    </w:p>
    <w:p w14:paraId="62696B60" w14:textId="1F33A52E"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lastRenderedPageBreak/>
        <w:t xml:space="preserve">Frente al sistema anterior, vemos un cambio en el tenor del trámite de admisión de la demanda de amparo, pasando de una admisión en negativo en la que simplemente se debía comprobar por parte del Tribunal que no concurrían las causas tasadas de inadmisión del recurso, a sancionar una admisión en </w:t>
      </w:r>
      <w:proofErr w:type="gramStart"/>
      <w:r w:rsidRPr="00233659">
        <w:rPr>
          <w:rFonts w:ascii="Times New Roman" w:hAnsi="Times New Roman"/>
          <w:color w:val="000000" w:themeColor="text1"/>
        </w:rPr>
        <w:t>positivo basada</w:t>
      </w:r>
      <w:proofErr w:type="gramEnd"/>
      <w:r w:rsidRPr="00233659">
        <w:rPr>
          <w:rFonts w:ascii="Times New Roman" w:hAnsi="Times New Roman"/>
          <w:color w:val="000000" w:themeColor="text1"/>
        </w:rPr>
        <w:t xml:space="preserve"> en la </w:t>
      </w:r>
      <w:r w:rsidR="007B7556" w:rsidRPr="00233659">
        <w:rPr>
          <w:rFonts w:ascii="Times New Roman" w:hAnsi="Times New Roman"/>
          <w:color w:val="000000" w:themeColor="text1"/>
        </w:rPr>
        <w:t>determinación de</w:t>
      </w:r>
      <w:r w:rsidRPr="00233659">
        <w:rPr>
          <w:rFonts w:ascii="Times New Roman" w:hAnsi="Times New Roman"/>
          <w:color w:val="000000" w:themeColor="text1"/>
        </w:rPr>
        <w:t xml:space="preserve"> la existencia o no de una especial trascendencia constitucional que ha de justificarse necesariamente en la demanda de amparo.</w:t>
      </w:r>
    </w:p>
    <w:p w14:paraId="014924EF" w14:textId="255DA31B"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Siguiendo lo dispuesto por HERNÁNDEZ </w:t>
      </w:r>
      <w:r w:rsidR="007B7556" w:rsidRPr="00233659">
        <w:rPr>
          <w:rFonts w:ascii="Times New Roman" w:hAnsi="Times New Roman"/>
          <w:color w:val="000000" w:themeColor="text1"/>
        </w:rPr>
        <w:t>RAMOS,</w:t>
      </w:r>
      <w:r w:rsidRPr="00233659">
        <w:rPr>
          <w:rFonts w:ascii="Times New Roman" w:hAnsi="Times New Roman"/>
          <w:color w:val="000000" w:themeColor="text1"/>
        </w:rPr>
        <w:t xml:space="preserve"> fueron principalmente dos las modificaciones que dieron lugar a este cambio.</w:t>
      </w:r>
    </w:p>
    <w:p w14:paraId="6E1A9D3E" w14:textId="3C126E18"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La primera de ellas es el cambio de los requisitos exigidos para la admisión de la demanda, especialmente de los sustantivos. Con la regulación previa a la reforma de 2007, el art. 50.1 de la LOTC disponía que la Sección, por unanimidad de sus miembros, podría acordar mediante providencia la inadmisión del recurso cuando concurriese alguno de los supuestos que enumeraba a </w:t>
      </w:r>
      <w:r w:rsidR="007B7556" w:rsidRPr="00233659">
        <w:rPr>
          <w:rFonts w:ascii="Times New Roman" w:hAnsi="Times New Roman"/>
          <w:color w:val="000000" w:themeColor="text1"/>
        </w:rPr>
        <w:t>continuación.</w:t>
      </w:r>
      <w:r w:rsidRPr="00233659">
        <w:rPr>
          <w:rFonts w:ascii="Times New Roman" w:hAnsi="Times New Roman"/>
          <w:color w:val="000000" w:themeColor="text1"/>
        </w:rPr>
        <w:t xml:space="preserve"> Estos requisitos aparecían en términos negativos, es decir, la demanda se admitiría mientras que no incumpliese ninguno de ellos. Por tanto, la labor de la Sección consistía en verificar que no se diera ninguno de estos supuestos de inadmisión.</w:t>
      </w:r>
    </w:p>
    <w:p w14:paraId="0E0F4B1D"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Tras la reforma esto cambió. Con el nuevo trámite de admisión el recurso de amparo se iniciará mediante una demanda en la que, junto a los requisitos formales hasta entonces exigidos al recurrente (exposición de los hechos que la fundamenten, preceptos constitucionales que se estimen infringidos y se fijar con precisión el amparo que se solicita para preservar o restablecer el derecho o libertad que se considere vulnerado), también se deberá justificar la especial trascendencia constitucional del recurso atendiendo al apartado 1 del art. 49. </w:t>
      </w:r>
    </w:p>
    <w:p w14:paraId="7BC152A6"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Como vemos, ahora se exige que concurran positivamente dos requisitos para que la Sección acuerde la admisión de la demanda de amparo:</w:t>
      </w:r>
    </w:p>
    <w:p w14:paraId="428CB692"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El primero de ellos, según el art. 50.1 apartado a), consiste en que el demandante cumpla lo exigido en los arts. 41 - 46 y 49 LOTC para que su recurso sea admitido a trámite por el TC.</w:t>
      </w:r>
    </w:p>
    <w:p w14:paraId="2B44DA14" w14:textId="68946DC0"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lastRenderedPageBreak/>
        <w:t xml:space="preserve"> El segundo, impone al demandante justificar en su </w:t>
      </w:r>
      <w:r w:rsidR="007B7556" w:rsidRPr="00233659">
        <w:rPr>
          <w:rFonts w:ascii="Times New Roman" w:hAnsi="Times New Roman"/>
          <w:color w:val="000000" w:themeColor="text1"/>
        </w:rPr>
        <w:t>demanda una</w:t>
      </w:r>
      <w:r w:rsidRPr="00233659">
        <w:rPr>
          <w:rFonts w:ascii="Times New Roman" w:hAnsi="Times New Roman"/>
          <w:color w:val="000000" w:themeColor="text1"/>
        </w:rPr>
        <w:t xml:space="preserve"> decisión sobre el fondo por parte del Tribunal en razón de su especial trascendencia constitucional, la cual será apreciada atendiendo a su importancia para la interpretación de la Constitución, para su aplicación o para su general eficacia, y para la determinación del contenido y alcance de los derechos fundamentales. </w:t>
      </w:r>
    </w:p>
    <w:p w14:paraId="0B6EFF58"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Con esta reforma la función del TC en el trámite de admisión cambió por completo. Se produce una inversión el juicio de admisibilidad al pasar de comprobar la inexistencia de las causas de inadmisión tasadas, a la verificación del cumplimiento de los dos requisitos ahora exigidos: Que la demanda cumpla con lo dispuesto en los artículos 41 a 46 y 49 y la justificación de una decisión sobre el fondo por parte del TC en razón de su especial trascendencia constitucional.</w:t>
      </w:r>
    </w:p>
    <w:p w14:paraId="3C4690C9"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La segunda modificación es consecuencia de la primera. Se trata de la inversión de la carga de la prueba de los requisitos de admisión de las demandas de amparo. </w:t>
      </w:r>
    </w:p>
    <w:p w14:paraId="7A2D433C"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Hasta ese momento la labor del TC consistía en comprobar si en las demandas de amparo concurría alguno de los supuestos de inadmisión del art. 50.1 LOTC. A partir de la reforma, es el recurrente el que debe demostrar que cumple todos los requisitos exigidos para la admisión. La importancia de este hecho radica, no tanto en los requisitos formales que siempre habían sido exigidos (arts. 41 a 46 más 49 LOTC) sino en el nuevo requisito de la especial trascendencia constitucional. Y es que, el demandante debe demostrar al TC que su caso reviste una especial importancia y por ello merece ser admitido a trámite. El trabajo del TC se reduce, en principio, a comprobar si las demandas presentadas justifican adecuadamente la especial trascendencia constitucional y por ello, deben ser admitidas a trámite.</w:t>
      </w:r>
    </w:p>
    <w:p w14:paraId="35795B4B"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Las nuevas causas de inadmisión, salvo la falta de justificación de la especial trascendencia constitucional, son puramente procesales. Es decir, pueden ser apreciadas por el Tribunal en la sentencia, incluso de oficio, y en caso de que se comprobara su incumplimiento, puede dictarse un pronunciamiento de inadmisión completa del recurso o del motivo que se vea afectado por dicha inobservancia. De esta manera, se ocasionaría la imposibilidad de enjuiciamiento del fondo de las pretensiones deducidas por el demandante. </w:t>
      </w:r>
    </w:p>
    <w:p w14:paraId="0BB027E3"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lastRenderedPageBreak/>
        <w:t xml:space="preserve">Cabe plantearse múltiples cuestiones respecto al nuevo trámite de admisión. En primer lugar, el principal cambio en aras a descongestionar el TC es que el esfuerzo argumentativo sea responsabilidad del recurrente, pues de su adecuada justificación de la especial trascendencia constitucional depende la admisión a trámite de su demanda. Como veremos a continuación, cabe plantearse si realmente este hecho descarga de trabajo al tribunal ya que la labor en sí de comprobar si cada una de las demandas que recibe justifican o no de manera adecuada la trascendencia constitucional es también un arduo trabajo que conlleva mucho tiempo. </w:t>
      </w:r>
    </w:p>
    <w:p w14:paraId="7FF6E88E"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Otra cuestión a destacar es el nivel de discrecionalidad del que van a disponer los miembros del TC con esta nueva regulación. BIEDMA FERRER expresó que la discrecionalidad de la que iban a gozar tras esta reforma le llevaba a plantearse si se podía llegar a convertir la admisión del amparo en un </w:t>
      </w:r>
      <w:proofErr w:type="spellStart"/>
      <w:r w:rsidRPr="00233659">
        <w:rPr>
          <w:rFonts w:ascii="Times New Roman" w:hAnsi="Times New Roman"/>
          <w:color w:val="000000" w:themeColor="text1"/>
        </w:rPr>
        <w:t>certiorari</w:t>
      </w:r>
      <w:proofErr w:type="spellEnd"/>
      <w:r w:rsidRPr="00233659">
        <w:rPr>
          <w:rFonts w:ascii="Times New Roman" w:hAnsi="Times New Roman"/>
          <w:color w:val="000000" w:themeColor="text1"/>
        </w:rPr>
        <w:t xml:space="preserve"> al más puro estilo estadounidense. </w:t>
      </w:r>
    </w:p>
    <w:p w14:paraId="3E449F86" w14:textId="77777777" w:rsidR="00233659" w:rsidRPr="00233659" w:rsidRDefault="00233659" w:rsidP="003A63E8">
      <w:pPr>
        <w:pStyle w:val="texto"/>
        <w:ind w:firstLine="0"/>
        <w:rPr>
          <w:rFonts w:ascii="Times New Roman" w:hAnsi="Times New Roman"/>
          <w:color w:val="000000" w:themeColor="text1"/>
        </w:rPr>
      </w:pPr>
      <w:r w:rsidRPr="00233659">
        <w:rPr>
          <w:rFonts w:ascii="Times New Roman" w:hAnsi="Times New Roman"/>
          <w:color w:val="000000" w:themeColor="text1"/>
        </w:rPr>
        <w:t xml:space="preserve">También es destacable el hecho de que esta reforma toma, en mi opinión, un claro camino hacia la objetivación del amparo, como veremos en el siguiente apartado de nuestro trabajo. Autores como CARRASCO DURÁN corroboran esta afirmación.  </w:t>
      </w:r>
    </w:p>
    <w:p w14:paraId="30B52CB8" w14:textId="5C01D29F" w:rsidR="00233659" w:rsidRDefault="00233659" w:rsidP="00233659">
      <w:pPr>
        <w:pStyle w:val="texto"/>
        <w:ind w:firstLine="0"/>
        <w:rPr>
          <w:rFonts w:ascii="Times New Roman" w:hAnsi="Times New Roman"/>
          <w:color w:val="000000" w:themeColor="text1"/>
        </w:rPr>
      </w:pPr>
      <w:r w:rsidRPr="00233659">
        <w:rPr>
          <w:rFonts w:ascii="Times New Roman" w:hAnsi="Times New Roman"/>
          <w:color w:val="000000" w:themeColor="text1"/>
        </w:rPr>
        <w:t>Vemos por tanto una gran problemática abierta en torno a la nueva regulación que la LO 6/2007 dio al recurso de amparo.</w:t>
      </w:r>
    </w:p>
    <w:p w14:paraId="0502CF3C" w14:textId="77777777" w:rsidR="006F44C0" w:rsidRPr="007B1578" w:rsidRDefault="006F44C0" w:rsidP="00C72445">
      <w:pPr>
        <w:pStyle w:val="Ttulo4"/>
      </w:pPr>
      <w:bookmarkStart w:id="335" w:name="_Toc531862044"/>
      <w:bookmarkStart w:id="336" w:name="_Toc533020356"/>
      <w:bookmarkStart w:id="337" w:name="_Toc49423640"/>
      <w:bookmarkStart w:id="338" w:name="_Toc49866519"/>
      <w:r>
        <w:lastRenderedPageBreak/>
        <w:t>S</w:t>
      </w:r>
      <w:r w:rsidRPr="007B1578">
        <w:t>ustanciación del proceso</w:t>
      </w:r>
      <w:bookmarkEnd w:id="335"/>
      <w:bookmarkEnd w:id="336"/>
      <w:bookmarkEnd w:id="337"/>
      <w:bookmarkEnd w:id="338"/>
    </w:p>
    <w:p w14:paraId="57D4D343"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La sustanciación del proceso aparece regulada en los artículos 51 y 52 de la LOTC. La reforma de la LO 6/2007 sólo modificó el artículo 52 de la LOTC</w:t>
      </w:r>
      <w:r w:rsidRPr="00C72445">
        <w:rPr>
          <w:rStyle w:val="Refdenotaalpie"/>
          <w:rFonts w:ascii="Times New Roman" w:hAnsi="Times New Roman"/>
          <w:color w:val="000000" w:themeColor="text1"/>
        </w:rPr>
        <w:footnoteReference w:id="158"/>
      </w:r>
      <w:r w:rsidRPr="00C72445">
        <w:rPr>
          <w:rFonts w:ascii="Times New Roman" w:hAnsi="Times New Roman"/>
          <w:color w:val="000000" w:themeColor="text1"/>
        </w:rPr>
        <w:t>, por tanto, el artículo 51 mantiene su antigua redacción.</w:t>
      </w:r>
      <w:r w:rsidRPr="00C72445">
        <w:rPr>
          <w:rStyle w:val="Refdenotaalpie"/>
          <w:rFonts w:ascii="Times New Roman" w:hAnsi="Times New Roman"/>
          <w:color w:val="000000" w:themeColor="text1"/>
        </w:rPr>
        <w:footnoteReference w:id="159"/>
      </w:r>
    </w:p>
    <w:p w14:paraId="1AB9A076"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Atendiendo a lo dispuesto en la actual redacción de los artículos 51 y 52 de la LOTC, una vez admitida la demanda de amparo, la Sala requerirá con carácter urgente al órgano o a la autoridad de que dimane la decisión, el acto o el hecho, o al Juez o Tribunal que conoció del procedimiento precedente para que, en plazo que no podrá exceder de diez días, remita las actuaciones o testimonio de ellas.</w:t>
      </w:r>
      <w:r w:rsidRPr="00C72445">
        <w:rPr>
          <w:rStyle w:val="Refdenotaalpie"/>
          <w:rFonts w:ascii="Times New Roman" w:hAnsi="Times New Roman"/>
          <w:color w:val="000000" w:themeColor="text1"/>
        </w:rPr>
        <w:footnoteReference w:id="160"/>
      </w:r>
    </w:p>
    <w:p w14:paraId="5E4D90A7"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El órgano, autoridad, Juez o Tribunal acusará inmediato recibo del requerimiento, cumplimentará el envío dentro del plazo señalado y emplazará a quienes fueron parte en el procedimiento antecedente para que puedan comparecer en el proceso constitucional en el plazo de diez días.</w:t>
      </w:r>
    </w:p>
    <w:p w14:paraId="60B342F0" w14:textId="6AE68A08"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 xml:space="preserve">Cuando se hayan recibido las actuaciones y haya transcurrido el tiempo de emplazamiento, la Sala dará vista de las mismas a quien promovió el amparo, a los personados en el proceso, al Abogado del Estado, en el caso de que estuviera interesada la Administración </w:t>
      </w:r>
      <w:r w:rsidR="007B7556" w:rsidRPr="00C72445">
        <w:rPr>
          <w:rFonts w:ascii="Times New Roman" w:hAnsi="Times New Roman"/>
          <w:color w:val="000000" w:themeColor="text1"/>
        </w:rPr>
        <w:t>Pública, y</w:t>
      </w:r>
      <w:r w:rsidRPr="00C72445">
        <w:rPr>
          <w:rFonts w:ascii="Times New Roman" w:hAnsi="Times New Roman"/>
          <w:color w:val="000000" w:themeColor="text1"/>
        </w:rPr>
        <w:t xml:space="preserve"> al Ministerio Fiscal. La vista será por plazo común que no podrá exceder de veinte días, y durante él podrán presentarse las alegaciones procedentes.</w:t>
      </w:r>
    </w:p>
    <w:p w14:paraId="581BDD15"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Una vez presentadas las alegaciones o transcurrido el plazo otorgado para efectuarlas, la Sala podrá deferir la resolución del recurso, cuando para su resolución sea aplicable doctrina consolidada del TC, a una de sus Secciones o señalar día para la vista, en su caso, o deliberación y votación.</w:t>
      </w:r>
    </w:p>
    <w:p w14:paraId="3FFD5E0C"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La Sala, o en su caso la Sección, pronunciará la sentencia que proceda en el plazo de 10 días a partir del día señalado para la vista o deliberación.</w:t>
      </w:r>
    </w:p>
    <w:p w14:paraId="760DD004"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Si nos centramos ahora en la comparación de la antigua y la nueva redacción del artículo 52, podemos destacar tres puntos. </w:t>
      </w:r>
    </w:p>
    <w:p w14:paraId="0AF22B9B"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En primer lugar, la modificación del apartado 2º al haberse añadido la posibilidad de que sea una Sección la que conozca del recurso de amparo. Sin embargo, la Sección sólo podrá conocer del asunto en los casos en los que haya que aplicar una jurisprudencia anterior ya consolidada.</w:t>
      </w:r>
    </w:p>
    <w:p w14:paraId="077FA06B"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Cabe destacar que, con el paso de los años, las Secciones han ido disminuyendo considerablemente el número de Sentencias que dictan. Y es que, desde el año 2012 en el que sólo se dictó una Sentencia por la Sección 4º del TC, no se ha vuelto a dictar ninguna más por parte de ninguna Sección. En contraposición, en los primeros años sí que fueron dictadas todos los años numerosas Sentencias por parte de las Secciones.</w:t>
      </w:r>
      <w:r w:rsidRPr="00C72445">
        <w:rPr>
          <w:rStyle w:val="Refdenotaalpie"/>
          <w:rFonts w:ascii="Times New Roman" w:hAnsi="Times New Roman"/>
          <w:color w:val="000000" w:themeColor="text1"/>
        </w:rPr>
        <w:footnoteReference w:id="161"/>
      </w:r>
    </w:p>
    <w:p w14:paraId="4639EACF"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Podemos pensar, atendiendo a los datos, que se está dando una tendencia a que cada vez se admitan a trámite y, por tanto, se resuelvan menos recursos de amparo que tengan una respuesta en doctrina ya consolidada por nuestro TC. Lo cual nos haría pensar que la objetivación se subrayaría aún más al comenzar a admitir a trámite y resolver sólo casos en los que el TC no se haya pronunciado nunca y no tengan, por tanto, ninguna doctrina consolidada al respecto.</w:t>
      </w:r>
    </w:p>
    <w:p w14:paraId="36F1DB0B"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En segundo lugar, este mismo apartado elimina la posibilidad de que las partes soliciten la celebración de vista oral. Ahora, solamente la Sala o la Sección podrán determinar de oficio la celebración de vista o acordar la deliberación y votación sin que sea abierto a las partes o al público.</w:t>
      </w:r>
    </w:p>
    <w:p w14:paraId="776D18A6"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Por último, el apartado 3º de este artículo también ha sido modificado reformándose el plazo para dictar sentencia. En lugar de ser diez días desde la presentación de las alegaciones por las partes, será de diez días a contar desde la fecha en que se acuerde que el Tribunal conocerá del fondo del asunto.</w:t>
      </w:r>
    </w:p>
    <w:p w14:paraId="4C1B60A6" w14:textId="548343A7" w:rsidR="006F44C0" w:rsidRDefault="00756616" w:rsidP="00C72445">
      <w:pPr>
        <w:pStyle w:val="Ttulo3"/>
      </w:pPr>
      <w:bookmarkStart w:id="339" w:name="_Toc531862045"/>
      <w:bookmarkStart w:id="340" w:name="_Toc533020357"/>
      <w:bookmarkStart w:id="341" w:name="_Toc49423641"/>
      <w:bookmarkStart w:id="342" w:name="_Toc49708585"/>
      <w:bookmarkStart w:id="343" w:name="_Toc49790272"/>
      <w:bookmarkStart w:id="344" w:name="_Toc49866520"/>
      <w:bookmarkStart w:id="345" w:name="_Toc50373162"/>
      <w:r>
        <w:t>La</w:t>
      </w:r>
      <w:r w:rsidRPr="00801237">
        <w:t xml:space="preserve"> resolución de los r</w:t>
      </w:r>
      <w:r>
        <w:t>ecursos de amparo</w:t>
      </w:r>
      <w:r w:rsidRPr="00801237">
        <w:t xml:space="preserve"> y sus efectos</w:t>
      </w:r>
      <w:bookmarkEnd w:id="339"/>
      <w:bookmarkEnd w:id="340"/>
      <w:bookmarkEnd w:id="341"/>
      <w:bookmarkEnd w:id="342"/>
      <w:bookmarkEnd w:id="343"/>
      <w:bookmarkEnd w:id="344"/>
      <w:bookmarkEnd w:id="345"/>
    </w:p>
    <w:p w14:paraId="5157A036" w14:textId="77777777" w:rsidR="006F44C0" w:rsidRPr="00554CB5" w:rsidRDefault="006F44C0" w:rsidP="001A4310">
      <w:pPr>
        <w:pStyle w:val="Ttulo4"/>
        <w:numPr>
          <w:ilvl w:val="0"/>
          <w:numId w:val="49"/>
        </w:numPr>
      </w:pPr>
      <w:bookmarkStart w:id="346" w:name="_Toc533020358"/>
      <w:bookmarkStart w:id="347" w:name="_Toc49423642"/>
      <w:bookmarkStart w:id="348" w:name="_Toc49866521"/>
      <w:r>
        <w:t>La sentencia de amparo</w:t>
      </w:r>
      <w:bookmarkEnd w:id="346"/>
      <w:bookmarkEnd w:id="347"/>
      <w:bookmarkEnd w:id="348"/>
    </w:p>
    <w:p w14:paraId="29AA24A4"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Podemos destacar dos cuestiones importantes en este apartado: en primer lugar, la determinación de quién ha de conocer el recurso de amparo y, la segunda, cuál va a ser el contenido de la resolución. </w:t>
      </w:r>
    </w:p>
    <w:p w14:paraId="7F4C6611" w14:textId="4DFC9CDA"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Respecto al primer punto, el artículo 53 de la LOTC determina que la Sentencia dictada al conocer del fondo del recurso otorgará o </w:t>
      </w:r>
      <w:r w:rsidR="007B7556" w:rsidRPr="00C72445">
        <w:rPr>
          <w:rFonts w:ascii="Times New Roman" w:hAnsi="Times New Roman"/>
          <w:color w:val="000000" w:themeColor="text1"/>
        </w:rPr>
        <w:t>denegará</w:t>
      </w:r>
      <w:r w:rsidRPr="00C72445">
        <w:rPr>
          <w:rFonts w:ascii="Times New Roman" w:hAnsi="Times New Roman"/>
          <w:color w:val="000000" w:themeColor="text1"/>
        </w:rPr>
        <w:t xml:space="preserve"> el amparo solicitado.</w:t>
      </w:r>
    </w:p>
    <w:p w14:paraId="30F486C0" w14:textId="77777777" w:rsidR="006F44C0" w:rsidRPr="00C72445" w:rsidRDefault="006F44C0" w:rsidP="006F44C0">
      <w:pPr>
        <w:pStyle w:val="texto"/>
        <w:ind w:firstLine="0"/>
        <w:rPr>
          <w:rFonts w:ascii="Times New Roman" w:hAnsi="Times New Roman"/>
          <w:i/>
          <w:color w:val="000000" w:themeColor="text1"/>
        </w:rPr>
      </w:pPr>
      <w:r w:rsidRPr="00C72445">
        <w:rPr>
          <w:rFonts w:ascii="Times New Roman" w:hAnsi="Times New Roman"/>
          <w:color w:val="000000" w:themeColor="text1"/>
        </w:rPr>
        <w:t xml:space="preserve">Este artículo sólo ha sido modificado para añadir que la Sección también podrá conocer del fondo del asunto y pronunciar sentencia. Según determina el artículo 8.3 de la LOTC </w:t>
      </w:r>
      <w:r w:rsidRPr="00C72445">
        <w:rPr>
          <w:rFonts w:ascii="Times New Roman" w:hAnsi="Times New Roman"/>
          <w:i/>
          <w:color w:val="000000" w:themeColor="text1"/>
        </w:rPr>
        <w:t>“Podrá corresponder también a las Secciones el conocimiento y resolución de aquellos asuntos de amparo que la Sala correspondiente les defiera en los términos previstos en esta ley”.</w:t>
      </w:r>
    </w:p>
    <w:p w14:paraId="2FE22EDF" w14:textId="77777777" w:rsidR="006F44C0" w:rsidRPr="00C72445" w:rsidRDefault="006F44C0" w:rsidP="006F44C0">
      <w:pPr>
        <w:pStyle w:val="texto"/>
        <w:ind w:firstLine="0"/>
        <w:rPr>
          <w:rFonts w:ascii="Times New Roman" w:hAnsi="Times New Roman"/>
          <w:i/>
          <w:color w:val="000000" w:themeColor="text1"/>
        </w:rPr>
      </w:pPr>
      <w:r w:rsidRPr="00C72445">
        <w:rPr>
          <w:rFonts w:ascii="Times New Roman" w:hAnsi="Times New Roman"/>
          <w:color w:val="000000" w:themeColor="text1"/>
        </w:rPr>
        <w:lastRenderedPageBreak/>
        <w:t>El artículo 11.2 añade lo siguiente: “</w:t>
      </w:r>
      <w:r w:rsidRPr="00C72445">
        <w:rPr>
          <w:rFonts w:ascii="Times New Roman" w:hAnsi="Times New Roman"/>
          <w:i/>
          <w:color w:val="000000" w:themeColor="text1"/>
        </w:rPr>
        <w:t>También conocerán las Salas de aquellas cuestiones que, habiendo sido atribuidas al conocimiento de las Secciones, entiendan que por su importancia deba resolver la propia Sala”.</w:t>
      </w:r>
    </w:p>
    <w:p w14:paraId="132CE08E" w14:textId="7C001D06"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Por tanto, las Secciones conocerán de los recursos de amparo para cuya resolución baste con la aplicación de una doctrina consolidada por </w:t>
      </w:r>
      <w:r w:rsidR="007B7556" w:rsidRPr="00C72445">
        <w:rPr>
          <w:rFonts w:ascii="Times New Roman" w:hAnsi="Times New Roman"/>
          <w:color w:val="000000" w:themeColor="text1"/>
        </w:rPr>
        <w:t>las jurisprudencias</w:t>
      </w:r>
      <w:r w:rsidRPr="00C72445">
        <w:rPr>
          <w:rFonts w:ascii="Times New Roman" w:hAnsi="Times New Roman"/>
          <w:color w:val="000000" w:themeColor="text1"/>
        </w:rPr>
        <w:t xml:space="preserve"> del propio Tribunal Constitucional. Además, conocerá de aquellos asuntos que la Sala correspondiente les difiera en los términos previstos. Por el contrario, serán las Salas las que conozcan de aquellas cuestiones que, habiendo sido en un principio atribuidas al conocimiento de las Secciones, se entienda que por su importancia deben ser resueltas por la propia Sala.</w:t>
      </w:r>
    </w:p>
    <w:p w14:paraId="3BAF5C43"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Ya hemos visto en el apartado anterior que en la práctica ha ido disminuyendo considerablemente el número de Sentencias resueltas por las Secciones en aplicación de doctrina consolidada del TC. </w:t>
      </w:r>
    </w:p>
    <w:p w14:paraId="5173446A"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Respecto al artículo 54 de la LOTC, sólo se le ha añadido la posibilidad de resolución por la Sección. </w:t>
      </w:r>
      <w:r w:rsidRPr="00C72445">
        <w:rPr>
          <w:rStyle w:val="Refdenotaalpie"/>
          <w:rFonts w:ascii="Times New Roman" w:hAnsi="Times New Roman"/>
          <w:color w:val="000000" w:themeColor="text1"/>
        </w:rPr>
        <w:footnoteReference w:id="162"/>
      </w:r>
    </w:p>
    <w:p w14:paraId="4E147AB0" w14:textId="5B67E2A0"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El apartado 1º del artículo 55, por su parte, no ha sido objeto de modificación, por lo </w:t>
      </w:r>
      <w:r w:rsidR="007B7556" w:rsidRPr="00C72445">
        <w:rPr>
          <w:rFonts w:ascii="Times New Roman" w:hAnsi="Times New Roman"/>
          <w:color w:val="000000" w:themeColor="text1"/>
        </w:rPr>
        <w:t>tanto,</w:t>
      </w:r>
      <w:r w:rsidRPr="00C72445">
        <w:rPr>
          <w:rFonts w:ascii="Times New Roman" w:hAnsi="Times New Roman"/>
          <w:color w:val="000000" w:themeColor="text1"/>
        </w:rPr>
        <w:t xml:space="preserve"> en caso de que se otorgue el amparo, la Sentencia contendrá alguno de los siguientes pronunciamientos:</w:t>
      </w:r>
    </w:p>
    <w:p w14:paraId="02B38629" w14:textId="77777777" w:rsidR="006F44C0" w:rsidRPr="00C72445" w:rsidRDefault="006F44C0" w:rsidP="001218F1">
      <w:pPr>
        <w:pStyle w:val="Prrafodelista"/>
        <w:numPr>
          <w:ilvl w:val="0"/>
          <w:numId w:val="10"/>
        </w:numPr>
        <w:rPr>
          <w:color w:val="000000" w:themeColor="text1"/>
        </w:rPr>
      </w:pPr>
      <w:r w:rsidRPr="00C72445">
        <w:rPr>
          <w:color w:val="000000" w:themeColor="text1"/>
        </w:rPr>
        <w:t>declaración de nulidad de la decisión, acto o resolución impugnado;</w:t>
      </w:r>
    </w:p>
    <w:p w14:paraId="3C2E8CAA" w14:textId="77777777" w:rsidR="006F44C0" w:rsidRPr="00C72445" w:rsidRDefault="006F44C0" w:rsidP="001218F1">
      <w:pPr>
        <w:pStyle w:val="Prrafodelista"/>
        <w:numPr>
          <w:ilvl w:val="0"/>
          <w:numId w:val="10"/>
        </w:numPr>
        <w:rPr>
          <w:color w:val="000000" w:themeColor="text1"/>
        </w:rPr>
      </w:pPr>
      <w:r w:rsidRPr="00C72445">
        <w:rPr>
          <w:color w:val="000000" w:themeColor="text1"/>
        </w:rPr>
        <w:t>reconocimiento del derecho o libertad pública vulnerado;</w:t>
      </w:r>
    </w:p>
    <w:p w14:paraId="60D73152" w14:textId="77777777" w:rsidR="006F44C0" w:rsidRPr="00C72445" w:rsidRDefault="006F44C0" w:rsidP="001218F1">
      <w:pPr>
        <w:pStyle w:val="Prrafodelista"/>
        <w:numPr>
          <w:ilvl w:val="0"/>
          <w:numId w:val="10"/>
        </w:numPr>
        <w:rPr>
          <w:color w:val="000000" w:themeColor="text1"/>
        </w:rPr>
      </w:pPr>
      <w:r w:rsidRPr="00C72445">
        <w:rPr>
          <w:color w:val="000000" w:themeColor="text1"/>
        </w:rPr>
        <w:t>restablecimiento del recurrente en la integridad de su derecho o libertad con la adopción de las medidas apropiadas, en su caso, para su conservación.</w:t>
      </w:r>
    </w:p>
    <w:p w14:paraId="3A8C0648"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La Sentencia que ponga fin al recurso de amparo puede conceder (total o parcialmente) o denegar el amparo. </w:t>
      </w:r>
    </w:p>
    <w:p w14:paraId="28D9DCC9"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Conviene recordar que el recurso de amparo es un proceso cuyo objeto es la garantía de los derechos fundamentales, por lo que la sentencia limita su pronunciamiento a declarar si ha existido lesión de derechos fundamentales y, si la hubiere, a restablecer al demandante en la integridad de su derecho. Para ello, se anula el acto o resolución que vulneró el derecho y se emplaza al órgano competente para que vuelva a dictar resolución respetando en esta ocasión el derecho violado anteriormente.</w:t>
      </w:r>
    </w:p>
    <w:p w14:paraId="48F7E2AF" w14:textId="2B405A7D"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Como el recurso de amparo no es un proceso judicial, el TC no conocerá de los hechos que subyacen al supuesto en cuestión, de manera </w:t>
      </w:r>
      <w:r w:rsidR="007B7556" w:rsidRPr="00C72445">
        <w:rPr>
          <w:rFonts w:ascii="Times New Roman" w:hAnsi="Times New Roman"/>
          <w:color w:val="000000" w:themeColor="text1"/>
        </w:rPr>
        <w:t>que,</w:t>
      </w:r>
      <w:r w:rsidRPr="00C72445">
        <w:rPr>
          <w:rFonts w:ascii="Times New Roman" w:hAnsi="Times New Roman"/>
          <w:color w:val="000000" w:themeColor="text1"/>
        </w:rPr>
        <w:t xml:space="preserve"> si un tribunal ha considerado probados unos hechos, el órgano constitucional no alterará esa condición.</w:t>
      </w:r>
    </w:p>
    <w:p w14:paraId="3297AAC8" w14:textId="77777777" w:rsidR="006F44C0" w:rsidRDefault="006F44C0" w:rsidP="00C72445">
      <w:pPr>
        <w:pStyle w:val="Ttulo4"/>
      </w:pPr>
      <w:bookmarkStart w:id="349" w:name="_Toc533020359"/>
      <w:bookmarkStart w:id="350" w:name="_Toc49423643"/>
      <w:bookmarkStart w:id="351" w:name="_Toc49866522"/>
      <w:r>
        <w:t xml:space="preserve">La </w:t>
      </w:r>
      <w:proofErr w:type="spellStart"/>
      <w:r>
        <w:t>autocuestión</w:t>
      </w:r>
      <w:proofErr w:type="spellEnd"/>
      <w:r w:rsidRPr="00554CB5">
        <w:t xml:space="preserve"> de inconstitucionalidad</w:t>
      </w:r>
      <w:bookmarkEnd w:id="349"/>
      <w:bookmarkEnd w:id="350"/>
      <w:bookmarkEnd w:id="351"/>
    </w:p>
    <w:p w14:paraId="7F7F7E03" w14:textId="77777777" w:rsidR="006F44C0" w:rsidRPr="00C72445" w:rsidRDefault="006F44C0" w:rsidP="006F44C0">
      <w:pPr>
        <w:rPr>
          <w:color w:val="000000" w:themeColor="text1"/>
          <w:szCs w:val="24"/>
        </w:rPr>
      </w:pPr>
      <w:r w:rsidRPr="00C72445">
        <w:rPr>
          <w:color w:val="000000" w:themeColor="text1"/>
          <w:szCs w:val="24"/>
        </w:rPr>
        <w:t>Otro aspecto que ha sufrido una modificación de profundo calado es la denominada “</w:t>
      </w:r>
      <w:proofErr w:type="spellStart"/>
      <w:r w:rsidRPr="00C72445">
        <w:rPr>
          <w:color w:val="000000" w:themeColor="text1"/>
          <w:szCs w:val="24"/>
        </w:rPr>
        <w:t>autocuestión</w:t>
      </w:r>
      <w:proofErr w:type="spellEnd"/>
      <w:r w:rsidRPr="00C72445">
        <w:rPr>
          <w:color w:val="000000" w:themeColor="text1"/>
          <w:szCs w:val="24"/>
        </w:rPr>
        <w:t xml:space="preserve"> de inconstitucionalidad”, regulada</w:t>
      </w:r>
      <w:r w:rsidRPr="00C72445">
        <w:rPr>
          <w:rStyle w:val="Refdenotaalpie"/>
          <w:color w:val="000000" w:themeColor="text1"/>
          <w:szCs w:val="24"/>
        </w:rPr>
        <w:footnoteReference w:id="163"/>
      </w:r>
      <w:r w:rsidRPr="00C72445">
        <w:rPr>
          <w:color w:val="000000" w:themeColor="text1"/>
          <w:szCs w:val="24"/>
        </w:rPr>
        <w:t xml:space="preserve"> en el apartado 2º del artículo 55.</w:t>
      </w:r>
    </w:p>
    <w:p w14:paraId="5912449B"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Como sabemos, la cuestión interna de inconstitucionalidad es una duda sobre la constitucionalidad de una ley pero que en vez de tenerla un juez surge en el seno del propio Tribunal Constitucional. </w:t>
      </w:r>
    </w:p>
    <w:p w14:paraId="2CDED08B" w14:textId="77777777" w:rsidR="006F44C0" w:rsidRPr="00C72445" w:rsidRDefault="006F44C0" w:rsidP="006F44C0">
      <w:pPr>
        <w:rPr>
          <w:color w:val="000000" w:themeColor="text1"/>
          <w:szCs w:val="24"/>
        </w:rPr>
      </w:pPr>
      <w:r w:rsidRPr="00C72445">
        <w:rPr>
          <w:color w:val="000000" w:themeColor="text1"/>
          <w:szCs w:val="24"/>
        </w:rPr>
        <w:t xml:space="preserve">Anteriormente, la </w:t>
      </w:r>
      <w:proofErr w:type="spellStart"/>
      <w:r w:rsidRPr="00C72445">
        <w:rPr>
          <w:color w:val="000000" w:themeColor="text1"/>
          <w:szCs w:val="24"/>
        </w:rPr>
        <w:t>autocuestión</w:t>
      </w:r>
      <w:proofErr w:type="spellEnd"/>
      <w:r w:rsidRPr="00C72445">
        <w:rPr>
          <w:color w:val="000000" w:themeColor="text1"/>
          <w:szCs w:val="24"/>
        </w:rPr>
        <w:t xml:space="preserve"> de inconstitucionalidad era posterior a la resolución del recurso de amparo y su resultado no podía incidir sobre la sentencia estimatoria del amparo, que era ya firme a todos los efectos. </w:t>
      </w:r>
    </w:p>
    <w:p w14:paraId="7AF31CFD" w14:textId="64DBF953" w:rsidR="006F44C0" w:rsidRPr="00C72445" w:rsidRDefault="006F44C0" w:rsidP="006F44C0">
      <w:pPr>
        <w:rPr>
          <w:color w:val="000000" w:themeColor="text1"/>
          <w:szCs w:val="24"/>
        </w:rPr>
      </w:pPr>
      <w:r w:rsidRPr="00C72445">
        <w:rPr>
          <w:color w:val="000000" w:themeColor="text1"/>
          <w:szCs w:val="24"/>
        </w:rPr>
        <w:t>Tras la reforma, lo que se prevé es una “</w:t>
      </w:r>
      <w:proofErr w:type="spellStart"/>
      <w:r w:rsidRPr="00C72445">
        <w:rPr>
          <w:color w:val="000000" w:themeColor="text1"/>
          <w:szCs w:val="24"/>
        </w:rPr>
        <w:t>autocuestión</w:t>
      </w:r>
      <w:proofErr w:type="spellEnd"/>
      <w:r w:rsidRPr="00C72445">
        <w:rPr>
          <w:color w:val="000000" w:themeColor="text1"/>
          <w:szCs w:val="24"/>
        </w:rPr>
        <w:t xml:space="preserve">” elevada con carácter previo a la resolución de </w:t>
      </w:r>
      <w:r w:rsidR="007B7556" w:rsidRPr="00C72445">
        <w:rPr>
          <w:color w:val="000000" w:themeColor="text1"/>
          <w:szCs w:val="24"/>
        </w:rPr>
        <w:t>la Sentencia</w:t>
      </w:r>
      <w:r w:rsidRPr="00C72445">
        <w:rPr>
          <w:color w:val="000000" w:themeColor="text1"/>
          <w:szCs w:val="24"/>
        </w:rPr>
        <w:t xml:space="preserve"> de amparo. Esto quiere decir que, desde 2007, en los casos en los que se dude acerca de la constitucionalidad de la ley de cobertura del acto y ello sea determinante para otorgar o denegar el amparo, la Sala o la Sección deberán suspender el plazo para dictar sentencia y plantear la </w:t>
      </w:r>
      <w:proofErr w:type="spellStart"/>
      <w:r w:rsidRPr="00C72445">
        <w:rPr>
          <w:color w:val="000000" w:themeColor="text1"/>
          <w:szCs w:val="24"/>
        </w:rPr>
        <w:t>autocuestión</w:t>
      </w:r>
      <w:proofErr w:type="spellEnd"/>
      <w:r w:rsidRPr="00C72445">
        <w:rPr>
          <w:color w:val="000000" w:themeColor="text1"/>
          <w:szCs w:val="24"/>
        </w:rPr>
        <w:t xml:space="preserve">. Y además en este caso, esta </w:t>
      </w:r>
      <w:proofErr w:type="spellStart"/>
      <w:r w:rsidRPr="00C72445">
        <w:rPr>
          <w:color w:val="000000" w:themeColor="text1"/>
          <w:szCs w:val="24"/>
        </w:rPr>
        <w:t>autocuestión</w:t>
      </w:r>
      <w:proofErr w:type="spellEnd"/>
      <w:r w:rsidRPr="00C72445">
        <w:rPr>
          <w:color w:val="000000" w:themeColor="text1"/>
          <w:szCs w:val="24"/>
        </w:rPr>
        <w:t xml:space="preserve"> se deberá resolver necesariamente por el Pleno del TC.</w:t>
      </w:r>
    </w:p>
    <w:p w14:paraId="5BAC1476"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 xml:space="preserve">Por tanto, en estos casos será el propio Tribunal Constitucional el que, cuando esté resolviendo un proceso de amparo, normalmente en Sala, se plantee que la posible lesión del derecho fundamental proviene de la aplicación de una ley inconstitucional. En este caso, se suspenderá el proceso de amparo y se planteará la duda como si de una cuestión de inconstitucionalidad se tratase, es decir, será el propio Tribunal el que se </w:t>
      </w:r>
      <w:proofErr w:type="spellStart"/>
      <w:r w:rsidRPr="00C72445">
        <w:rPr>
          <w:rFonts w:ascii="Times New Roman" w:hAnsi="Times New Roman"/>
          <w:color w:val="000000" w:themeColor="text1"/>
        </w:rPr>
        <w:t>autocuestione</w:t>
      </w:r>
      <w:proofErr w:type="spellEnd"/>
      <w:r w:rsidRPr="00C72445">
        <w:rPr>
          <w:rFonts w:ascii="Times New Roman" w:hAnsi="Times New Roman"/>
          <w:color w:val="000000" w:themeColor="text1"/>
        </w:rPr>
        <w:t xml:space="preserve"> la constitucionalidad de la Ley. Una vez dictada la sentencia sobre esta en otro procedimiento distinto, se retomará por la Sala el recurso de amparo, bien para estimarlo o desestimarlo.</w:t>
      </w:r>
    </w:p>
    <w:p w14:paraId="7399EB20"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Como vemos, cada procedimiento tiene su propio objeto, los de constitucionalidad de las leyes tienen el de determinar la constitucionalidad o no de la ley. El objeto del recurso de amparo es si se ha lesionado un derecho o no, y por tanto no la constitucionalidad o no de la Ley que lo lesione. Es por este motivo que, en estos casos, deberá abrirse un procedimiento aparte para resolver estas cuestiones y, hasta que no haya decidido sobre ello, no podrá proseguirse con el proceso de amparo.</w:t>
      </w:r>
    </w:p>
    <w:p w14:paraId="72DE18EB" w14:textId="77777777" w:rsidR="006F44C0" w:rsidRDefault="006F44C0" w:rsidP="00C72445">
      <w:pPr>
        <w:pStyle w:val="Ttulo4"/>
      </w:pPr>
      <w:bookmarkStart w:id="352" w:name="_Toc533020360"/>
      <w:bookmarkStart w:id="353" w:name="_Toc49423644"/>
      <w:bookmarkStart w:id="354" w:name="_Toc49866523"/>
      <w:r>
        <w:t>La suspensión</w:t>
      </w:r>
      <w:bookmarkEnd w:id="352"/>
      <w:bookmarkEnd w:id="353"/>
      <w:bookmarkEnd w:id="354"/>
    </w:p>
    <w:p w14:paraId="4D6ED799"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El Título III de la LOTC termina con la regulación de la suspensión en sus artículos 56, 57 y 58. La LO 6/2007 sólo ha modificado el artículo 56, quedando el resto de la regulación como estaba</w:t>
      </w:r>
      <w:r w:rsidRPr="00C72445">
        <w:rPr>
          <w:rStyle w:val="Refdenotaalpie"/>
          <w:rFonts w:ascii="Times New Roman" w:hAnsi="Times New Roman"/>
          <w:color w:val="000000" w:themeColor="text1"/>
        </w:rPr>
        <w:footnoteReference w:id="164"/>
      </w:r>
      <w:r w:rsidRPr="00C72445">
        <w:rPr>
          <w:rFonts w:ascii="Times New Roman" w:hAnsi="Times New Roman"/>
          <w:color w:val="000000" w:themeColor="text1"/>
        </w:rPr>
        <w:t>.</w:t>
      </w:r>
    </w:p>
    <w:p w14:paraId="3051D589"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Destaca de la nueva redacción dada al artículo 56 su amplitud. De los dos apartados que antes contenía este artículo</w:t>
      </w:r>
      <w:r w:rsidRPr="00C72445">
        <w:rPr>
          <w:rStyle w:val="Refdenotaalpie"/>
          <w:rFonts w:ascii="Times New Roman" w:hAnsi="Times New Roman"/>
          <w:color w:val="000000" w:themeColor="text1"/>
        </w:rPr>
        <w:footnoteReference w:id="165"/>
      </w:r>
      <w:r w:rsidRPr="00C72445">
        <w:rPr>
          <w:rFonts w:ascii="Times New Roman" w:hAnsi="Times New Roman"/>
          <w:color w:val="000000" w:themeColor="text1"/>
        </w:rPr>
        <w:t>, se ha pasado a seis</w:t>
      </w:r>
      <w:r w:rsidRPr="00C72445">
        <w:rPr>
          <w:rStyle w:val="Refdenotaalpie"/>
          <w:rFonts w:ascii="Times New Roman" w:hAnsi="Times New Roman"/>
          <w:color w:val="000000" w:themeColor="text1"/>
        </w:rPr>
        <w:footnoteReference w:id="166"/>
      </w:r>
      <w:r w:rsidRPr="00C72445">
        <w:rPr>
          <w:rFonts w:ascii="Times New Roman" w:hAnsi="Times New Roman"/>
          <w:color w:val="000000" w:themeColor="text1"/>
        </w:rPr>
        <w:t>.</w:t>
      </w:r>
    </w:p>
    <w:p w14:paraId="4E79B126"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Como regla general, la interposición del recurso de amparo no suspenderá los efectos del acto o sentencia impugnados (art. 56.1 LOTC).</w:t>
      </w:r>
    </w:p>
    <w:p w14:paraId="2D8DEA7A"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En los casos en que la ejecución del acto o sentencia impugnados produzca un perjuicio al recurrente que pudiera hacer perder al amparo su finalidad, la Sala, o la Sección en el supuesto del artículo 52.2, de oficio o a instancia del recurrente, podrá disponer la suspensión, total o parcial, de sus efectos, siempre y cuando la suspensión no ocasione </w:t>
      </w:r>
      <w:r w:rsidRPr="00C72445">
        <w:rPr>
          <w:rFonts w:ascii="Times New Roman" w:hAnsi="Times New Roman"/>
          <w:color w:val="000000" w:themeColor="text1"/>
        </w:rPr>
        <w:lastRenderedPageBreak/>
        <w:t>perturbación grave a un interés constitucionalmente protegido, ni a los derechos fundamentales o libertades de otra persona (art. 56.2 LOTC).</w:t>
      </w:r>
    </w:p>
    <w:p w14:paraId="386924D6"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Además, la Sala o la Sección podrá adoptar cualquier tipo de medida cautelar o resolución provisional, previstas en el ordenamiento que, por su naturaleza, pueda aplicarse en el proceso de amparo y tienda a evitar que el recurso pierda su finalidad (art. 56.3 LOTC).</w:t>
      </w:r>
    </w:p>
    <w:p w14:paraId="34B6E967"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La suspensión u otra medida cautelar podrá pedirse en cualquier tiempo, antes de haberse pronunciado la sentencia o decidirse el amparo de otro modo. El incidente de suspensión se sustanciará con audiencia de las partes y del Ministerio Fiscal, por un plazo común que no excederá de tres días y con el informe de las autoridades responsables de la ejecución, si la Sala o la Sección lo creyeran necesario. La Sala o la Sección podrá condicionar la denegación de la suspensión en el caso de que pudiera seguirse perturbación grave de los derechos de un tercero, a la constitución de caución suficiente para responder de los daños o perjuicios que pudieran originarse (art. 56.4 LOTC).</w:t>
      </w:r>
    </w:p>
    <w:p w14:paraId="6BF4CA39" w14:textId="06CE2CD7" w:rsidR="006F44C0" w:rsidRPr="00B665F9" w:rsidRDefault="00756616" w:rsidP="00C72445">
      <w:pPr>
        <w:pStyle w:val="Ttulo3"/>
      </w:pPr>
      <w:bookmarkStart w:id="355" w:name="_Toc532198483"/>
      <w:bookmarkStart w:id="356" w:name="_Toc532581174"/>
      <w:bookmarkStart w:id="357" w:name="_Toc533020361"/>
      <w:bookmarkStart w:id="358" w:name="_Toc49423645"/>
      <w:bookmarkStart w:id="359" w:name="_Toc49708586"/>
      <w:bookmarkStart w:id="360" w:name="_Toc49790273"/>
      <w:bookmarkStart w:id="361" w:name="_Toc49866524"/>
      <w:bookmarkStart w:id="362" w:name="_Toc50373163"/>
      <w:r>
        <w:t>E</w:t>
      </w:r>
      <w:r w:rsidRPr="00B665F9">
        <w:t>l incidente de nulidad de actuaciones: nuevo requisito para el agotamiento de la vía judicial previa</w:t>
      </w:r>
      <w:bookmarkEnd w:id="355"/>
      <w:bookmarkEnd w:id="356"/>
      <w:bookmarkEnd w:id="357"/>
      <w:bookmarkEnd w:id="358"/>
      <w:bookmarkEnd w:id="359"/>
      <w:bookmarkEnd w:id="360"/>
      <w:bookmarkEnd w:id="361"/>
      <w:bookmarkEnd w:id="362"/>
    </w:p>
    <w:p w14:paraId="28FEE57E"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La nueva regulación del recurso de amparo, como ya apuntamos, tiene como principal objetivo remarcar la subsidiariedad de éste y potenciar la protección de los derechos fundamentales en la jurisdicción ordinaria. El recurso de amparo se configura pues como un recurso extraordinario y subsidiario. </w:t>
      </w:r>
    </w:p>
    <w:p w14:paraId="55B6E51E" w14:textId="77777777" w:rsidR="006F44C0" w:rsidRPr="009038A4" w:rsidRDefault="006F44C0" w:rsidP="006F44C0">
      <w:pPr>
        <w:rPr>
          <w:i/>
        </w:rPr>
      </w:pPr>
      <w:r>
        <w:t xml:space="preserve">Es interesante resaltar, en primer lugar, lo señalado por el Magistrado don Eugeni Gay Montalvo en el ATC 188/2008, de 21 de julio, acerca del incidente de nulidad de actuaciones.  Afirma el Magistrado que la modificación realizada por la LO 6/2007 </w:t>
      </w:r>
      <w:r w:rsidRPr="00D451A6">
        <w:t xml:space="preserve">es, sin duda, sustancial, con objeto de paliar tales disfunciones. </w:t>
      </w:r>
      <w:r w:rsidRPr="009038A4">
        <w:rPr>
          <w:i/>
        </w:rPr>
        <w:t>“Por ello, en primer lugar, entra en la lógica de la nueva Ley hacer un esfuerzo para que sean los órganos judiciales ordinarios quienes reparen, en última instancia, las vulneraciones de los derechos fundamentales que puedan producirse, como exige la Constitución. De ahí que la Ley prevea una nueva regulación —más amplia— del incidente de nulidad de actuaciones ex artículo 241.1 de la Ley Orgánica del Poder Judicial (LOPJ), que permite, sin duda, un último compromiso de la jurisdicción ordinaria con la obligación de tutelar y hacer efectivos los derechos fundamentales”.</w:t>
      </w:r>
    </w:p>
    <w:p w14:paraId="6480A1A3"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Atendiendo a ARAGÓN REYES, la reforma del amparo también ha supuesto su conversión en un recurso excepcional, dejando de ser, como hasta entonces, una especie de recurso ordinario o una última instancia en todos los procesos judiciales en que estuvieran concernidos los derechos fundamentales amparables</w:t>
      </w:r>
      <w:r w:rsidRPr="00C72445">
        <w:rPr>
          <w:rStyle w:val="Refdenotaalpie"/>
          <w:rFonts w:ascii="Times New Roman" w:hAnsi="Times New Roman"/>
          <w:color w:val="000000" w:themeColor="text1"/>
        </w:rPr>
        <w:footnoteReference w:id="167"/>
      </w:r>
      <w:r w:rsidRPr="00C72445">
        <w:rPr>
          <w:rFonts w:ascii="Times New Roman" w:hAnsi="Times New Roman"/>
          <w:color w:val="000000" w:themeColor="text1"/>
        </w:rPr>
        <w:t>.</w:t>
      </w:r>
    </w:p>
    <w:p w14:paraId="35C5E014"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De esta manera, tras la reforma, la tutela de los derechos fundamentales corresponderá a los jueces y tribunales de la jurisdicción ordinaria y, sólo de manera excepcional, cuando el Tribunal constitucional considere que el recurso posee una gran trascendencia constitucional, éste conocerá del asunto.</w:t>
      </w:r>
    </w:p>
    <w:p w14:paraId="03322E65"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Se remarca así la especial y excepcional intervención de este Tribunal, pues a él es a quien corresponde la suprema interpretación de los derechos fundamentales siendo, como sabemos, su jurisprudencia vinculante para los jueces y tribunales ordinarios. </w:t>
      </w:r>
    </w:p>
    <w:p w14:paraId="372A84FA" w14:textId="6CC31669"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De este modo, el legislador ha querido dar un mayor protagonismo a los jueces ordinarios en la protección de los derechos fundamentales, siendo este otro de los objetivos de </w:t>
      </w:r>
      <w:r w:rsidR="007B7556" w:rsidRPr="00C72445">
        <w:rPr>
          <w:rFonts w:ascii="Times New Roman" w:hAnsi="Times New Roman"/>
          <w:color w:val="000000" w:themeColor="text1"/>
        </w:rPr>
        <w:t>las reformas</w:t>
      </w:r>
      <w:r w:rsidRPr="00C72445">
        <w:rPr>
          <w:rFonts w:ascii="Times New Roman" w:hAnsi="Times New Roman"/>
          <w:color w:val="000000" w:themeColor="text1"/>
        </w:rPr>
        <w:t xml:space="preserve"> de la LO 6/2007 junto con la descarga de trabajo del Alto Tribunal. En esta pretensión de potenciar el protagonismo de la jurisdicción ordinaria en la tutela de derechos se ha realizado un importante cambio, este no es otro que el de la modificación del incidente de nulidad de actuaciones judiciales, previsto en el artículo 241 de la Ley Orgánica del Poder Judicial.</w:t>
      </w:r>
    </w:p>
    <w:p w14:paraId="753C2BB5"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Centrándonos en el incidente de nulidad de actuaciones, esta modificación ha procedido a la sustitución de las dos causas tasadas antes existentes para poder acudir a este incidente</w:t>
      </w:r>
      <w:r w:rsidRPr="00C72445">
        <w:rPr>
          <w:rStyle w:val="Refdenotaalpie"/>
          <w:rFonts w:ascii="Times New Roman" w:hAnsi="Times New Roman"/>
          <w:color w:val="000000" w:themeColor="text1"/>
        </w:rPr>
        <w:footnoteReference w:id="168"/>
      </w:r>
      <w:r w:rsidRPr="00C72445">
        <w:rPr>
          <w:rFonts w:ascii="Times New Roman" w:hAnsi="Times New Roman"/>
          <w:color w:val="000000" w:themeColor="text1"/>
        </w:rPr>
        <w:t>. Estas causas eran la indefensión o la incongruencia en el fallo. La nueva regulación ha incluido un elenco mucho más amplio</w:t>
      </w:r>
      <w:r w:rsidRPr="00C72445">
        <w:rPr>
          <w:rStyle w:val="Refdenotaalpie"/>
          <w:rFonts w:ascii="Times New Roman" w:hAnsi="Times New Roman"/>
          <w:color w:val="000000" w:themeColor="text1"/>
        </w:rPr>
        <w:footnoteReference w:id="169"/>
      </w:r>
      <w:r w:rsidRPr="00C72445">
        <w:rPr>
          <w:rFonts w:ascii="Times New Roman" w:hAnsi="Times New Roman"/>
          <w:color w:val="000000" w:themeColor="text1"/>
        </w:rPr>
        <w:t xml:space="preserve">, concretamente «cualquier </w:t>
      </w:r>
      <w:r w:rsidRPr="00C72445">
        <w:rPr>
          <w:rFonts w:ascii="Times New Roman" w:hAnsi="Times New Roman"/>
          <w:color w:val="000000" w:themeColor="text1"/>
        </w:rPr>
        <w:lastRenderedPageBreak/>
        <w:t>vulneración de un derecho fundamental de los referidos en el art. 53.2 de la Constitución». Por tanto, de ahora en adelante, cualquiera de los derechos fundamentales susceptibles de amparo ante el Tribunal Constitucional puede ser objeto para acudir al incidente de nulidad de actuaciones.</w:t>
      </w:r>
    </w:p>
    <w:p w14:paraId="2065BB23" w14:textId="72487233"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Esta nueva regulación del incidente de nulidad de actuaciones supone un importante cambio en relación con el recurso de amparo constitucional. Y es que de ahora en adelante en los casos en los que se </w:t>
      </w:r>
      <w:r w:rsidR="007B7556" w:rsidRPr="00C72445">
        <w:rPr>
          <w:rFonts w:ascii="Times New Roman" w:hAnsi="Times New Roman"/>
          <w:color w:val="000000" w:themeColor="text1"/>
        </w:rPr>
        <w:t>den los</w:t>
      </w:r>
      <w:r w:rsidRPr="00C72445">
        <w:rPr>
          <w:rFonts w:ascii="Times New Roman" w:hAnsi="Times New Roman"/>
          <w:color w:val="000000" w:themeColor="text1"/>
        </w:rPr>
        <w:t xml:space="preserve"> requisitos legales para acudir al incidente, éste va a constituir un mecanismo de necesaria utilización antes de poder acudir en amparo al Tribunal Constitucional. En otras palabras, para que la vía judicial previa quede agotada (art. 43.1 LOTC), o en su caso todos los medios de impugnación previstos por las normas procesales [art. 44.1.a) LOTC], requisitos necesarios (salvo en los amparos parlamentarios) para acudir en amparo, debemos haber agotado también esta vía. </w:t>
      </w:r>
    </w:p>
    <w:p w14:paraId="79C8F545" w14:textId="77777777" w:rsidR="006F44C0" w:rsidRPr="00C72445" w:rsidRDefault="006F44C0" w:rsidP="006F44C0">
      <w:pPr>
        <w:pStyle w:val="texto"/>
        <w:ind w:firstLine="0"/>
        <w:rPr>
          <w:rFonts w:ascii="Times New Roman" w:hAnsi="Times New Roman"/>
          <w:i/>
          <w:color w:val="000000" w:themeColor="text1"/>
        </w:rPr>
      </w:pPr>
      <w:r w:rsidRPr="00C72445">
        <w:rPr>
          <w:rFonts w:ascii="Times New Roman" w:hAnsi="Times New Roman"/>
          <w:color w:val="000000" w:themeColor="text1"/>
        </w:rPr>
        <w:t xml:space="preserve">En palabras de ARAGÓN REYES, </w:t>
      </w:r>
      <w:r w:rsidRPr="00C72445">
        <w:rPr>
          <w:rFonts w:ascii="Times New Roman" w:hAnsi="Times New Roman"/>
          <w:i/>
          <w:color w:val="000000" w:themeColor="text1"/>
        </w:rPr>
        <w:t>«El incidente de nulidad pone así, en manos de la jurisdicción ordinaria, un último remedio procesal para tutelar los derechos fundamentales o, incluso una última oportunidad para subsanar vulneraciones de esos derechos producidos por la misma resolución judicial que haya puesto fin al proceso</w:t>
      </w:r>
      <w:r w:rsidRPr="00C72445">
        <w:rPr>
          <w:rStyle w:val="Refdenotaalpie"/>
          <w:rFonts w:ascii="Times New Roman" w:hAnsi="Times New Roman"/>
          <w:i/>
          <w:color w:val="000000" w:themeColor="text1"/>
        </w:rPr>
        <w:footnoteReference w:id="170"/>
      </w:r>
      <w:r w:rsidRPr="00C72445">
        <w:rPr>
          <w:rFonts w:ascii="Times New Roman" w:hAnsi="Times New Roman"/>
          <w:i/>
          <w:color w:val="000000" w:themeColor="text1"/>
        </w:rPr>
        <w:t xml:space="preserve">». </w:t>
      </w:r>
    </w:p>
    <w:p w14:paraId="2D7643D1" w14:textId="6BE16B5C"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 xml:space="preserve">Debemos tener en cuenta </w:t>
      </w:r>
      <w:r w:rsidR="007B7556" w:rsidRPr="00C72445">
        <w:rPr>
          <w:rFonts w:ascii="Times New Roman" w:hAnsi="Times New Roman"/>
          <w:color w:val="000000" w:themeColor="text1"/>
        </w:rPr>
        <w:t>que,</w:t>
      </w:r>
      <w:r w:rsidRPr="00C72445">
        <w:rPr>
          <w:rFonts w:ascii="Times New Roman" w:hAnsi="Times New Roman"/>
          <w:color w:val="000000" w:themeColor="text1"/>
        </w:rPr>
        <w:t xml:space="preserve"> con esta reforma del incidente, se ha pasado de proteger sólo en los casos de defectos formales que causen indefensión y en los casos de incongruencia del fallo a proteger todo un amplio abanico de derechos que el Tribunal venía reconociendo.</w:t>
      </w:r>
    </w:p>
    <w:p w14:paraId="2D146432"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lastRenderedPageBreak/>
        <w:t>En lo que respecta a la naturaleza, plazo y demás características del incidente de nulidad de actuaciones, éstos no han cambiado, siendo los mismos que antes de la reforma.</w:t>
      </w:r>
    </w:p>
    <w:p w14:paraId="02549FA5" w14:textId="77777777" w:rsidR="006F44C0" w:rsidRPr="00C72445" w:rsidRDefault="006F44C0" w:rsidP="006F44C0">
      <w:pPr>
        <w:pStyle w:val="texto"/>
        <w:ind w:firstLine="0"/>
        <w:rPr>
          <w:rFonts w:ascii="Times New Roman" w:hAnsi="Times New Roman"/>
          <w:color w:val="000000" w:themeColor="text1"/>
        </w:rPr>
      </w:pPr>
      <w:r w:rsidRPr="00C72445">
        <w:rPr>
          <w:rFonts w:ascii="Times New Roman" w:hAnsi="Times New Roman"/>
          <w:color w:val="000000" w:themeColor="text1"/>
        </w:rPr>
        <w:t>A la luz de todo esto cabría plantearse si esta modificación ha sido o no efectiva. Y es que estaríamos reclamando ante el mismo órgano que ha dictado la resolución final y no ante un órgano de carácter superior. En base a ello podemos pensar si no habría sido más eficaz una protección de carácter vertical ante el órgano superior jerárquico en lugar de una de carácter horizontal ante el mismo tribunal que dictó la resolución. Sobre este punto volveremos en el capítulo siguiente del presente trabajo.</w:t>
      </w:r>
    </w:p>
    <w:p w14:paraId="706B2D57" w14:textId="77777777" w:rsidR="006F44C0" w:rsidRPr="00FE5D95" w:rsidRDefault="006F44C0" w:rsidP="00233659">
      <w:pPr>
        <w:pStyle w:val="Ttulo2"/>
      </w:pPr>
      <w:bookmarkStart w:id="363" w:name="_Toc532198481"/>
      <w:bookmarkStart w:id="364" w:name="_Toc532581172"/>
      <w:bookmarkStart w:id="365" w:name="_Toc533020372"/>
      <w:bookmarkStart w:id="366" w:name="_Toc49423653"/>
      <w:bookmarkStart w:id="367" w:name="_Toc49708587"/>
      <w:bookmarkStart w:id="368" w:name="_Toc49790274"/>
      <w:bookmarkStart w:id="369" w:name="_Toc49866525"/>
      <w:bookmarkStart w:id="370" w:name="_Toc50373164"/>
      <w:r w:rsidRPr="00FE5D95">
        <w:t>¿UN RECURSO DE AMPARO OBJETIVO?</w:t>
      </w:r>
      <w:bookmarkEnd w:id="363"/>
      <w:bookmarkEnd w:id="364"/>
      <w:bookmarkEnd w:id="365"/>
      <w:bookmarkEnd w:id="366"/>
      <w:bookmarkEnd w:id="367"/>
      <w:bookmarkEnd w:id="368"/>
      <w:bookmarkEnd w:id="369"/>
      <w:bookmarkEnd w:id="370"/>
    </w:p>
    <w:p w14:paraId="5AB75F5C" w14:textId="655FAFFA" w:rsidR="006F44C0" w:rsidRDefault="006F44C0" w:rsidP="00FE5D95">
      <w:pPr>
        <w:spacing w:after="240"/>
      </w:pPr>
      <w:r>
        <w:t>A</w:t>
      </w:r>
      <w:r w:rsidRPr="00C44C94">
        <w:t xml:space="preserve"> la </w:t>
      </w:r>
      <w:r>
        <w:t>luz de l</w:t>
      </w:r>
      <w:r w:rsidR="00FE5D95">
        <w:t xml:space="preserve">o anteriormente analizado, </w:t>
      </w:r>
      <w:r>
        <w:t xml:space="preserve">no pasa desapercibido el cambio que ha sufrido el recurso de amparo como consecuencia de la reforma de 2007. Este cambio, como hemos visto, recoge multitud de aspectos, sin embargo, el más importante a </w:t>
      </w:r>
      <w:r w:rsidR="00FE5D95">
        <w:t>nuestro parecer</w:t>
      </w:r>
      <w:r>
        <w:t xml:space="preserve"> es </w:t>
      </w:r>
      <w:r w:rsidR="00FE5D95">
        <w:t xml:space="preserve">el de </w:t>
      </w:r>
      <w:r>
        <w:t>la posible objetivación del recurso</w:t>
      </w:r>
      <w:r w:rsidR="00C220E7">
        <w:rPr>
          <w:rStyle w:val="Refdenotaalpie"/>
        </w:rPr>
        <w:footnoteReference w:id="171"/>
      </w:r>
      <w:r>
        <w:t>.</w:t>
      </w:r>
    </w:p>
    <w:p w14:paraId="47D24488" w14:textId="3B613C4C" w:rsidR="006F44C0" w:rsidRDefault="006F44C0" w:rsidP="00FE5D95">
      <w:pPr>
        <w:spacing w:after="240"/>
      </w:pPr>
      <w:r>
        <w:lastRenderedPageBreak/>
        <w:t xml:space="preserve">Antes de la reforma </w:t>
      </w:r>
      <w:r w:rsidRPr="002610CC">
        <w:t>bastaba con la alegación de la vulneración de un derecho fundamental en la resolución recurrida en</w:t>
      </w:r>
      <w:r>
        <w:t xml:space="preserve"> </w:t>
      </w:r>
      <w:r w:rsidRPr="002610CC">
        <w:t xml:space="preserve">amparo, </w:t>
      </w:r>
      <w:r>
        <w:t>tras la reforma esto no es suficiente. T</w:t>
      </w:r>
      <w:r w:rsidRPr="002610CC">
        <w:t>iene que justificarse de manera objetiva «la trascendencia constitucional» de la cuestión</w:t>
      </w:r>
      <w:r>
        <w:t xml:space="preserve"> </w:t>
      </w:r>
      <w:r w:rsidRPr="002610CC">
        <w:t>llevada al conocimiento de</w:t>
      </w:r>
      <w:r>
        <w:t>l TC por tal cauce, esto es,</w:t>
      </w:r>
      <w:r w:rsidRPr="002610CC">
        <w:t xml:space="preserve"> se precisa un pronunciamiento sobre el fondo por la</w:t>
      </w:r>
      <w:r>
        <w:t xml:space="preserve"> </w:t>
      </w:r>
      <w:r w:rsidRPr="002610CC">
        <w:t>relevancia (trascendencia constitucional) para la interpretación o aplicación de nuestra Constitución.</w:t>
      </w:r>
      <w:r>
        <w:rPr>
          <w:rStyle w:val="Refdenotaalpie"/>
        </w:rPr>
        <w:footnoteReference w:id="172"/>
      </w:r>
    </w:p>
    <w:p w14:paraId="689BF5C3" w14:textId="0FDB292E" w:rsidR="006F44C0" w:rsidRDefault="006F44C0" w:rsidP="00FE5D95">
      <w:pPr>
        <w:spacing w:after="240"/>
      </w:pPr>
      <w:r>
        <w:t xml:space="preserve">La primera muestra de esta objetivación </w:t>
      </w:r>
      <w:r w:rsidR="00AE4F1A">
        <w:t>se vio en el</w:t>
      </w:r>
      <w:r>
        <w:t xml:space="preserve"> ATC 188/2008. En este Auto, se determin</w:t>
      </w:r>
      <w:r w:rsidR="00AE4F1A">
        <w:t>ó</w:t>
      </w:r>
      <w:r>
        <w:t xml:space="preserve"> que ya no bastar</w:t>
      </w:r>
      <w:r w:rsidR="00AE4F1A">
        <w:t>ía</w:t>
      </w:r>
      <w:r>
        <w:t xml:space="preserve"> la alegación de la vulneración de un derecho fundamental para que la demanda de amparo </w:t>
      </w:r>
      <w:r w:rsidR="00AE4F1A">
        <w:t>fuese</w:t>
      </w:r>
      <w:r>
        <w:t xml:space="preserve"> admitida a trámite, sino </w:t>
      </w:r>
      <w:r w:rsidR="00D926DB">
        <w:t>que,</w:t>
      </w:r>
      <w:r>
        <w:t xml:space="preserve"> junto a esto, deber</w:t>
      </w:r>
      <w:r w:rsidR="00D926DB">
        <w:t xml:space="preserve">ía </w:t>
      </w:r>
      <w:r>
        <w:t>justificarse la especial trascendencia constitucional de la misma. Por tanto, en caso de que se dé la vulneración de un derecho fundamental pero no se justifique o se haga de manera insuficiente, la especial trascendencia constitucional, esta demanda no será admitida a trámite.</w:t>
      </w:r>
    </w:p>
    <w:p w14:paraId="42302A4F" w14:textId="09B614F2" w:rsidR="006F44C0" w:rsidRDefault="006F44C0" w:rsidP="00FE5D95">
      <w:pPr>
        <w:spacing w:after="240"/>
        <w:rPr>
          <w:i/>
        </w:rPr>
      </w:pPr>
      <w:r>
        <w:t>El razonamiento de este Auto se repitió</w:t>
      </w:r>
      <w:r w:rsidR="00D926DB">
        <w:t xml:space="preserve"> </w:t>
      </w:r>
      <w:r>
        <w:t xml:space="preserve">en los AATC 289/2008 y 290/2008. En el voto particular emitido por el Magistrado GAY MONTALVO, en el primero de ellos, éste ya apuntaba que </w:t>
      </w:r>
      <w:r w:rsidRPr="00C70754">
        <w:rPr>
          <w:i/>
        </w:rPr>
        <w:t>“</w:t>
      </w:r>
      <w:r>
        <w:rPr>
          <w:i/>
        </w:rPr>
        <w:t>…</w:t>
      </w:r>
      <w:r w:rsidRPr="009C7E80">
        <w:rPr>
          <w:i/>
        </w:rPr>
        <w:t xml:space="preserve"> cabría afirmar que el legislador ya ha optado a favor de una concepción objetiva del recurso de amparo, entendiendo por tal la determinación del contenido de los derechos fundamentales y la fijación de doctrina para su posterior aplicación por los Jueces y Tribunales ordinarios, en detrimento de una concepción subjetiva del recurso de amparo, de tutela de los derechos fundamentales. Sin embargo, al margen del debate académico que pueda suscitarse sobre la concepción del amparo constitucional, me parece importante, hoy más que nunca, reafirmar la finalidad esencial con la que la Constitución y nuestra doctrina han dotado al recurso de amparo, que no es otra que la reparación de las vulneraciones de derechos y libertades fundamentales producidas a los recurrentes, hasta el punto de quedar excluida la posibilidad de interponer recurso de amparo cuando su finalidad no sea la tutela de un derecho</w:t>
      </w:r>
      <w:r>
        <w:rPr>
          <w:i/>
        </w:rPr>
        <w:t>”</w:t>
      </w:r>
      <w:r w:rsidRPr="009C7E80">
        <w:rPr>
          <w:i/>
        </w:rPr>
        <w:t>.</w:t>
      </w:r>
    </w:p>
    <w:p w14:paraId="4CD3E4D3" w14:textId="3DB782BE" w:rsidR="006F44C0" w:rsidRPr="009C7E80" w:rsidRDefault="00D926DB" w:rsidP="00FE5D95">
      <w:pPr>
        <w:spacing w:after="240"/>
      </w:pPr>
      <w:r>
        <w:t>Nos</w:t>
      </w:r>
      <w:r w:rsidR="006F44C0">
        <w:t xml:space="preserve"> parece sumamente interesante la postura de este Magistrado ya que, </w:t>
      </w:r>
      <w:r>
        <w:t xml:space="preserve">en nuestra opinión, </w:t>
      </w:r>
      <w:r w:rsidR="006F44C0">
        <w:t xml:space="preserve">no debería excluirse como motivo de especial trascendencia constitucional la gravedad de la lesión del derecho fundamental ya que esto sería ignorar la finalidad del </w:t>
      </w:r>
      <w:r w:rsidR="006F44C0">
        <w:lastRenderedPageBreak/>
        <w:t>recurso que no es otra que la tutela de los derechos fundamentales en los casos en que ésta no ha sido realizada por los tribunales ordinarios.</w:t>
      </w:r>
    </w:p>
    <w:p w14:paraId="77FE6178" w14:textId="31A12EDC" w:rsidR="006F44C0" w:rsidRPr="00370D32" w:rsidRDefault="006F44C0" w:rsidP="00FE5D95">
      <w:pPr>
        <w:spacing w:after="240"/>
      </w:pPr>
      <w:r>
        <w:t>Al año siguiente, la STC 155/2009 realizó un elenco, no cerrado, de casos que, bajo el punto de vista del TC</w:t>
      </w:r>
      <w:r w:rsidR="00D926DB">
        <w:t>,</w:t>
      </w:r>
      <w:r>
        <w:t xml:space="preserve"> revestirían especial trascendencia constitucional. Estos casos, como bien señala LOZANO GAGO, </w:t>
      </w:r>
      <w:r w:rsidRPr="009C7E80">
        <w:t>se refieren a dimensiones objetivas de los derechos fundamentales, por ejemplo</w:t>
      </w:r>
      <w:r w:rsidR="00D926DB">
        <w:t>,</w:t>
      </w:r>
      <w:r w:rsidRPr="009C7E80">
        <w:t xml:space="preserve"> cuando habla de </w:t>
      </w:r>
      <w:r w:rsidRPr="00370D32">
        <w:rPr>
          <w:i/>
        </w:rPr>
        <w:t>«nuevas realidades sociales o de cambios normativos relevantes para la configuración del contenido del derecho fundamental»</w:t>
      </w:r>
      <w:r w:rsidRPr="009C7E80">
        <w:t>, en que efectivamente se alude a la incidencia social en el núcleo mismo que configura y delimita el alcance del derecho.</w:t>
      </w:r>
      <w:r>
        <w:t xml:space="preserve"> </w:t>
      </w:r>
      <w:r w:rsidRPr="00370D32">
        <w:t xml:space="preserve">También sería una dimensión objetiva, el caso en que los poderes públicos deban proteger el contenido del derecho para evitar su desfiguración, por lo que también es una alusión en este sentido la siguiente: </w:t>
      </w:r>
      <w:r w:rsidRPr="00370D32">
        <w:rPr>
          <w:i/>
        </w:rPr>
        <w:t>«o si la vulneración del derecho fundamental traiga causa de una reiterada interpretación de la ley que el TC considere lesiva del derecho fundamental y crea necesario proclamar otra interpretación conforme a la Constitución».</w:t>
      </w:r>
      <w:r w:rsidRPr="00370D32">
        <w:t xml:space="preserve">  Por otro lado, también se refiere a aspectos objetivos el siguiente apartado: </w:t>
      </w:r>
      <w:r w:rsidRPr="00370D32">
        <w:rPr>
          <w:i/>
        </w:rPr>
        <w:t>«o bien cuando la doctrina del TC sobre el derecho fundamental que se alega en el recurso esté siendo incumplida de modo general y reiterado por la Jurisdicción ordinaria, o existan resoluciones judiciales contradictorias sobre el derecho fundamental, ya sea interpretando de manera distinta la doctrina constitucional, ya sea aplicándola en unos casos y desconociéndola en otros».</w:t>
      </w:r>
      <w:r w:rsidRPr="00370D32">
        <w:t xml:space="preserve"> En el mismo sentido objetivo incide el apartado f, </w:t>
      </w:r>
      <w:r w:rsidRPr="00370D32">
        <w:rPr>
          <w:i/>
        </w:rPr>
        <w:t>«o en el caso de que un órgano judicial incurra en una negativa manifiesta del deber de acatamiento de la doctrina del TC»</w:t>
      </w:r>
      <w:r w:rsidRPr="00370D32">
        <w:t xml:space="preserve"> , y el apartado último hace referencia al orden político y social que cim</w:t>
      </w:r>
      <w:r w:rsidR="007B7556">
        <w:t>i</w:t>
      </w:r>
      <w:r w:rsidRPr="00370D32">
        <w:t xml:space="preserve">enta a su vez los derechos fundamentales: </w:t>
      </w:r>
      <w:r w:rsidRPr="00370D32">
        <w:rPr>
          <w:i/>
        </w:rPr>
        <w:t>«o, en fin, cuando el asunto suscitado, sin estar incluido en ninguno de los supuestos anteriores, trascienda del caso concreto porque plantee una cuestión jurídica de relevante y general repercusión social o económica o tenga unas consecuencias políticas  generales…</w:t>
      </w:r>
      <w:r>
        <w:rPr>
          <w:i/>
        </w:rPr>
        <w:t>».</w:t>
      </w:r>
      <w:r>
        <w:rPr>
          <w:rStyle w:val="Refdenotaalpie"/>
          <w:i/>
        </w:rPr>
        <w:footnoteReference w:id="173"/>
      </w:r>
    </w:p>
    <w:p w14:paraId="74EE2B3B" w14:textId="4C3AB0FA" w:rsidR="006F44C0" w:rsidRDefault="006F44C0" w:rsidP="00FE5D95">
      <w:pPr>
        <w:spacing w:after="240"/>
      </w:pPr>
      <w:r>
        <w:t xml:space="preserve">Además de este elenco de sucesos eminentemente objetivos, el TC terminó de concretar esta objetivación en el </w:t>
      </w:r>
      <w:r w:rsidR="00D926DB">
        <w:t>A</w:t>
      </w:r>
      <w:r>
        <w:t xml:space="preserve">uto 29/2011. Y es que, podría considerarse que, al ser un elenco abierto de casos, podría haberse incluido fuera de este la posibilidad de justificar la especial trascendencia constitucional basándonos en la gravedad de la lesión del derecho </w:t>
      </w:r>
      <w:r>
        <w:lastRenderedPageBreak/>
        <w:t>fundamental, hecho que sucedió en muchas demandas. Sin embargo, el TC eliminó esta posibilidad totalmente como podemos ver a continuación:</w:t>
      </w:r>
    </w:p>
    <w:p w14:paraId="6FFD7356" w14:textId="77777777" w:rsidR="006F44C0" w:rsidRPr="00233659" w:rsidRDefault="006F44C0" w:rsidP="00FE5D95">
      <w:pPr>
        <w:pStyle w:val="texto"/>
        <w:spacing w:after="240" w:afterAutospacing="0"/>
        <w:rPr>
          <w:rFonts w:ascii="Times New Roman" w:hAnsi="Times New Roman"/>
          <w:i/>
          <w:szCs w:val="24"/>
        </w:rPr>
      </w:pPr>
      <w:r w:rsidRPr="00233659">
        <w:rPr>
          <w:rFonts w:ascii="Times New Roman" w:hAnsi="Times New Roman"/>
          <w:i/>
          <w:szCs w:val="24"/>
        </w:rPr>
        <w:t>«... que el elenco de casos de la STC 155/2009, FJ 2.º, en los que cabe apreciar que el contenido del recurso de amparo reviste la "especial trascendencia constitucional" a la que se refiere el art. 50.1.b) LOTC no tenga carácter definitivamente cerrado no significa, como pretende el fiscal, que ello permita incluir en tal elenco aquellos supuestos en los que (como ocurriría en el presente caso, a juicio del fiscal) el amparo se fundamente en la existencia de un grave perjuicio para los titulares de los derechos fundamentales que se denuncian como lesionados, esto es, en la gravedad de la lesión de los derechos fundamentales en su dimensión subjetiva, a semejanza de lo que sucede en el caso alemán, en virtud del § 93 a 2) de la Ley del Tribunal Constitucional Federal alemán (</w:t>
      </w:r>
      <w:proofErr w:type="spellStart"/>
      <w:r w:rsidRPr="00233659">
        <w:rPr>
          <w:rFonts w:ascii="Times New Roman" w:hAnsi="Times New Roman"/>
          <w:i/>
          <w:szCs w:val="24"/>
        </w:rPr>
        <w:t>Bundesverfassungsgerichts</w:t>
      </w:r>
      <w:proofErr w:type="spellEnd"/>
      <w:r w:rsidRPr="00233659">
        <w:rPr>
          <w:rFonts w:ascii="Times New Roman" w:hAnsi="Times New Roman"/>
          <w:i/>
          <w:szCs w:val="24"/>
        </w:rPr>
        <w:t>). La reforma llevada a cabo por la Ley Orgánica 6/2007 en la regulación del recurso de amparo ha eliminado la dimensión subjetiva del recurso de amparo para dotarlo, exclusivamente, de un significado objetivo».</w:t>
      </w:r>
    </w:p>
    <w:p w14:paraId="693EA2A6" w14:textId="77777777" w:rsidR="006F44C0" w:rsidRPr="00233659" w:rsidRDefault="006F44C0" w:rsidP="00FE5D95">
      <w:pPr>
        <w:pStyle w:val="texto"/>
        <w:spacing w:after="240" w:afterAutospacing="0"/>
        <w:ind w:firstLine="0"/>
        <w:rPr>
          <w:rFonts w:ascii="Times New Roman" w:hAnsi="Times New Roman"/>
          <w:i/>
          <w:szCs w:val="24"/>
        </w:rPr>
      </w:pPr>
      <w:r w:rsidRPr="00233659">
        <w:rPr>
          <w:rFonts w:ascii="Times New Roman" w:hAnsi="Times New Roman"/>
          <w:szCs w:val="24"/>
        </w:rPr>
        <w:t xml:space="preserve">Podemos apreciar con esto una confirmación por parte del TC de la naturaleza objetiva que tras la reforma de 2007 se le ha conferido al recurso de amparo. Con esta afirmación se deja claro que lo que confirmará la especial trascendencia constitucional de cada caso no será ya la existencia de una lesión o perjuicio del derecho fundamental de un particular ni la gravedad de éstos, sino el interés constitucional que pueda suscitar la resolución de ese caso concreto en el sentido de lo establecido por la propia LOTC cuando se refiere  </w:t>
      </w:r>
      <w:r w:rsidRPr="00233659">
        <w:rPr>
          <w:rFonts w:ascii="Times New Roman" w:hAnsi="Times New Roman"/>
          <w:i/>
          <w:szCs w:val="24"/>
        </w:rPr>
        <w:t>«a su importancia para la interpretación de la Constitución, para su aplicación o para su general eficacia y para la determinación del contenido y alcance de los derechos fundamentales».</w:t>
      </w:r>
    </w:p>
    <w:p w14:paraId="22F2B69D" w14:textId="02A44409" w:rsidR="006F44C0" w:rsidRPr="00233659" w:rsidRDefault="006F44C0" w:rsidP="00FE5D95">
      <w:pPr>
        <w:pStyle w:val="texto"/>
        <w:spacing w:after="240" w:afterAutospacing="0"/>
        <w:ind w:firstLine="0"/>
        <w:rPr>
          <w:rFonts w:ascii="Times New Roman" w:hAnsi="Times New Roman"/>
          <w:szCs w:val="24"/>
        </w:rPr>
      </w:pPr>
      <w:r w:rsidRPr="00233659">
        <w:rPr>
          <w:rFonts w:ascii="Times New Roman" w:hAnsi="Times New Roman"/>
          <w:szCs w:val="24"/>
        </w:rPr>
        <w:t>Finalmente</w:t>
      </w:r>
      <w:r w:rsidR="00D926DB">
        <w:rPr>
          <w:rFonts w:ascii="Times New Roman" w:hAnsi="Times New Roman"/>
          <w:szCs w:val="24"/>
        </w:rPr>
        <w:t>,</w:t>
      </w:r>
      <w:r w:rsidRPr="00233659">
        <w:rPr>
          <w:rFonts w:ascii="Times New Roman" w:hAnsi="Times New Roman"/>
          <w:szCs w:val="24"/>
        </w:rPr>
        <w:t xml:space="preserve"> el TC añadió lo siguiente en el citado Auto:</w:t>
      </w:r>
    </w:p>
    <w:p w14:paraId="5454659F" w14:textId="77777777" w:rsidR="006F44C0" w:rsidRPr="00233659" w:rsidRDefault="006F44C0" w:rsidP="00FE5D95">
      <w:pPr>
        <w:pStyle w:val="texto"/>
        <w:spacing w:after="240" w:afterAutospacing="0"/>
        <w:rPr>
          <w:rFonts w:ascii="Times New Roman" w:hAnsi="Times New Roman"/>
          <w:i/>
          <w:szCs w:val="24"/>
        </w:rPr>
      </w:pPr>
      <w:r w:rsidRPr="00233659">
        <w:rPr>
          <w:rFonts w:ascii="Times New Roman" w:hAnsi="Times New Roman"/>
          <w:i/>
          <w:szCs w:val="24"/>
        </w:rPr>
        <w:t xml:space="preserve">«…no es ocioso añadir que el supuesto de la gravedad del perjuicio para los titulares de los derechos fundamentales que se denuncian como lesionados, como criterio para considerar que un recurso de amparo justifica una decisión sobre el fondo en razón de su especial trascendencia constitucional fue expresamente descartado durante la tramitación parlamentaria del proyecto de Ley de reforma de la LOTC que dio lugar a la aprobación de la LO 6/2007, al rechazarse la enmienda que proponía introducir este criterio (dimensión subjetiva del recurso de amparo) junto a los tres criterios que son los </w:t>
      </w:r>
      <w:r w:rsidRPr="00233659">
        <w:rPr>
          <w:rFonts w:ascii="Times New Roman" w:hAnsi="Times New Roman"/>
          <w:i/>
          <w:szCs w:val="24"/>
        </w:rPr>
        <w:lastRenderedPageBreak/>
        <w:t xml:space="preserve">que definitivamente se enuncian en el art. 50.1.b) LOTC para poder apreciar que “el contenido del recurso justifique una decisión de fondo por parte del Tribunal Constitucional en razón de su especial trascendencia constitucional”; “a su importancia para la interpretación de la Constitución, para su aplicación o para su general eficacia y para la determinación del contenido y alcance de los derechos fundamentales». </w:t>
      </w:r>
    </w:p>
    <w:p w14:paraId="44CB74A1" w14:textId="7997F15C" w:rsidR="006F44C0" w:rsidRPr="00233659" w:rsidRDefault="006F44C0" w:rsidP="00FE5D95">
      <w:pPr>
        <w:pStyle w:val="texto"/>
        <w:spacing w:after="240" w:afterAutospacing="0"/>
        <w:ind w:firstLine="0"/>
        <w:rPr>
          <w:rFonts w:ascii="Times New Roman" w:hAnsi="Times New Roman"/>
          <w:highlight w:val="yellow"/>
        </w:rPr>
      </w:pPr>
      <w:r w:rsidRPr="00233659">
        <w:rPr>
          <w:rFonts w:ascii="Times New Roman" w:hAnsi="Times New Roman"/>
          <w:szCs w:val="24"/>
        </w:rPr>
        <w:t>Podemos ver</w:t>
      </w:r>
      <w:r w:rsidR="00D926DB">
        <w:rPr>
          <w:rFonts w:ascii="Times New Roman" w:hAnsi="Times New Roman"/>
          <w:szCs w:val="24"/>
        </w:rPr>
        <w:t>,</w:t>
      </w:r>
      <w:r w:rsidRPr="00233659">
        <w:rPr>
          <w:rFonts w:ascii="Times New Roman" w:hAnsi="Times New Roman"/>
          <w:szCs w:val="24"/>
        </w:rPr>
        <w:t xml:space="preserve"> por tanto, una completa desaparición </w:t>
      </w:r>
      <w:r w:rsidR="00D926DB">
        <w:rPr>
          <w:rFonts w:ascii="Times New Roman" w:hAnsi="Times New Roman"/>
          <w:szCs w:val="24"/>
        </w:rPr>
        <w:t xml:space="preserve">-al menos, en principio- </w:t>
      </w:r>
      <w:r w:rsidRPr="00233659">
        <w:rPr>
          <w:rFonts w:ascii="Times New Roman" w:hAnsi="Times New Roman"/>
          <w:szCs w:val="24"/>
        </w:rPr>
        <w:t xml:space="preserve">de la dimensión subjetiva del recurso de amparo optándose, por el contrario, por una configuración plenamente objetiva del mismo eliminando todo carácter subjetivo a la hora de la admisión a trámite del mismo. </w:t>
      </w:r>
      <w:r w:rsidRPr="00233659">
        <w:rPr>
          <w:rFonts w:ascii="Times New Roman" w:hAnsi="Times New Roman"/>
        </w:rPr>
        <w:t>En cualquier caso, ya no bastará con la alegación de la vulneración de un derecho fundamental en la resolución que se impugna en amparo y con pedir una equitativa reparación, sino que tiene que justificarse de manera objetiva que más allá de ello el recurso requiere un pronunciamiento sobre el fondo en atención a la importancia para la interpretación o aplicación de la Constitución o para la determinación de su contenido y alcance.</w:t>
      </w:r>
    </w:p>
    <w:p w14:paraId="4C462598" w14:textId="7A94305C" w:rsidR="006F44C0" w:rsidRDefault="006F44C0" w:rsidP="00FE5D95">
      <w:pPr>
        <w:spacing w:after="240"/>
      </w:pPr>
      <w:r w:rsidRPr="00A53AF5">
        <w:t>Cabría preguntars</w:t>
      </w:r>
      <w:r w:rsidR="00233659">
        <w:t xml:space="preserve">e ahora dado que, al menos en </w:t>
      </w:r>
      <w:r w:rsidR="007B7556">
        <w:t xml:space="preserve">nuestra </w:t>
      </w:r>
      <w:r w:rsidR="007B7556" w:rsidRPr="00A53AF5">
        <w:t>opinión</w:t>
      </w:r>
      <w:r w:rsidRPr="00A53AF5">
        <w:t xml:space="preserve">, esta objetivación del recurso es más que clara, </w:t>
      </w:r>
      <w:r>
        <w:t xml:space="preserve">si cabría la posibilidad de considerarla inconstitucional. Este hecho ha sido debatido por muchos expertos en la materia. </w:t>
      </w:r>
    </w:p>
    <w:p w14:paraId="3A1D21A5" w14:textId="77777777" w:rsidR="006F44C0" w:rsidRDefault="006F44C0" w:rsidP="00FE5D95">
      <w:pPr>
        <w:spacing w:after="240"/>
        <w:rPr>
          <w:i/>
        </w:rPr>
      </w:pPr>
      <w:r>
        <w:t xml:space="preserve">HERNÁNDEZ RAMOS </w:t>
      </w:r>
      <w:r w:rsidRPr="00685CC4">
        <w:t>advierte</w:t>
      </w:r>
      <w:r>
        <w:t xml:space="preserve"> </w:t>
      </w:r>
      <w:r w:rsidRPr="00685CC4">
        <w:t xml:space="preserve">que </w:t>
      </w:r>
      <w:r w:rsidRPr="00A53AF5">
        <w:rPr>
          <w:i/>
        </w:rPr>
        <w:t>«con la nueva reforma de la LOTC de 2007 se produce una seria descoordinación entre la naturaleza constitucional del recurso de amparo, instrumento para tutelar principalmente los derechos subjetivos de los ciudadanos (art. 53.2 CE, art. 41.3 LOTC, art. 55.1 LOTC) y el trámite de admisión configurado a partir de la reforma de 2007 en términos objetivos».</w:t>
      </w:r>
      <w:r>
        <w:rPr>
          <w:i/>
        </w:rPr>
        <w:t xml:space="preserve"> </w:t>
      </w:r>
      <w:r>
        <w:rPr>
          <w:rStyle w:val="Refdenotaalpie"/>
          <w:i/>
        </w:rPr>
        <w:footnoteReference w:id="174"/>
      </w:r>
      <w:r>
        <w:rPr>
          <w:i/>
        </w:rPr>
        <w:t xml:space="preserve"> </w:t>
      </w:r>
    </w:p>
    <w:p w14:paraId="0AA0803A" w14:textId="77777777" w:rsidR="006F44C0" w:rsidRDefault="006F44C0" w:rsidP="00FE5D95">
      <w:pPr>
        <w:spacing w:after="240"/>
      </w:pPr>
      <w:r w:rsidRPr="00685CC4">
        <w:t>MATIA PORTILLA</w:t>
      </w:r>
      <w:r>
        <w:t>, apunta</w:t>
      </w:r>
      <w:r w:rsidRPr="00685CC4">
        <w:t xml:space="preserve"> que el Legislador del 2007 no se decantó</w:t>
      </w:r>
      <w:r>
        <w:t xml:space="preserve"> </w:t>
      </w:r>
      <w:r w:rsidRPr="00685CC4">
        <w:t>por la opción, ni más eficaz de cara al principal problema de saturación del</w:t>
      </w:r>
      <w:r>
        <w:t xml:space="preserve"> </w:t>
      </w:r>
      <w:r w:rsidRPr="00685CC4">
        <w:t xml:space="preserve">Tribunal Constitucional, ni de </w:t>
      </w:r>
      <w:r w:rsidRPr="00685CC4">
        <w:lastRenderedPageBreak/>
        <w:t>mejor encaje constitucional, dado el carácter</w:t>
      </w:r>
      <w:r>
        <w:t xml:space="preserve"> </w:t>
      </w:r>
      <w:r w:rsidRPr="00685CC4">
        <w:t>eminentem</w:t>
      </w:r>
      <w:r>
        <w:t>ente subjetivo del art. 53.2 CE.</w:t>
      </w:r>
      <w:r>
        <w:rPr>
          <w:rStyle w:val="Refdenotaalpie"/>
        </w:rPr>
        <w:footnoteReference w:id="175"/>
      </w:r>
      <w:r>
        <w:t xml:space="preserve"> Estas críticas también son compartidas por DÍAZ REVORIO.</w:t>
      </w:r>
      <w:r>
        <w:rPr>
          <w:rStyle w:val="Refdenotaalpie"/>
        </w:rPr>
        <w:footnoteReference w:id="176"/>
      </w:r>
    </w:p>
    <w:p w14:paraId="4A63D6E9" w14:textId="77777777" w:rsidR="006F44C0" w:rsidRDefault="006F44C0" w:rsidP="00FE5D95">
      <w:pPr>
        <w:spacing w:after="240"/>
        <w:rPr>
          <w:i/>
        </w:rPr>
      </w:pPr>
      <w:r>
        <w:t xml:space="preserve">FERNADÉZ FARRERES también opina que </w:t>
      </w:r>
      <w:r w:rsidRPr="00340853">
        <w:rPr>
          <w:i/>
        </w:rPr>
        <w:t>«no puede desconocerse que el recurso de amparo cumple, y no puede dejar de cumplir en tanto la Constitución no se modifique, una función garantista de carácter subjetivo de los derechos fundamentales. Sin perjuicio de la llamada dimensión objetiva, la tutela subjetiva es consustancial al recurso de amparo».</w:t>
      </w:r>
      <w:r>
        <w:rPr>
          <w:rStyle w:val="Refdenotaalpie"/>
          <w:i/>
        </w:rPr>
        <w:footnoteReference w:id="177"/>
      </w:r>
    </w:p>
    <w:p w14:paraId="73387811" w14:textId="77777777" w:rsidR="006F44C0" w:rsidRPr="00EF7B6F" w:rsidRDefault="006F44C0" w:rsidP="00FE5D95">
      <w:pPr>
        <w:spacing w:after="240"/>
      </w:pPr>
      <w:r>
        <w:t xml:space="preserve">El propio Magistrado GAY MONTALVO es su voto particular al ATC 289/2008, señalo su discrepancia respecto a esta objetivación afirmando lo siguiente respecto al requisito de la especial trascendencia constitucional: </w:t>
      </w:r>
      <w:r w:rsidRPr="00EF7B6F">
        <w:rPr>
          <w:i/>
        </w:rPr>
        <w:t>«En mi opinión esta exigencia, además de no estar expresamente prevista por la Ley, devendría contradictoria con la esencia del recurso de amparo pues el interés constitucional de los asuntos no se puede objetivar y, de acuerdo con la reforma de la Ley, es ahora tarea de las Secciones (antes encomendada a las Salas) valorar si, en razón de su especial trascendencia constitucional, el “contenido del recurso” justifica una decisión sobre el fondo del asunto en concordancia con su consolidada doctrina jurisprudencial tal y como la propia Ley prevé. En cualquier caso, se cometería un grave atropello a los derechos fundamentales reparando la vulneración en unos casos y dejando a los otros la vía abierta a una incierta condena del Estado p</w:t>
      </w:r>
      <w:r>
        <w:rPr>
          <w:i/>
        </w:rPr>
        <w:t>or responsabilidad patrimonial</w:t>
      </w:r>
      <w:r w:rsidRPr="00EF7B6F">
        <w:rPr>
          <w:i/>
        </w:rPr>
        <w:t>».</w:t>
      </w:r>
    </w:p>
    <w:p w14:paraId="586312B2" w14:textId="0F1CABCF" w:rsidR="006F44C0" w:rsidRPr="00646DD3" w:rsidRDefault="006F44C0" w:rsidP="00FE5D95">
      <w:pPr>
        <w:spacing w:after="240"/>
      </w:pPr>
      <w:r>
        <w:t>En opinión distinta a estos autores destaca MARC CARRILLO</w:t>
      </w:r>
      <w:r>
        <w:rPr>
          <w:rStyle w:val="Refdenotaalpie"/>
        </w:rPr>
        <w:footnoteReference w:id="178"/>
      </w:r>
      <w:r>
        <w:t xml:space="preserve">, el cual destaca que </w:t>
      </w:r>
      <w:r w:rsidRPr="00646DD3">
        <w:rPr>
          <w:i/>
        </w:rPr>
        <w:t xml:space="preserve">«Este proceso de objetivación de la demanda de amparo no ha de ofrecer dudas sobre su constitucionalidad. Como se ha tratado de argumentar anteriormente, cabe reiterar de nuevo que la Constitución no prefigura un modelo de recurso de amparo específico, </w:t>
      </w:r>
      <w:r w:rsidRPr="00646DD3">
        <w:rPr>
          <w:i/>
        </w:rPr>
        <w:lastRenderedPageBreak/>
        <w:t>basado en la tutela de intereses subjetivos ni tampoco en criterios objetivos de interés general. En este sentido, el modelo constitucional es abierto, pero a partir de una condición previa, ya reiterada: que la tutela de los derechos y libertades, de los intereses legítimos de las personas, la han de asegurar los órganos dependientes del Poder Judicial, cuya función es ejercer la potestad jurisdiccional, juzgando y haciendo ejecutar lo juzgado de acuerdo con la Constitución y la ley».</w:t>
      </w:r>
      <w:r>
        <w:rPr>
          <w:rStyle w:val="Refdenotaalpie"/>
          <w:i/>
        </w:rPr>
        <w:footnoteReference w:id="179"/>
      </w:r>
    </w:p>
    <w:p w14:paraId="6BD10D81" w14:textId="77777777" w:rsidR="006F44C0" w:rsidRPr="00510D79" w:rsidRDefault="006F44C0" w:rsidP="00FE5D95">
      <w:pPr>
        <w:spacing w:after="240"/>
      </w:pPr>
      <w:r>
        <w:t xml:space="preserve">En esta línea también se pronuncia ARAGÓN REYES, al afirmar que </w:t>
      </w:r>
      <w:r w:rsidRPr="00510D79">
        <w:rPr>
          <w:i/>
        </w:rPr>
        <w:t>«… ya era hora, pues (incluso debió serlo mucho antes), de transformar un recurso de amparo, que había convertido al Tribunal Constitucional en una especie de última instancia universal frente a las resoluciones de los órganos de la jurisdicción ordinaria, en un remedio sólo utilizable y atendible en supuestos verdaderamente excepcionales. Y ello es lo que ha hecho la reforma, que elimina la dimensión subjetiva del amparo para dotarlo, exclusivamente, de un significado objetivo»</w:t>
      </w:r>
      <w:r>
        <w:rPr>
          <w:i/>
        </w:rPr>
        <w:t xml:space="preserve">. </w:t>
      </w:r>
      <w:r>
        <w:rPr>
          <w:rStyle w:val="Refdenotaalpie"/>
          <w:i/>
        </w:rPr>
        <w:footnoteReference w:id="180"/>
      </w:r>
    </w:p>
    <w:p w14:paraId="4DFFFBB5" w14:textId="4296BDF6" w:rsidR="006F44C0" w:rsidRPr="0091457F" w:rsidRDefault="006F44C0" w:rsidP="00FE5D95">
      <w:pPr>
        <w:spacing w:after="240"/>
      </w:pPr>
      <w:r w:rsidRPr="0091457F">
        <w:t xml:space="preserve">Como podemos ver, la opinión respecto a la licitud de </w:t>
      </w:r>
      <w:r w:rsidR="00D926DB">
        <w:t>esta supuesta objetivación</w:t>
      </w:r>
      <w:r w:rsidRPr="0091457F">
        <w:t xml:space="preserve"> no es unánime. En </w:t>
      </w:r>
      <w:r w:rsidR="00D926DB">
        <w:t>nuestra opinión, nos parece</w:t>
      </w:r>
      <w:r w:rsidRPr="0091457F">
        <w:t xml:space="preserve"> discutible</w:t>
      </w:r>
      <w:r w:rsidR="00D926DB">
        <w:t>,</w:t>
      </w:r>
      <w:r w:rsidRPr="0091457F">
        <w:t xml:space="preserve"> desde el punto de vista de su adecuación constitucional, la concreción de los supuestos indicativos de la trascendencia constitucional de la demanda, en la que se excluye cualquier referencia a la gravedad de la lesión. Además, como hemos visto, el TC lo excluye tajantemente en el ATC de 2011.</w:t>
      </w:r>
    </w:p>
    <w:p w14:paraId="706833AE" w14:textId="617E84EB" w:rsidR="006F44C0" w:rsidRDefault="00F25B67" w:rsidP="00FE5D95">
      <w:pPr>
        <w:spacing w:after="240"/>
      </w:pPr>
      <w:r>
        <w:t>A nuestro</w:t>
      </w:r>
      <w:r w:rsidR="006F44C0" w:rsidRPr="0091457F">
        <w:t xml:space="preserve"> parecer, que el amparo constitucional deje de ofrecer protección frente a efectivas vulneraciones y lesiones subjetivas de derechos fundamentales porque, con arreglo a los referidos criterios, se considere que dicha lesión no presenta especial trascendencia constitucional, me parece del todo inadecuado. Además de que esta reforma supone un cambio radical en el entendimiento consolidado de la finalidad y funcionalidad constitucional del recurso de amparo que, como hemos mencionado, siempre ha sido la tutela y protección de los derechos fundamentales.</w:t>
      </w:r>
    </w:p>
    <w:p w14:paraId="5950ED5E" w14:textId="5F083FEB" w:rsidR="009732A2" w:rsidRDefault="00D926DB" w:rsidP="00D926DB">
      <w:r>
        <w:t>Sin embargo, es de destacar que, a pesar de los citados Autos en los que se elimina -</w:t>
      </w:r>
      <w:r w:rsidRPr="00D926DB">
        <w:rPr>
          <w:i/>
          <w:iCs/>
        </w:rPr>
        <w:t>a priori-</w:t>
      </w:r>
      <w:r>
        <w:t xml:space="preserve"> la faceta subjetiva del recurso de amparo, en la práctica no ha ocurrido esto </w:t>
      </w:r>
      <w:r>
        <w:lastRenderedPageBreak/>
        <w:t xml:space="preserve">totalmente. </w:t>
      </w:r>
      <w:r w:rsidR="009732A2">
        <w:t>En efecto, a</w:t>
      </w:r>
      <w:r w:rsidR="009732A2" w:rsidRPr="009732A2">
        <w:t xml:space="preserve"> pesar del evidente carácter objetivo con el que el </w:t>
      </w:r>
      <w:r w:rsidR="009732A2">
        <w:t>TC ha querido</w:t>
      </w:r>
      <w:r w:rsidR="009732A2" w:rsidRPr="009732A2">
        <w:t xml:space="preserve"> dotar al nuevo recurso de amparo y de las variadas ocasiones en las que ha admitido dicha objetivación, aún se dan resoluciones en las que el TC ha conocido y resuelto mediante sentencia, con carácter mayoritario, recursos de amparo en los que se produce una mera tutela subjetiva de los derechos fundamentales que se alegan como lesionados. Vemos por tanto que, a día de hoy, aún no se ha producido una total eliminación de la vertiente subjetiva del recurso de amparo. Sin embargo, consideramos que la evolución se encamina hacia dicha objetivación</w:t>
      </w:r>
    </w:p>
    <w:p w14:paraId="16A889B4" w14:textId="3970DE97" w:rsidR="00C42121" w:rsidRPr="0056282B" w:rsidRDefault="00C42121" w:rsidP="00C42121">
      <w:pPr>
        <w:pStyle w:val="Ttulo2"/>
      </w:pPr>
      <w:bookmarkStart w:id="371" w:name="_Toc45731819"/>
      <w:bookmarkStart w:id="372" w:name="_Toc49423709"/>
      <w:bookmarkStart w:id="373" w:name="_Toc49708641"/>
      <w:bookmarkStart w:id="374" w:name="_Toc49790307"/>
      <w:bookmarkStart w:id="375" w:name="_Toc49866526"/>
      <w:bookmarkStart w:id="376" w:name="_Toc50373165"/>
      <w:r>
        <w:rPr>
          <w:caps w:val="0"/>
        </w:rPr>
        <w:t>P</w:t>
      </w:r>
      <w:r w:rsidRPr="0056282B">
        <w:rPr>
          <w:caps w:val="0"/>
        </w:rPr>
        <w:t xml:space="preserve">RIMEROS AÑOS DE APLICACIÓN DE </w:t>
      </w:r>
      <w:bookmarkEnd w:id="371"/>
      <w:bookmarkEnd w:id="372"/>
      <w:bookmarkEnd w:id="373"/>
      <w:bookmarkEnd w:id="374"/>
      <w:r w:rsidRPr="0056282B">
        <w:rPr>
          <w:caps w:val="0"/>
        </w:rPr>
        <w:t>LA LEY</w:t>
      </w:r>
      <w:r>
        <w:rPr>
          <w:caps w:val="0"/>
        </w:rPr>
        <w:t xml:space="preserve"> ORGÁNICA 6/2007</w:t>
      </w:r>
      <w:bookmarkEnd w:id="375"/>
      <w:bookmarkEnd w:id="376"/>
    </w:p>
    <w:p w14:paraId="5AB78E56" w14:textId="77777777" w:rsidR="00C42121" w:rsidRPr="00340C58" w:rsidRDefault="00C42121" w:rsidP="00C42121">
      <w:pPr>
        <w:spacing w:after="240"/>
      </w:pPr>
      <w:r w:rsidRPr="00340C58">
        <w:t>Atendiendo a los datos extraídos de la Memoria del Tribunal Constitucional de 2007, en este año se dictaron un total de 11.341 providencias (de éstas, 10.888 de inadmisión, 380 de admisión y 73 de terminación de amparos) frente a las 8.331 acordadas en 2006 (de las cuales 7.376 fueron de inadmisión, 501 de admisión y 454 de terminación), o las 5.880 de 2005 (5.293, 314 y 273, respectivamente).</w:t>
      </w:r>
    </w:p>
    <w:p w14:paraId="4EDC722D" w14:textId="4924C388" w:rsidR="00C42121" w:rsidRPr="00340C58" w:rsidRDefault="00C42121" w:rsidP="00C42121">
      <w:pPr>
        <w:spacing w:after="240"/>
      </w:pPr>
      <w:r w:rsidRPr="00340C58">
        <w:t xml:space="preserve">Así, la relación entre providencias dictadas y demandas de amparo ingresadas alcanzó en 2007 el 115,3 por 100, frente al 72,6 por 100 en 2006 </w:t>
      </w:r>
      <w:r w:rsidR="007B7556" w:rsidRPr="00340C58">
        <w:t>o</w:t>
      </w:r>
      <w:r w:rsidRPr="00340C58">
        <w:t xml:space="preserve"> el 62,1 por 100 en el año 2005. En otras palabras, fueron más los amparos finalizados por resolución firme (11.341) que los amparos ingresados (9.840), algo del todo inusual, manteniéndose la proporción de amparos admitidos a trámite siempre entre el tres y el seis por ciento del total, como se puede ver reflejado en toda la serie estadística del Tribunal Constitucional. </w:t>
      </w:r>
    </w:p>
    <w:p w14:paraId="7A1508A1" w14:textId="77777777" w:rsidR="00C42121" w:rsidRDefault="00C42121" w:rsidP="00C42121">
      <w:pPr>
        <w:spacing w:after="240"/>
      </w:pPr>
      <w:r w:rsidRPr="00340C58">
        <w:t>Ello teniendo en cuenta que no se vieron perjudicados los números de otro tipo de pronunciamientos, ya que el número de Sentencias dictadas ha sido de 265, cantidad muy superior al de los primeros cuatro años de la década. De estas Sentencias, 35 correspondieron al Pleno, 139 a la Sala Primera y 91 a la Sala Segunda. El número de Autos se mantuvo prácticamente igual, habiéndose dictado 471 en 2007 frente a los 477 del año anterior.</w:t>
      </w:r>
    </w:p>
    <w:p w14:paraId="13F8F1FE" w14:textId="77777777" w:rsidR="00C42121" w:rsidRPr="0069623D" w:rsidRDefault="00C42121" w:rsidP="00C42121">
      <w:pPr>
        <w:spacing w:after="240"/>
        <w:rPr>
          <w:i/>
        </w:rPr>
      </w:pPr>
      <w:r>
        <w:t>En relación con la Memoria de 2008, s</w:t>
      </w:r>
      <w:r w:rsidRPr="0069623D">
        <w:t xml:space="preserve">e dictaron un total de 13.353 resoluciones (frente a las 12.077 del año anterior), de las cuales 12.895 fueron resoluciones definitivas (11.564 en 2007), lo que supuso un número nunca antes alcanzado. Los amparos finalizados por </w:t>
      </w:r>
      <w:r w:rsidRPr="0069623D">
        <w:lastRenderedPageBreak/>
        <w:t xml:space="preserve">resolución firme (12.833) superaron la cifra de los ingresados (10.279), que ese año fueron 439 más que en 2007 (10.279 frente a 9.840). El número de Sentencias (187, frente a 265 en 2007) y el de Autos (398 frente a 471) disminuyeron considerablemente, desequilibrio que, según se afirma, </w:t>
      </w:r>
      <w:r w:rsidRPr="0069623D">
        <w:rPr>
          <w:i/>
        </w:rPr>
        <w:t xml:space="preserve">“no sólo encuentra explicación en el notable incremento de las cifras arrojadas en el trámite de admisión de los recursos de amparo, sino también en el proceso de deliberación de los recursos de inconstitucionalidad pendientes sobre las reformas de los Estatutos de Autonomía, y en concreto del Estatuto de Autonomía de Cataluña”. </w:t>
      </w:r>
    </w:p>
    <w:p w14:paraId="50684728" w14:textId="77777777" w:rsidR="00C42121" w:rsidRPr="0069623D" w:rsidRDefault="00C42121" w:rsidP="00C42121">
      <w:pPr>
        <w:spacing w:after="240"/>
        <w:rPr>
          <w:i/>
        </w:rPr>
      </w:pPr>
      <w:r w:rsidRPr="0069623D">
        <w:t xml:space="preserve">El total de procesos pendientes de Sentencia de Pleno se redujo a 498 (570 en 2007), incrementados muy ligeramente los que esperan Sentencia de Sala (335 frente a 323). Afirman en esta Memoria que esperan que </w:t>
      </w:r>
      <w:r w:rsidRPr="0069623D">
        <w:rPr>
          <w:i/>
        </w:rPr>
        <w:t>“la descentralización de cometidos jurisdiccionales posibilitada con la reforma y que ya ha dado lugar a las primeras Sentencias de Sección, en materia de amparo, y de Sala, en el ámbito de las cuestiones y los recursos de inconstitucionalidad permita reducir en el futuro próximo esas cifras, aun excesivamente altas”.</w:t>
      </w:r>
    </w:p>
    <w:p w14:paraId="4B7EB7FA" w14:textId="77777777" w:rsidR="00C42121" w:rsidRPr="0069623D" w:rsidRDefault="00C42121" w:rsidP="00C42121">
      <w:pPr>
        <w:spacing w:after="240"/>
      </w:pPr>
      <w:r w:rsidRPr="0069623D">
        <w:t>Podemos ver que en 2008 el Tribunal aún se hallaba en pleno proceso de desarrollo y aplicación del modelo de jurisdicción constitucional definido en sus principios por la reforma de 2007. Destacar que en este año se dictaron los 188/2008 (Sala Primera), de 21 de julio (BOE de 19 de agosto de 2008), y 289/2008 (Sala Segunda), de 22 de septiembre (BOE de 31 de octubre de 2008), ya comentados en este capítulo.</w:t>
      </w:r>
    </w:p>
    <w:p w14:paraId="5764C19E" w14:textId="77777777" w:rsidR="00C42121" w:rsidRPr="0069623D" w:rsidRDefault="00C42121" w:rsidP="00C42121">
      <w:pPr>
        <w:spacing w:after="240"/>
        <w:rPr>
          <w:i/>
        </w:rPr>
      </w:pPr>
      <w:r w:rsidRPr="0069623D">
        <w:t xml:space="preserve">Se señala en las primeras páginas de esta Memoria </w:t>
      </w:r>
      <w:r w:rsidRPr="0069623D">
        <w:rPr>
          <w:i/>
        </w:rPr>
        <w:t>que “La magnitud de la tarea a la que el Tribunal se enfrenta tras la reforma y la trascendencia de los intereses del Estado implicados en su ejecución no permiten siquiera el riesgo del fracaso. Obligados al acierto en una empresa en la que están en juego los fundamentos más sensibles de nuestro régimen de libertades, estamos comprometidos en el designio de culminarla desde la convicción de que la reforma sólo habrá sido un éxito si finalmente nos permite depurar y mejorar un modelo de jurisdicción constitucional del que los españoles pueden sentirse legítimamente orgullosos”.</w:t>
      </w:r>
    </w:p>
    <w:p w14:paraId="4F64B565" w14:textId="77777777" w:rsidR="00C42121" w:rsidRPr="00F60C4C" w:rsidRDefault="00C42121" w:rsidP="00C42121">
      <w:pPr>
        <w:spacing w:after="240"/>
      </w:pPr>
      <w:r w:rsidRPr="00F60C4C">
        <w:t xml:space="preserve">En el año 2009 el Tribunal comenzó a aplicar las nuevas condiciones procesales de admisibilidad de las demandas, dando a conocer en la STC 155/2009 las pautas </w:t>
      </w:r>
      <w:r w:rsidRPr="00F60C4C">
        <w:lastRenderedPageBreak/>
        <w:t xml:space="preserve">definidoras de la categoría de la especial trascendencia constitucional que debían concurrir en un recurso de amparo para merecer la admisión a trámite. </w:t>
      </w:r>
    </w:p>
    <w:p w14:paraId="658FCC37" w14:textId="77777777" w:rsidR="00C42121" w:rsidRPr="00F60C4C" w:rsidRDefault="00C42121" w:rsidP="00C42121">
      <w:pPr>
        <w:spacing w:after="240"/>
      </w:pPr>
      <w:r w:rsidRPr="00F60C4C">
        <w:t>Durante el año 2009 se dictaron un total de 16.022 resoluciones (el mayor número en toda la historia del Tribunal, que en 2008 ya había alcanzado las 13.353), de las que 15.793 han sido definitivas (por 12.895 en 2008). Un año más, los recursos de amparo finalizados por resolución firme (15.693; 12.833 en 2008) superaron la cifra de los ingresados (10.792), que volvieron a ser más que en el año precedente (10.279).</w:t>
      </w:r>
    </w:p>
    <w:p w14:paraId="589A42BB" w14:textId="77777777" w:rsidR="00C42121" w:rsidRDefault="00C42121" w:rsidP="00C42121">
      <w:pPr>
        <w:spacing w:after="240"/>
      </w:pPr>
      <w:r w:rsidRPr="00F60C4C">
        <w:t>Se dictaron un total de 220 Sentencias (187 en 2008) y 285 Autos (398 en 2008), reduciéndose muy sensiblemente el volumen de los asuntos pendientes de Sentencia, que en el Pleno fueron 399 (498 en 2008) y 213 en las Salas y Secciones (frente a 335 en el año precedente). El dato más significativo fue el relativo al número de recursos de amparo pendientes de admisión al finalizar el año 2009: 4.296, prácticamente la mitad que en 2008 (9.015).</w:t>
      </w:r>
    </w:p>
    <w:p w14:paraId="30FED73A" w14:textId="77777777" w:rsidR="00C42121" w:rsidRPr="00F60C4C" w:rsidRDefault="00C42121" w:rsidP="00C42121">
      <w:pPr>
        <w:spacing w:after="240"/>
      </w:pPr>
      <w:r w:rsidRPr="00F60C4C">
        <w:t xml:space="preserve">En 2010, se presentaron un total de 9.041 asuntos jurisdiccionales; es decir, 1.807 asuntos menos que en 2009, lo que supuso un descenso del 16,65 por 100. Pese a que se mantuvo la tradicional preponderancia de los recursos de amparo, podemos ver un ligero retroceso al respecto. Los recursos de amparo ascendieron a 8.947, lo que representó el 98,96 por 100 de los asuntos de nuevo ingreso; el año inmediatamente anterior habían supuesto el 99,48 por 100 (10.792 de 10.848). </w:t>
      </w:r>
    </w:p>
    <w:p w14:paraId="3B939700" w14:textId="77777777" w:rsidR="00C42121" w:rsidRPr="00F60C4C" w:rsidRDefault="00C42121" w:rsidP="00C42121">
      <w:pPr>
        <w:spacing w:after="240"/>
      </w:pPr>
      <w:r w:rsidRPr="00F60C4C">
        <w:t>La reducción del ingreso de nuevos asuntos afectó primordialmente a los recursos de amparo. En 2010 se presentaron 1.845 recursos de amparo menos que en 2009 (8.947 frente a 10.792), lo que representa un descenso del 17,09 por 100, porcentaje ligeramente superior al correspondiente al descenso total de nuevos asuntos ingresados que, como ya se ha indicado anteriormente, se situó en el 16,65 por 100.</w:t>
      </w:r>
    </w:p>
    <w:p w14:paraId="2814A70E" w14:textId="77777777" w:rsidR="00C42121" w:rsidRDefault="00C42121" w:rsidP="00C42121">
      <w:pPr>
        <w:spacing w:after="240"/>
      </w:pPr>
      <w:r w:rsidRPr="00F60C4C">
        <w:t xml:space="preserve">El TC dictó 143 sentencias durante el año. El Pleno emitió 48 sentencias, 30 de las cuales resolvieron procesos de inconstitucionalidad y conflictos constitucionales y 18 recayeron en recursos de amparo previamente avocados por el Pleno para su conocimiento. La Salas dictaron 87 sentencias: 25 la Sala Primera (18 en recursos de amparo y siete en procesos de inconstitucionalidad y conflictos constitucionales deferidos por el Pleno en virtud del art. 10 LOTC) y la Sala Segunda, 62 (47 en recursos de amparo y 15 en procesos de </w:t>
      </w:r>
      <w:r w:rsidRPr="00F60C4C">
        <w:lastRenderedPageBreak/>
        <w:t>inconstitucionalidad y conflictos) y las Secciones, ocho (todas ellas en recursos de amparo cuyo conocimiento les había sido deferido por la Sala correspondiente de acuerdo con lo previsto en el art. 52 LOTC).</w:t>
      </w:r>
    </w:p>
    <w:p w14:paraId="3B598593" w14:textId="77777777" w:rsidR="00C42121" w:rsidRPr="00EC1D01" w:rsidRDefault="00C42121" w:rsidP="00C42121">
      <w:pPr>
        <w:spacing w:after="240"/>
      </w:pPr>
      <w:r w:rsidRPr="00EC1D01">
        <w:t>En 2011, llegaron al Registro General del Tribunal Constitucional un total de 7.192 asuntos jurisdiccionales; es decir, 1.849 asuntos menos que en 2010, todos ellos recursos de amparo pues los restantes asuntos mantuvieron la cifra de 94 alcanzada en el año 2010. El resultado supuso un descenso de los asuntos del 20,46 por 100, consolidándose así la tendencia a la baja iniciada en 2010. Se mantuvo la tradicional preponderancia de los recursos de amparo, que ascendieron a 7.098, lo que representó el 98,68 por 100 de los asuntos de nuevo ingreso.</w:t>
      </w:r>
    </w:p>
    <w:p w14:paraId="746628CC" w14:textId="77777777" w:rsidR="00C42121" w:rsidRPr="00EC1D01" w:rsidRDefault="00C42121" w:rsidP="00C42121">
      <w:pPr>
        <w:spacing w:after="240"/>
      </w:pPr>
      <w:r w:rsidRPr="00EC1D01">
        <w:t>La reducción de ingreso de nuevos asuntos afectó primordialmente a los recursos de amparo. En 2011 se presentaron 1.849 recursos de amparo menos que en 2010 (7.098 frente a 8.947), lo que representa un descenso del 20,66 por 100, porcentaje prácticamente coincidente con el correspondiente al descenso total de nuevos asuntos ingresados que, como ya se ha indicado anteriormente, se situó en el 20,46 por 100.</w:t>
      </w:r>
    </w:p>
    <w:p w14:paraId="0E38167E" w14:textId="77777777" w:rsidR="00C42121" w:rsidRPr="00B71048" w:rsidRDefault="00C42121" w:rsidP="00C42121">
      <w:pPr>
        <w:spacing w:after="240"/>
      </w:pPr>
      <w:r w:rsidRPr="00EC1D01">
        <w:t>Se dictaron 207 sentencias a lo largo de 2011 por parte del TC, de las cuales, 59 sentencias fueron dictadas por el Pleno, 55 en procesos de inconstitucionalidad y conflictos constitucionales y 4 en recursos de amparo previamente avocados por el Pleno para su conocimiento. La Salas, por su parte, emitieron un total de 105 sentencias, 55 por la Sala Primera (52 en recursos de amparo y tres en procesos de inconstitucionalidad y conflictos constitucionales deferidos por el Pleno) y 50 por la Sala Segunda (46 en recursos de amparo y cuatro en procesos de inconstitucionalidad y conflictos). Finalmente, las Secciones dictaron 43 sentencias, todas ellas en recursos de amparo cuyo conocimiento les había sido deferido por la Sala correspondiente.</w:t>
      </w:r>
    </w:p>
    <w:p w14:paraId="18C3A755" w14:textId="77777777" w:rsidR="00C42121" w:rsidRPr="00B71048" w:rsidRDefault="00C42121" w:rsidP="00C42121">
      <w:pPr>
        <w:spacing w:after="240"/>
      </w:pPr>
      <w:r w:rsidRPr="00B71048">
        <w:t>Atendiendo a estos datos, podemos ver que el número de recursos de amparo ingresados en el TC ha disminuido progresivamente. En base a ello, vemos un descenso de la litigiosidad que nos puede hacer prever una mejora en la actividad del TC fruto de la disminución de la so</w:t>
      </w:r>
      <w:r>
        <w:t xml:space="preserve">brecarga anteriormente sufrida. </w:t>
      </w:r>
      <w:r>
        <w:rPr>
          <w:rStyle w:val="Refdenotaalpie"/>
        </w:rPr>
        <w:footnoteReference w:id="181"/>
      </w:r>
    </w:p>
    <w:p w14:paraId="24F72D44" w14:textId="77777777" w:rsidR="00C42121" w:rsidRDefault="00C42121" w:rsidP="00C42121">
      <w:pPr>
        <w:spacing w:after="240"/>
      </w:pPr>
      <w:r w:rsidRPr="00B71048">
        <w:lastRenderedPageBreak/>
        <w:t>Podemos apreciar además que la gran mayoría de los recursos ingresados ante el TC son inadmitidos mediante Providencia, por lo que nuestro TC sólo resuelve aquellos recursos que efectivamente justifiquen su “especial trascendencia constitucional”. De este modo, en el caso de que la litigiosidad de los recurrentes continuase siendo alta, la mayoría de estos recursos quedarán inadmitidos en el trámite de admisión mediante Providencia del TC.</w:t>
      </w:r>
      <w:r>
        <w:t xml:space="preserve"> </w:t>
      </w:r>
      <w:r>
        <w:rPr>
          <w:rStyle w:val="Refdenotaalpie"/>
        </w:rPr>
        <w:footnoteReference w:id="182"/>
      </w:r>
    </w:p>
    <w:p w14:paraId="23872EA0" w14:textId="77777777" w:rsidR="00C42121" w:rsidRDefault="00C42121" w:rsidP="00D926DB"/>
    <w:p w14:paraId="2D9BCA88" w14:textId="061A44E7" w:rsidR="00233659" w:rsidRDefault="00233659" w:rsidP="006F44C0">
      <w:r>
        <w:br w:type="page"/>
      </w:r>
    </w:p>
    <w:p w14:paraId="21138303" w14:textId="3048043F" w:rsidR="006F44C0" w:rsidRDefault="006F44C0" w:rsidP="00FF2A40">
      <w:pPr>
        <w:pStyle w:val="Ttulo1"/>
      </w:pPr>
      <w:bookmarkStart w:id="377" w:name="_Toc49790275"/>
      <w:bookmarkStart w:id="378" w:name="_Toc49866527"/>
      <w:bookmarkStart w:id="379" w:name="_Toc50373166"/>
      <w:r w:rsidRPr="00663A3F">
        <w:lastRenderedPageBreak/>
        <w:t>CAPÍTULO 3</w:t>
      </w:r>
      <w:r w:rsidR="00FF2A40">
        <w:t xml:space="preserve">: </w:t>
      </w:r>
      <w:r w:rsidRPr="00663A3F">
        <w:t>EL INCIDENTE “EXCEPCIONAL” DE NULIDAD DE ACTUACIONES Y SU RELACIÓN CON EL RECURSO DE AMPARO CONSTITUCIONAL</w:t>
      </w:r>
      <w:bookmarkEnd w:id="377"/>
      <w:bookmarkEnd w:id="378"/>
      <w:bookmarkEnd w:id="379"/>
    </w:p>
    <w:p w14:paraId="50E01321" w14:textId="6AFBC891" w:rsidR="006F44C0" w:rsidRPr="00223EC7" w:rsidRDefault="006F44C0" w:rsidP="001A4310">
      <w:pPr>
        <w:pStyle w:val="Ttulo2"/>
        <w:numPr>
          <w:ilvl w:val="0"/>
          <w:numId w:val="50"/>
        </w:numPr>
      </w:pPr>
      <w:bookmarkStart w:id="380" w:name="_Toc37373856"/>
      <w:bookmarkStart w:id="381" w:name="_Toc49423656"/>
      <w:bookmarkStart w:id="382" w:name="_Toc49708588"/>
      <w:bookmarkStart w:id="383" w:name="_Toc49790276"/>
      <w:bookmarkStart w:id="384" w:name="_Toc49866528"/>
      <w:bookmarkStart w:id="385" w:name="_Toc50373167"/>
      <w:r w:rsidRPr="00223EC7">
        <w:t>INTRODUCCIÓN</w:t>
      </w:r>
      <w:bookmarkEnd w:id="380"/>
      <w:bookmarkEnd w:id="381"/>
      <w:bookmarkEnd w:id="382"/>
      <w:bookmarkEnd w:id="383"/>
      <w:bookmarkEnd w:id="384"/>
      <w:bookmarkEnd w:id="385"/>
    </w:p>
    <w:p w14:paraId="3F4ACC08" w14:textId="77777777" w:rsidR="006F44C0" w:rsidRPr="00000395" w:rsidRDefault="006F44C0" w:rsidP="00FF2A40">
      <w:pPr>
        <w:spacing w:after="240"/>
      </w:pPr>
      <w:r w:rsidRPr="00000395">
        <w:t>El incidente de nulidad de actuaciones ha generado siempre controversias doctrinales. Tras la reforma de la que fue objeto en 2007 esta problemática se ha visto acentuada notablemente.</w:t>
      </w:r>
    </w:p>
    <w:p w14:paraId="338234A9" w14:textId="77777777" w:rsidR="006F44C0" w:rsidRDefault="006F44C0" w:rsidP="00FF2A40">
      <w:pPr>
        <w:spacing w:after="240"/>
      </w:pPr>
      <w:r w:rsidRPr="00000395">
        <w:t>Esta figura fue originariamente configurada como un remedio de única o última instancia frente a presuntas vulneraciones de derechos procesales en sede jurisdiccional, el incidente cumple en la actualidad una función constitucional que emana del derecho a la tutela judicial efectiva y se conecta, además, con la garantía de los derechos fundamentales prevista en el art. 53.2 CE. Sin embargo, su regulación y la aplicación que de ella están haciendo tanto los tribunales de la jurisdicción ordinaria como el propio Tribunal Constitucional han provoca</w:t>
      </w:r>
      <w:r>
        <w:t>do</w:t>
      </w:r>
      <w:r w:rsidRPr="00000395">
        <w:t xml:space="preserve"> un cierto nivel de inseguridad jurídica, de modo que su función </w:t>
      </w:r>
      <w:r>
        <w:t>“</w:t>
      </w:r>
      <w:r w:rsidRPr="00000395">
        <w:t>constitucional</w:t>
      </w:r>
      <w:r>
        <w:t>”</w:t>
      </w:r>
      <w:r w:rsidRPr="00000395">
        <w:t xml:space="preserve"> hoy día está siendo muy cuestionada. Es por estos motivos que, a día de hoy, más de una década después de su reforma, es necesario seguir hablando del incidente, siendo el objetivo de este capítulo aclarar cuál es su naturaleza y su función actual y si merece o no ser conservado en nuestro ordenamiento jurídico.</w:t>
      </w:r>
    </w:p>
    <w:p w14:paraId="252B047F" w14:textId="3A59BADC" w:rsidR="006F44C0" w:rsidRPr="00223EC7" w:rsidRDefault="006F44C0" w:rsidP="00FF2A40">
      <w:pPr>
        <w:spacing w:after="240"/>
        <w:rPr>
          <w:color w:val="000000" w:themeColor="text1"/>
        </w:rPr>
      </w:pPr>
      <w:r w:rsidRPr="00223EC7">
        <w:rPr>
          <w:color w:val="000000" w:themeColor="text1"/>
        </w:rPr>
        <w:t>Debemos prestar especial atención a la influencia que el incidente excepcional de nulidad de actuaciones tiene en el plazo para interponer el recurso de amparo, debido a que, por una parte, el art. 44.1 a) LOTC exige, como bien sabemos, que se hayan agotado todos los medios de impugnación previstos por las normas procesales para el caso concreto dentro de la vía judicial. Sin embargo, el art. 41.2 de la misma ley establece que el plazo para interponer el recurso de amparo será de 30 días, a partir de la notificación de la resolución recaída en el proceso judicial. Esto puede originar, como veremos</w:t>
      </w:r>
      <w:r>
        <w:rPr>
          <w:color w:val="000000" w:themeColor="text1"/>
        </w:rPr>
        <w:t>,</w:t>
      </w:r>
      <w:r w:rsidRPr="00223EC7">
        <w:rPr>
          <w:color w:val="000000" w:themeColor="text1"/>
        </w:rPr>
        <w:t xml:space="preserve"> multitud de problemas y dudas para los operadores </w:t>
      </w:r>
      <w:r w:rsidR="007B7556" w:rsidRPr="00223EC7">
        <w:rPr>
          <w:color w:val="000000" w:themeColor="text1"/>
        </w:rPr>
        <w:t>jurídicos.</w:t>
      </w:r>
      <w:r w:rsidRPr="00223EC7">
        <w:rPr>
          <w:color w:val="000000" w:themeColor="text1"/>
        </w:rPr>
        <w:t xml:space="preserve"> Por un lado, puede originar que la falta de interposición del incidente excepcional de nulidad de actuaciones determine la inadmisión del recurso de amparo por falta de agotamiento de la vía judicial previa y, por otro lado, que la interposición del incidente excepcional de nulidad de actuaciones, </w:t>
      </w:r>
      <w:r w:rsidRPr="00223EC7">
        <w:rPr>
          <w:color w:val="000000" w:themeColor="text1"/>
        </w:rPr>
        <w:lastRenderedPageBreak/>
        <w:t>cuando sea manifiestamente improcedente, determine que el recurso de amparo sea extemporáneo y, consecuentemente, también se inadmita.</w:t>
      </w:r>
    </w:p>
    <w:p w14:paraId="23BA5471" w14:textId="77777777" w:rsidR="00FF2A40" w:rsidRDefault="006F44C0" w:rsidP="00FF2A40">
      <w:pPr>
        <w:spacing w:after="240"/>
        <w:rPr>
          <w:color w:val="000000" w:themeColor="text1"/>
        </w:rPr>
      </w:pPr>
      <w:r w:rsidRPr="00223EC7">
        <w:rPr>
          <w:color w:val="000000" w:themeColor="text1"/>
        </w:rPr>
        <w:t>Va a ser determinante, por tanto, discernir cuándo será necesario interponer incidente excepcional de nulidad de actuaciones para agotar la vía judicial previa y cu</w:t>
      </w:r>
      <w:r>
        <w:rPr>
          <w:color w:val="000000" w:themeColor="text1"/>
        </w:rPr>
        <w:t>á</w:t>
      </w:r>
      <w:r w:rsidRPr="00223EC7">
        <w:rPr>
          <w:color w:val="000000" w:themeColor="text1"/>
        </w:rPr>
        <w:t>ndo se podrá interponer el recurso de amparo directamente contra la resolución judicial firme.</w:t>
      </w:r>
    </w:p>
    <w:p w14:paraId="1D600F93" w14:textId="77777777" w:rsidR="006F44C0" w:rsidRPr="00D03DC3" w:rsidRDefault="006F44C0" w:rsidP="00FF2A40">
      <w:pPr>
        <w:pStyle w:val="Ttulo2"/>
      </w:pPr>
      <w:bookmarkStart w:id="386" w:name="_Toc37373857"/>
      <w:bookmarkStart w:id="387" w:name="_Toc49423657"/>
      <w:bookmarkStart w:id="388" w:name="_Toc49708589"/>
      <w:bookmarkStart w:id="389" w:name="_Toc49790277"/>
      <w:bookmarkStart w:id="390" w:name="_Toc49866529"/>
      <w:bookmarkStart w:id="391" w:name="_Toc50373168"/>
      <w:r w:rsidRPr="00D03DC3">
        <w:t>La nulidad de actuaciones</w:t>
      </w:r>
      <w:bookmarkEnd w:id="386"/>
      <w:bookmarkEnd w:id="387"/>
      <w:bookmarkEnd w:id="388"/>
      <w:bookmarkEnd w:id="389"/>
      <w:bookmarkEnd w:id="390"/>
      <w:bookmarkEnd w:id="391"/>
      <w:r>
        <w:t xml:space="preserve"> </w:t>
      </w:r>
    </w:p>
    <w:p w14:paraId="09422F61" w14:textId="77777777" w:rsidR="006F44C0" w:rsidRDefault="006F44C0" w:rsidP="006F44C0">
      <w:r w:rsidRPr="00EC6D82">
        <w:t xml:space="preserve">La nulidad de los actos procesales se regula </w:t>
      </w:r>
      <w:r>
        <w:t xml:space="preserve">actualmente </w:t>
      </w:r>
      <w:r w:rsidRPr="00EC6D82">
        <w:t>en la Ley Orgánica del Poder Judicial, concretamente en el capítulo III del Título III del Libro III (artículos 238 a 243) denominado “De la nulidad de los actos judiciales”, y en la Ley de Enjuiciamiento Civil 1/2000, concretamente en el Capítulo IX del Título V del Libro I denominado “De la nulidad de las actuaciones judiciales” (artículos 225 a 231)</w:t>
      </w:r>
      <w:r>
        <w:t>.</w:t>
      </w:r>
    </w:p>
    <w:p w14:paraId="4B205FD3" w14:textId="77777777" w:rsidR="006F44C0" w:rsidRDefault="006F44C0" w:rsidP="006F44C0">
      <w:r>
        <w:t xml:space="preserve">Sin embargo, ninguno de los dos textos ofrece una definición concreta de esta figura procesal. </w:t>
      </w:r>
    </w:p>
    <w:p w14:paraId="3408F559" w14:textId="77777777" w:rsidR="006F44C0" w:rsidRDefault="006F44C0" w:rsidP="006F44C0">
      <w:pPr>
        <w:rPr>
          <w:color w:val="000000" w:themeColor="text1"/>
        </w:rPr>
      </w:pPr>
      <w:r w:rsidRPr="00DD332A">
        <w:rPr>
          <w:color w:val="000000" w:themeColor="text1"/>
        </w:rPr>
        <w:t>Tal como se configura en nuestro ordenamiento jurídico</w:t>
      </w:r>
      <w:r>
        <w:rPr>
          <w:rStyle w:val="Refdenotaalpie"/>
        </w:rPr>
        <w:footnoteReference w:id="183"/>
      </w:r>
      <w:r w:rsidRPr="00DD332A">
        <w:rPr>
          <w:color w:val="000000" w:themeColor="text1"/>
        </w:rPr>
        <w:t xml:space="preserve">, la nulidad de actuaciones es una institución procesal que tiene como finalidad evitar que un acto procesal contrario al </w:t>
      </w:r>
      <w:r w:rsidRPr="00DD332A">
        <w:rPr>
          <w:color w:val="000000" w:themeColor="text1"/>
        </w:rPr>
        <w:lastRenderedPageBreak/>
        <w:t>ordenamiento jurídico produzca plenos efectos</w:t>
      </w:r>
      <w:r>
        <w:rPr>
          <w:color w:val="000000" w:themeColor="text1"/>
        </w:rPr>
        <w:t xml:space="preserve">. La declaración de la nulidad de un acto procesal conlleva una </w:t>
      </w:r>
      <w:r w:rsidRPr="00B84C83">
        <w:rPr>
          <w:color w:val="000000" w:themeColor="text1"/>
        </w:rPr>
        <w:t xml:space="preserve">grave sanción </w:t>
      </w:r>
      <w:r>
        <w:rPr>
          <w:color w:val="000000" w:themeColor="text1"/>
        </w:rPr>
        <w:t xml:space="preserve">asociada a un </w:t>
      </w:r>
      <w:r w:rsidRPr="00B84C83">
        <w:rPr>
          <w:color w:val="000000" w:themeColor="text1"/>
        </w:rPr>
        <w:t>quebrantamiento de las garantías procesales y que comporta la necesidad de retrotraer las mismas al instante anterior al de la concurrencia del vicio (aunque con posibilidades de convalidación en determinados casos)</w:t>
      </w:r>
      <w:r>
        <w:rPr>
          <w:color w:val="000000" w:themeColor="text1"/>
        </w:rPr>
        <w:t>, como en adelante veremos</w:t>
      </w:r>
      <w:r>
        <w:rPr>
          <w:rStyle w:val="Refdenotaalpie"/>
          <w:color w:val="000000" w:themeColor="text1"/>
        </w:rPr>
        <w:footnoteReference w:id="184"/>
      </w:r>
      <w:r>
        <w:rPr>
          <w:color w:val="000000" w:themeColor="text1"/>
        </w:rPr>
        <w:t>.</w:t>
      </w:r>
    </w:p>
    <w:p w14:paraId="56B92D0D" w14:textId="77777777" w:rsidR="006F44C0" w:rsidRDefault="006F44C0" w:rsidP="001A4310">
      <w:pPr>
        <w:pStyle w:val="Ttulo3"/>
        <w:numPr>
          <w:ilvl w:val="0"/>
          <w:numId w:val="53"/>
        </w:numPr>
      </w:pPr>
      <w:bookmarkStart w:id="392" w:name="_Toc37373858"/>
      <w:bookmarkStart w:id="393" w:name="_Toc49423658"/>
      <w:bookmarkStart w:id="394" w:name="_Toc49708590"/>
      <w:bookmarkStart w:id="395" w:name="_Toc49790278"/>
      <w:bookmarkStart w:id="396" w:name="_Toc49866530"/>
      <w:bookmarkStart w:id="397" w:name="_Toc50373169"/>
      <w:r>
        <w:t>Breve referencia a los antecedentes históricos</w:t>
      </w:r>
      <w:bookmarkEnd w:id="392"/>
      <w:bookmarkEnd w:id="393"/>
      <w:bookmarkEnd w:id="394"/>
      <w:bookmarkEnd w:id="395"/>
      <w:bookmarkEnd w:id="396"/>
      <w:bookmarkEnd w:id="397"/>
      <w:r>
        <w:t xml:space="preserve"> </w:t>
      </w:r>
    </w:p>
    <w:p w14:paraId="19021DC6" w14:textId="77777777" w:rsidR="006F44C0" w:rsidRPr="00A731AC" w:rsidRDefault="006F44C0" w:rsidP="002B2B15">
      <w:pPr>
        <w:spacing w:after="240"/>
        <w:rPr>
          <w:color w:val="FF0000"/>
        </w:rPr>
      </w:pPr>
      <w:r>
        <w:t xml:space="preserve">No es el principal objeto de este trabajo el estudio histórico del origen de las normas reguladoras de la nulidad procesal en nuestro derecho. Sin embargo, consideramos importante atender de manera breve a los fundamentos legales históricos de la nulidad de actuaciones.  </w:t>
      </w:r>
    </w:p>
    <w:p w14:paraId="013CE470" w14:textId="77777777" w:rsidR="006F44C0" w:rsidRDefault="006F44C0" w:rsidP="002B2B15">
      <w:pPr>
        <w:spacing w:after="240"/>
      </w:pPr>
      <w:r>
        <w:t>Haremos especial hincapié a la regulación dada a esta figura en las anteriores leyes de procedimiento, a las sucesivas modificaciones producidas en la LOPJ y a la introducción en la LO 5/1997 del incidente excepcional de nulidad de actuaciones, así como al posterior tratamiento que éste ha recibido</w:t>
      </w:r>
      <w:r>
        <w:rPr>
          <w:rStyle w:val="Refdenotaalpie"/>
        </w:rPr>
        <w:footnoteReference w:id="185"/>
      </w:r>
      <w:r>
        <w:t>.</w:t>
      </w:r>
    </w:p>
    <w:p w14:paraId="1814564F" w14:textId="77777777" w:rsidR="006F44C0" w:rsidRPr="00310D43" w:rsidRDefault="006F44C0" w:rsidP="002B2B15">
      <w:pPr>
        <w:spacing w:after="240"/>
        <w:rPr>
          <w:i/>
          <w:iCs/>
        </w:rPr>
      </w:pPr>
      <w:r w:rsidRPr="00310D43">
        <w:rPr>
          <w:i/>
          <w:iCs/>
        </w:rPr>
        <w:t>La nulidad en el derecho histórico</w:t>
      </w:r>
    </w:p>
    <w:p w14:paraId="5F3FE253" w14:textId="77777777" w:rsidR="006F44C0" w:rsidRPr="0003296B" w:rsidRDefault="006F44C0" w:rsidP="002B2B15">
      <w:pPr>
        <w:spacing w:after="240"/>
      </w:pPr>
      <w:r w:rsidRPr="0003296B">
        <w:t xml:space="preserve">Una primera etapa en el derecho romano, consideraba que una sentencia viciada por error de derecho poseía un vicio más grave que una viciada por un error de hecho. El gran aporte que introdujo este derecho fue el de individualizar los errores </w:t>
      </w:r>
      <w:r w:rsidRPr="00302148">
        <w:rPr>
          <w:i/>
          <w:iCs/>
        </w:rPr>
        <w:t xml:space="preserve">«in </w:t>
      </w:r>
      <w:proofErr w:type="spellStart"/>
      <w:r w:rsidRPr="00302148">
        <w:rPr>
          <w:i/>
          <w:iCs/>
        </w:rPr>
        <w:t>iudicando</w:t>
      </w:r>
      <w:proofErr w:type="spellEnd"/>
      <w:r w:rsidRPr="00302148">
        <w:rPr>
          <w:i/>
          <w:iCs/>
        </w:rPr>
        <w:t>»</w:t>
      </w:r>
      <w:r w:rsidRPr="0003296B">
        <w:t xml:space="preserve"> en aquellos vicios que superaban el interés de los particulares para afectar las relaciones entre la ley y el juez.</w:t>
      </w:r>
      <w:r>
        <w:t xml:space="preserve"> </w:t>
      </w:r>
      <w:r w:rsidRPr="0003296B">
        <w:t>Posteriormente se concedió a las partes un remedio para solventar casos de simple injusticia, ya que en el derecho romano no hubo un medio especial para hacer valer la nulidad, ésta operaba declarando la inexistencia de la sentencia.</w:t>
      </w:r>
    </w:p>
    <w:p w14:paraId="30DA7663" w14:textId="05BF5586" w:rsidR="006F44C0" w:rsidRDefault="006F44C0" w:rsidP="002B2B15">
      <w:pPr>
        <w:spacing w:after="240"/>
      </w:pPr>
      <w:r>
        <w:t xml:space="preserve">Posteriormente </w:t>
      </w:r>
      <w:r w:rsidRPr="0003296B">
        <w:t>la nulidad dej</w:t>
      </w:r>
      <w:r>
        <w:t>ó</w:t>
      </w:r>
      <w:r w:rsidRPr="0003296B">
        <w:t xml:space="preserve"> de ser equiparada a la inexistencia para convertirse en un vicio de la sentencia, acordándosele un recurso e</w:t>
      </w:r>
      <w:r>
        <w:t xml:space="preserve">special para impugnarla. Apareció </w:t>
      </w:r>
      <w:r w:rsidR="007B7556">
        <w:t>pues la</w:t>
      </w:r>
      <w:r>
        <w:t xml:space="preserve"> distinción existente entre la denuncia de la infracción procesal y la impugnación por </w:t>
      </w:r>
      <w:r>
        <w:lastRenderedPageBreak/>
        <w:t>motivos de fondo. La primera de ellas, conocida tradicionalmente como «</w:t>
      </w:r>
      <w:r w:rsidRPr="00A61C24">
        <w:rPr>
          <w:i/>
        </w:rPr>
        <w:t xml:space="preserve">Querella </w:t>
      </w:r>
      <w:proofErr w:type="spellStart"/>
      <w:r w:rsidRPr="00A61C24">
        <w:rPr>
          <w:i/>
        </w:rPr>
        <w:t>nulitatis</w:t>
      </w:r>
      <w:proofErr w:type="spellEnd"/>
      <w:r>
        <w:t xml:space="preserve">», perseguía el quebrantamiento de forma o nulidad de los actos procesales o «in </w:t>
      </w:r>
      <w:proofErr w:type="spellStart"/>
      <w:r>
        <w:t>procedendo</w:t>
      </w:r>
      <w:proofErr w:type="spellEnd"/>
      <w:r>
        <w:t>». La segunda, llamada «</w:t>
      </w:r>
      <w:r w:rsidRPr="00A61C24">
        <w:rPr>
          <w:i/>
        </w:rPr>
        <w:t xml:space="preserve">Querella </w:t>
      </w:r>
      <w:proofErr w:type="spellStart"/>
      <w:r w:rsidRPr="00A61C24">
        <w:rPr>
          <w:i/>
        </w:rPr>
        <w:t>iniquiatis</w:t>
      </w:r>
      <w:proofErr w:type="spellEnd"/>
      <w:r>
        <w:t xml:space="preserve">», era el modo por el cual se denunciaba la impugnación de la sentencia por la injusticia del fallo, perseguía, por tanto, los errores </w:t>
      </w:r>
      <w:r w:rsidRPr="00302148">
        <w:rPr>
          <w:i/>
          <w:iCs/>
        </w:rPr>
        <w:t xml:space="preserve">«in </w:t>
      </w:r>
      <w:proofErr w:type="spellStart"/>
      <w:r w:rsidRPr="00302148">
        <w:rPr>
          <w:i/>
          <w:iCs/>
        </w:rPr>
        <w:t>iudicando</w:t>
      </w:r>
      <w:proofErr w:type="spellEnd"/>
      <w:r w:rsidRPr="00302148">
        <w:rPr>
          <w:i/>
          <w:iCs/>
        </w:rPr>
        <w:t>».</w:t>
      </w:r>
    </w:p>
    <w:p w14:paraId="47FC893C" w14:textId="77777777" w:rsidR="006F44C0" w:rsidRDefault="006F44C0" w:rsidP="002B2B15">
      <w:pPr>
        <w:spacing w:after="240"/>
      </w:pPr>
      <w:r>
        <w:t xml:space="preserve">Esta distinción se mantuvo durante nuestro derecho más antiguo. Nuestro sistema tradicional de recursos hacía valer la nulidad procesal mediante la </w:t>
      </w:r>
      <w:r w:rsidRPr="00302148">
        <w:rPr>
          <w:i/>
          <w:iCs/>
        </w:rPr>
        <w:t xml:space="preserve">«Querella </w:t>
      </w:r>
      <w:proofErr w:type="spellStart"/>
      <w:r w:rsidRPr="00302148">
        <w:rPr>
          <w:i/>
          <w:iCs/>
        </w:rPr>
        <w:t>nulitatis</w:t>
      </w:r>
      <w:proofErr w:type="spellEnd"/>
      <w:r w:rsidRPr="00302148">
        <w:rPr>
          <w:i/>
          <w:iCs/>
        </w:rPr>
        <w:t>».</w:t>
      </w:r>
      <w:r>
        <w:t xml:space="preserve"> Éste era el cauce procesal para la denuncia de los vicios procesales relativos a la jurisdicción y competencia del Juez o bien aquellos referidos a las partes (legitimación, solemnidades observadas en el juicio, injusticia manifiesta, etc.), denominados también vicios </w:t>
      </w:r>
      <w:r w:rsidRPr="00302148">
        <w:rPr>
          <w:i/>
          <w:iCs/>
        </w:rPr>
        <w:t xml:space="preserve">«in </w:t>
      </w:r>
      <w:proofErr w:type="spellStart"/>
      <w:r w:rsidRPr="00302148">
        <w:rPr>
          <w:i/>
          <w:iCs/>
        </w:rPr>
        <w:t>procedendo</w:t>
      </w:r>
      <w:proofErr w:type="spellEnd"/>
      <w:r w:rsidRPr="00302148">
        <w:rPr>
          <w:i/>
          <w:iCs/>
        </w:rPr>
        <w:t>».</w:t>
      </w:r>
      <w:r>
        <w:t xml:space="preserve"> La admisión de la existencia de nulidad determinaba que la sentencia impugnada con fundamento en esta clase de defecto se considerara inexistente y que, por tanto, nunca pudiera haber producido efectos. Este recurso se podía interponer en modo y tiempo distintos.</w:t>
      </w:r>
      <w:r>
        <w:rPr>
          <w:rStyle w:val="Refdenotaalpie"/>
        </w:rPr>
        <w:footnoteReference w:id="186"/>
      </w:r>
    </w:p>
    <w:p w14:paraId="3E299166" w14:textId="77777777" w:rsidR="006F44C0" w:rsidRDefault="006F44C0" w:rsidP="002B2B15">
      <w:pPr>
        <w:spacing w:after="240"/>
      </w:pPr>
      <w:r w:rsidRPr="00780C8E">
        <w:t xml:space="preserve">La evolución del derecho procesal condujo a la unificación de ambos motivos de recurso en uno solo en el que se hacían valer motivos de forma y de fondo. Se unificaron pues la sentencia nula por defectos de actividad y la sentencia nula por defecto grave de juicio. Sin embargo, el criterio para determinar la nulidad no fue ya político, como en el derecho romano, sino fundado en la evidencia del error, admitiéndose que todo error </w:t>
      </w:r>
      <w:r w:rsidRPr="00302148">
        <w:rPr>
          <w:i/>
          <w:iCs/>
        </w:rPr>
        <w:t xml:space="preserve">«in </w:t>
      </w:r>
      <w:proofErr w:type="spellStart"/>
      <w:r w:rsidRPr="00302148">
        <w:rPr>
          <w:i/>
          <w:iCs/>
        </w:rPr>
        <w:t>iudicando</w:t>
      </w:r>
      <w:proofErr w:type="spellEnd"/>
      <w:r w:rsidRPr="00302148">
        <w:rPr>
          <w:i/>
          <w:iCs/>
        </w:rPr>
        <w:t>»</w:t>
      </w:r>
      <w:r w:rsidRPr="00780C8E">
        <w:t xml:space="preserve"> de hecho o de derecho podía dar lugar a la querella de nulidad, con tal de que fuera notorio y manifiesto.</w:t>
      </w:r>
    </w:p>
    <w:p w14:paraId="5BBBBE49" w14:textId="4B08CCC4" w:rsidR="006F44C0" w:rsidRDefault="006F44C0" w:rsidP="002B2B15">
      <w:pPr>
        <w:spacing w:after="240"/>
      </w:pPr>
      <w:r>
        <w:t>En nuestro derecho procesal histórico, esta unificación se produjo en la Ley de enjuiciamiento de comercio de 1830, primera regulación procesal redactada según los principios de codificación. Esta Ley estableció que en las causas de comercio el recurso de nulidad se interpondría conjuntamente con el de apelación dentro del término fijado por la Ley para éste.</w:t>
      </w:r>
    </w:p>
    <w:p w14:paraId="2BA45019" w14:textId="77777777" w:rsidR="002B2B15" w:rsidRDefault="002B2B15" w:rsidP="002B2B15">
      <w:pPr>
        <w:spacing w:after="240"/>
      </w:pPr>
    </w:p>
    <w:p w14:paraId="4C7FD441" w14:textId="77777777" w:rsidR="006F44C0" w:rsidRPr="00310D43" w:rsidRDefault="006F44C0" w:rsidP="002B2B15">
      <w:pPr>
        <w:spacing w:after="240"/>
        <w:rPr>
          <w:i/>
          <w:iCs/>
        </w:rPr>
      </w:pPr>
      <w:r w:rsidRPr="00310D43">
        <w:rPr>
          <w:i/>
          <w:iCs/>
        </w:rPr>
        <w:lastRenderedPageBreak/>
        <w:t xml:space="preserve">La nulidad procesal en la </w:t>
      </w:r>
      <w:r>
        <w:rPr>
          <w:i/>
          <w:iCs/>
        </w:rPr>
        <w:t>LEC</w:t>
      </w:r>
      <w:r w:rsidRPr="00310D43">
        <w:rPr>
          <w:i/>
          <w:iCs/>
        </w:rPr>
        <w:t xml:space="preserve"> de 1855</w:t>
      </w:r>
    </w:p>
    <w:p w14:paraId="5EFEA45E" w14:textId="77777777" w:rsidR="006F44C0" w:rsidRDefault="006F44C0" w:rsidP="002B2B15">
      <w:pPr>
        <w:spacing w:after="240"/>
      </w:pPr>
      <w:r>
        <w:t>El recurso de casación que recogió nuestra legislación procesal en la LEC de 1855 también contenía ambos motivos de impugnación por vicios «</w:t>
      </w:r>
      <w:r w:rsidRPr="00302148">
        <w:rPr>
          <w:i/>
          <w:iCs/>
        </w:rPr>
        <w:t xml:space="preserve">in </w:t>
      </w:r>
      <w:proofErr w:type="spellStart"/>
      <w:r w:rsidRPr="00302148">
        <w:rPr>
          <w:i/>
          <w:iCs/>
        </w:rPr>
        <w:t>procedendo</w:t>
      </w:r>
      <w:proofErr w:type="spellEnd"/>
      <w:r w:rsidRPr="00302148">
        <w:rPr>
          <w:i/>
          <w:iCs/>
        </w:rPr>
        <w:t>»</w:t>
      </w:r>
      <w:r>
        <w:t xml:space="preserve"> e </w:t>
      </w:r>
      <w:r w:rsidRPr="00302148">
        <w:rPr>
          <w:i/>
          <w:iCs/>
        </w:rPr>
        <w:t xml:space="preserve">«in </w:t>
      </w:r>
      <w:proofErr w:type="spellStart"/>
      <w:r w:rsidRPr="00302148">
        <w:rPr>
          <w:i/>
          <w:iCs/>
        </w:rPr>
        <w:t>iudicando</w:t>
      </w:r>
      <w:proofErr w:type="spellEnd"/>
      <w:r w:rsidRPr="00302148">
        <w:rPr>
          <w:i/>
          <w:iCs/>
        </w:rPr>
        <w:t xml:space="preserve">». </w:t>
      </w:r>
    </w:p>
    <w:p w14:paraId="69F4936C" w14:textId="54E7672A" w:rsidR="006F44C0" w:rsidRDefault="006F44C0" w:rsidP="002B2B15">
      <w:pPr>
        <w:spacing w:after="240"/>
      </w:pPr>
      <w:r>
        <w:t xml:space="preserve">Este recurso podía interponerse frente a sentencias definitivas dictadas por los Tribunales Superiores (art. 1010 LEC de 1855), con base en motivos de fondo por infracción de ley o </w:t>
      </w:r>
      <w:r w:rsidR="007B7556">
        <w:t>jurisprudencia (</w:t>
      </w:r>
      <w:r>
        <w:t>art. 1012) o por motivos de forma con base en las causas previstas en el art. 1013. En cuanto a la denuncia de la nulidad por quebrantamiento de formas procesales, el art. 1019 de esta Ley requería de la previa reclamación de la subsanación de la falta o vicio procesal en la instancia en que se cometió. Si se hubiese cometido en primera instancia, la reclamación debería producirse en la segunda. En última instancia, cabía la posibilidad de la admisión de la casación sin reclamación previa en aquellos casos en que la causa de nulidad se hubiese producido cuando ya no cupiese la posibilidad de denuncia.</w:t>
      </w:r>
    </w:p>
    <w:p w14:paraId="66C877F0" w14:textId="77777777" w:rsidR="006F44C0" w:rsidRDefault="006F44C0" w:rsidP="002B2B15">
      <w:pPr>
        <w:spacing w:after="240"/>
      </w:pPr>
      <w:r>
        <w:t xml:space="preserve">En lo que respecta a la apelación, la LEC de 1855 hacía una distinción atendiendo a la clase de juicio. En los casos de juicios de menor cuantía, la Ley disponía que, contra la sentencia dictada en ellos, podría interponerse recurso de nulidad si se hubiese protestado oportunamente. Este recurso de nulidad se interponía a la vez que el de apelación, aunque cabía la posibilidad de la interposición de uno solo. Para los juicios verbales. La LEC disponía que el tribunal de apelación pudiese dictar la nulidad del juicio atendiendo a la cuantía, previa protesta del recurrente. </w:t>
      </w:r>
    </w:p>
    <w:p w14:paraId="33AE2CFF" w14:textId="77777777" w:rsidR="006F44C0" w:rsidRDefault="006F44C0" w:rsidP="002B2B15">
      <w:pPr>
        <w:spacing w:after="240"/>
      </w:pPr>
      <w:r>
        <w:t>En interesante mencionar el hecho de que en esta LEC de 1855 se asentaron unas características de esta figura que perduraron hasta nuestros días. Podemos ver que la subsidiariedad de esta institución ya estaba presente en esta redacción al exigirse el agotamiento de los recursos previos, así como la necesidad de denuncia de la nulidad en la instancia en cuanto se hubiese tenido conocimiento de ella. Vemos, por tanto, que la nulidad ha sido siempre una institución con pretensión de subsidiariedad y excepcionalidad debido a las consecuencias que puede ocasionar en el proceso.</w:t>
      </w:r>
    </w:p>
    <w:p w14:paraId="3C010150" w14:textId="77777777" w:rsidR="006F44C0" w:rsidRDefault="006F44C0" w:rsidP="002B2B15">
      <w:pPr>
        <w:spacing w:after="240"/>
      </w:pPr>
      <w:r>
        <w:t xml:space="preserve">Cabe destacar, por último, </w:t>
      </w:r>
      <w:r w:rsidRPr="00116ED8">
        <w:t xml:space="preserve">el carácter de esta primera </w:t>
      </w:r>
      <w:r>
        <w:t>LEC ya que</w:t>
      </w:r>
      <w:r w:rsidRPr="00116ED8">
        <w:t xml:space="preserve"> la posterior de 1881 </w:t>
      </w:r>
      <w:r>
        <w:t xml:space="preserve">es, básicamente, </w:t>
      </w:r>
      <w:r w:rsidRPr="00116ED8">
        <w:t xml:space="preserve">edición reformada de ella. Su carácter venía determinado por el mandato de </w:t>
      </w:r>
      <w:r w:rsidRPr="00116ED8">
        <w:lastRenderedPageBreak/>
        <w:t>las bases que desarrollaba</w:t>
      </w:r>
      <w:r w:rsidRPr="00A0353F">
        <w:t xml:space="preserve"> </w:t>
      </w:r>
      <w:r w:rsidRPr="00116ED8">
        <w:t>la primera. El legislador se atuvo al derecho histórico nacional, el del proceso romano canónico o común recibido</w:t>
      </w:r>
      <w:r>
        <w:t xml:space="preserve"> principalmente en las Partidas. De este modo, se sustrajo </w:t>
      </w:r>
      <w:r w:rsidRPr="00116ED8">
        <w:t>a la otra "recepción" que dentro del siglo XIX ha tenido lugar en los principales países europeos, prin</w:t>
      </w:r>
      <w:r>
        <w:t>cipalmente en Italia y Alemania,</w:t>
      </w:r>
      <w:r w:rsidRPr="00116ED8">
        <w:t xml:space="preserve"> la de la regulación procesal francesa</w:t>
      </w:r>
      <w:r>
        <w:t xml:space="preserve">. Este se </w:t>
      </w:r>
      <w:r w:rsidRPr="00116ED8">
        <w:t>caracteriz</w:t>
      </w:r>
      <w:r>
        <w:t>ó</w:t>
      </w:r>
      <w:r w:rsidRPr="00116ED8">
        <w:t xml:space="preserve"> por los principios de oralidad y de concentración del </w:t>
      </w:r>
      <w:r>
        <w:t>«</w:t>
      </w:r>
      <w:proofErr w:type="spellStart"/>
      <w:r w:rsidRPr="00DB22B2">
        <w:rPr>
          <w:i/>
          <w:iCs/>
        </w:rPr>
        <w:t>Code</w:t>
      </w:r>
      <w:proofErr w:type="spellEnd"/>
      <w:r w:rsidRPr="00DB22B2">
        <w:rPr>
          <w:i/>
          <w:iCs/>
        </w:rPr>
        <w:t xml:space="preserve"> de </w:t>
      </w:r>
      <w:proofErr w:type="spellStart"/>
      <w:r w:rsidRPr="00DB22B2">
        <w:rPr>
          <w:i/>
          <w:iCs/>
        </w:rPr>
        <w:t>procedure</w:t>
      </w:r>
      <w:proofErr w:type="spellEnd"/>
      <w:r w:rsidRPr="00DB22B2">
        <w:rPr>
          <w:i/>
          <w:iCs/>
        </w:rPr>
        <w:t xml:space="preserve"> </w:t>
      </w:r>
      <w:proofErr w:type="spellStart"/>
      <w:r w:rsidRPr="00DB22B2">
        <w:rPr>
          <w:i/>
          <w:iCs/>
        </w:rPr>
        <w:t>civile</w:t>
      </w:r>
      <w:proofErr w:type="spellEnd"/>
      <w:r>
        <w:t>»</w:t>
      </w:r>
      <w:r w:rsidRPr="00116ED8">
        <w:t>, que a su vez recogía en Francia una tradición nacional</w:t>
      </w:r>
      <w:r>
        <w:t>.</w:t>
      </w:r>
    </w:p>
    <w:p w14:paraId="69151BC5" w14:textId="77777777" w:rsidR="006F44C0" w:rsidRPr="00310D43" w:rsidRDefault="006F44C0" w:rsidP="002B2B15">
      <w:pPr>
        <w:spacing w:after="240"/>
        <w:rPr>
          <w:i/>
          <w:iCs/>
        </w:rPr>
      </w:pPr>
      <w:r w:rsidRPr="00310D43">
        <w:rPr>
          <w:i/>
          <w:iCs/>
        </w:rPr>
        <w:t xml:space="preserve">La nulidad procesal en la </w:t>
      </w:r>
      <w:r>
        <w:rPr>
          <w:i/>
          <w:iCs/>
        </w:rPr>
        <w:t>LEC</w:t>
      </w:r>
      <w:r w:rsidRPr="00310D43">
        <w:rPr>
          <w:i/>
          <w:iCs/>
        </w:rPr>
        <w:t xml:space="preserve"> de 1881</w:t>
      </w:r>
    </w:p>
    <w:p w14:paraId="69D73A51" w14:textId="77777777" w:rsidR="006F44C0" w:rsidRDefault="006F44C0" w:rsidP="002B2B15">
      <w:pPr>
        <w:spacing w:after="240"/>
      </w:pPr>
      <w:r w:rsidRPr="00A35462">
        <w:t>Tras una serie de normas posteriores que fueron modificando la Ley de Enjuiciamiento Civil de 1855, se dictó la Ley de Enjuiciamiento Civil de 3 de febrero de 1881.</w:t>
      </w:r>
      <w:r>
        <w:t xml:space="preserve"> Destacar de esta Ley que, en ella, el quebrantamiento de forma constituía un motivo de apelación y de casación. </w:t>
      </w:r>
    </w:p>
    <w:p w14:paraId="00E528E5" w14:textId="77777777" w:rsidR="006F44C0" w:rsidRDefault="006F44C0" w:rsidP="002B2B15">
      <w:pPr>
        <w:spacing w:after="240"/>
      </w:pPr>
      <w:r>
        <w:t xml:space="preserve">En lo que respecta a la apelación, el art. 859 regulaba la infracción procesal como un motivo de apelación, en el juicio de mayor cuantía, que exigía la previa denuncia en primera instancia del vicio de nulidad y su reproducción en la segunda instancia, por otrosí, en el escrito de instrucción previsto en el art. 857 de la LEC de 1881. Se preveía la sustanciación y decisión de este motivo de apelación por medio de los trámites establecidos para los incidentes. </w:t>
      </w:r>
      <w:r w:rsidRPr="000F4586">
        <w:t>Sin embargo, no cabía la posibilidad de denunciar la nulidad en los casos en que ésta ya hubiese sido desestimada mediante fallo ejecutorio de la Audiencia en virtud de apelación anterior</w:t>
      </w:r>
      <w:r w:rsidRPr="000F4586">
        <w:rPr>
          <w:rStyle w:val="Refdenotaalpie"/>
        </w:rPr>
        <w:footnoteReference w:id="187"/>
      </w:r>
      <w:r w:rsidRPr="000F4586">
        <w:t>.</w:t>
      </w:r>
      <w:r>
        <w:t xml:space="preserve"> Apreciamos, por tanto, que la nulidad no podía ser nuevamente denunciada una vez que ya lo fue y se desestimó. Vemos aquí el principio de “doble invocación” en el que, una vez denunciada la nulidad cuando se tuvo conocimiento de ella, ésta puede ser reproducida de nuevo en la segunda instancia, pero una vez que esta segunda instancia vuelve a desestimarla, esta posibilidad de denuncia terminará.</w:t>
      </w:r>
    </w:p>
    <w:p w14:paraId="725E8925" w14:textId="77777777" w:rsidR="006F44C0" w:rsidRDefault="006F44C0" w:rsidP="002B2B15">
      <w:pPr>
        <w:spacing w:after="240"/>
      </w:pPr>
      <w:r>
        <w:t xml:space="preserve">En cuanto a la casación, la LEC de 1881 siguió la regulación prevista en la Ley provisional sobre reforma de la casación civil de 1870 y reguló como motivos del recurso de casación la infracción de ley o jurisprudencia y la infracción procesal. La denuncia de </w:t>
      </w:r>
      <w:r>
        <w:lastRenderedPageBreak/>
        <w:t>los vicios de forma o «</w:t>
      </w:r>
      <w:r w:rsidRPr="00531764">
        <w:rPr>
          <w:i/>
        </w:rPr>
        <w:t xml:space="preserve">in </w:t>
      </w:r>
      <w:proofErr w:type="spellStart"/>
      <w:r w:rsidRPr="00531764">
        <w:rPr>
          <w:i/>
        </w:rPr>
        <w:t>procedendo</w:t>
      </w:r>
      <w:proofErr w:type="spellEnd"/>
      <w:r>
        <w:t>» en vía casacional exigía la previa denuncia y petición de subsanación en la fase procesal en la que se hubiese producido.</w:t>
      </w:r>
    </w:p>
    <w:p w14:paraId="2FC033E0" w14:textId="77777777" w:rsidR="006F44C0" w:rsidRDefault="006F44C0" w:rsidP="002B2B15">
      <w:pPr>
        <w:spacing w:after="240"/>
      </w:pPr>
      <w:r>
        <w:t>Por tanto, atendiendo a RICHARD GONZÁLEZ, la LEC de 1881 consolidaba los rasgos básicos del tratamiento procesal de la nulidad procesal por quebrantamiento de forma: 1º Su regulación como motivo de recursos de apelación y casación. 2º La necesidad de denunciar el vicio procesal en el momento en que se produjera y su reproducción en las instancias que procedan</w:t>
      </w:r>
      <w:r>
        <w:rPr>
          <w:rStyle w:val="Refdenotaalpie"/>
        </w:rPr>
        <w:footnoteReference w:id="188"/>
      </w:r>
      <w:r>
        <w:t>. Apreciamos pues, de nuevo, la subsidiariedad de esta figura, así como la necesidad de denuncia en el momento preciso en el que se tuvo conocimiento de ella y la consiguiente reproducción de la misma en las instancias posteriores que procedan. Características ambas que hoy día seguimos apreciando en la regulación actual.</w:t>
      </w:r>
    </w:p>
    <w:p w14:paraId="7B92D8E3" w14:textId="77777777" w:rsidR="006F44C0" w:rsidRDefault="006F44C0" w:rsidP="002B2B15">
      <w:pPr>
        <w:spacing w:after="240"/>
      </w:pPr>
      <w:r>
        <w:t>Cabe destacar que la LEC de 1881 también reguló el incidente de nulidad de actuaciones, el recurso de revisión y el de audiencia al condenado rebelde, aunque con distinta finalidad a la que hoy día conocemos.</w:t>
      </w:r>
    </w:p>
    <w:p w14:paraId="4B97655D" w14:textId="77777777" w:rsidR="006F44C0" w:rsidRPr="00310D43" w:rsidRDefault="006F44C0" w:rsidP="002B2B15">
      <w:pPr>
        <w:spacing w:after="240"/>
        <w:rPr>
          <w:i/>
          <w:iCs/>
        </w:rPr>
      </w:pPr>
      <w:r w:rsidRPr="00310D43">
        <w:rPr>
          <w:i/>
          <w:iCs/>
        </w:rPr>
        <w:t>La regulación de la nulidad procesal en la LOPJ 6/1985 y reformas posteriores (LL OO 5/1997 y 13/1999)</w:t>
      </w:r>
    </w:p>
    <w:p w14:paraId="0A188604" w14:textId="77777777" w:rsidR="006F44C0" w:rsidRDefault="006F44C0" w:rsidP="002B2B15">
      <w:pPr>
        <w:spacing w:after="240"/>
      </w:pPr>
      <w:r>
        <w:t>La nulidad procesal se reguló por primera vez, de forma completa y sistemática, en la LOPJ de 1985.  Esta regulación supuso un gran cambio para nuestro sistema procesal ya que, hasta la aprobación de esta Ley, la nulidad no se regulaba más que de un modo indirecto mediante su denuncia como motivo de impugnación a través de dos vías: una ordinaria, mediante los recursos de apelación y casación; y otra extraordinaria o excepcional, mediante los medios de rescisión de sentencias firmes (el recurso de revisión y la audiencia al condenado rebelde).</w:t>
      </w:r>
    </w:p>
    <w:p w14:paraId="69DA0A23" w14:textId="77777777" w:rsidR="006F44C0" w:rsidRDefault="006F44C0" w:rsidP="002B2B15">
      <w:pPr>
        <w:spacing w:after="240"/>
      </w:pPr>
      <w:r>
        <w:t>El art. 240 de esta Ley, vino a establecer tres caminos para declarar la nulidad</w:t>
      </w:r>
      <w:r>
        <w:rPr>
          <w:rStyle w:val="Refdenotaalpie"/>
        </w:rPr>
        <w:footnoteReference w:id="189"/>
      </w:r>
      <w:r>
        <w:t>. Se trataba de:</w:t>
      </w:r>
    </w:p>
    <w:p w14:paraId="6CC3D3E1" w14:textId="77777777" w:rsidR="006F44C0" w:rsidRDefault="006F44C0" w:rsidP="001A4310">
      <w:pPr>
        <w:pStyle w:val="Prrafodelista"/>
        <w:numPr>
          <w:ilvl w:val="0"/>
          <w:numId w:val="16"/>
        </w:numPr>
        <w:spacing w:before="360"/>
      </w:pPr>
      <w:r>
        <w:t>Los recursos ordinarios o extraordinarios que fueran admisibles, se entienden conforme a la correspondiente ley de enjuiciamiento.</w:t>
      </w:r>
    </w:p>
    <w:p w14:paraId="2FA43F8C" w14:textId="77777777" w:rsidR="006F44C0" w:rsidRDefault="006F44C0" w:rsidP="001A4310">
      <w:pPr>
        <w:pStyle w:val="Prrafodelista"/>
        <w:numPr>
          <w:ilvl w:val="0"/>
          <w:numId w:val="16"/>
        </w:numPr>
        <w:spacing w:before="360"/>
      </w:pPr>
      <w:r>
        <w:lastRenderedPageBreak/>
        <w:t>Los demás medios que establezcan las leyes procesales, sin especificar cuáles eran esos medios.</w:t>
      </w:r>
    </w:p>
    <w:p w14:paraId="4B26AB69" w14:textId="77777777" w:rsidR="006F44C0" w:rsidRDefault="006F44C0" w:rsidP="001A4310">
      <w:pPr>
        <w:pStyle w:val="Prrafodelista"/>
        <w:numPr>
          <w:ilvl w:val="0"/>
          <w:numId w:val="16"/>
        </w:numPr>
        <w:spacing w:before="360"/>
      </w:pPr>
      <w:r>
        <w:t xml:space="preserve">La declaración de oficio de la nulidad por el tribunal, aunque esto sólo podía hacerse «antes de que hubiere recaído sentencia definitiva», dando lugar a un verdadero incidente, </w:t>
      </w:r>
      <w:proofErr w:type="spellStart"/>
      <w:r>
        <w:t>promovible</w:t>
      </w:r>
      <w:proofErr w:type="spellEnd"/>
      <w:r>
        <w:t xml:space="preserve"> sólo de oficio, y en el que debían ser oídas las partes.</w:t>
      </w:r>
    </w:p>
    <w:p w14:paraId="258AB4E9" w14:textId="77777777" w:rsidR="006F44C0" w:rsidRDefault="006F44C0" w:rsidP="002B2B15">
      <w:pPr>
        <w:spacing w:after="240"/>
      </w:pPr>
      <w:r>
        <w:t xml:space="preserve">Sobre este tercer supuesto surgieron diversos problemas debido a que en él se estableció un límite temporal y procesal. El tribunal podía declarar la nulidad de actuaciones de oficio siempre que todavía no hubiere dictado sentencia definitiva. Este límite tenía una clara fundamentación, pues debía entenderse referido a que: </w:t>
      </w:r>
    </w:p>
    <w:p w14:paraId="554B1959" w14:textId="77777777" w:rsidR="006F44C0" w:rsidRDefault="006F44C0" w:rsidP="001A4310">
      <w:pPr>
        <w:pStyle w:val="Prrafodelista"/>
        <w:numPr>
          <w:ilvl w:val="1"/>
          <w:numId w:val="17"/>
        </w:numPr>
        <w:spacing w:before="360"/>
      </w:pPr>
      <w:r>
        <w:t>Dictada la sentencia definitiva y pendiente el asunto de recurso, el tribunal que la había dictado perdía la competencia sobre el pleito,</w:t>
      </w:r>
    </w:p>
    <w:p w14:paraId="3D1848D8" w14:textId="77777777" w:rsidR="006F44C0" w:rsidRDefault="006F44C0" w:rsidP="001A4310">
      <w:pPr>
        <w:pStyle w:val="Prrafodelista"/>
        <w:numPr>
          <w:ilvl w:val="1"/>
          <w:numId w:val="17"/>
        </w:numPr>
        <w:spacing w:before="360"/>
      </w:pPr>
      <w:r>
        <w:t xml:space="preserve">Dictada esa sentencia el tribunal que la dictó no podía modificar su resolución, pues ello iría contra la invariabilidad de las resoluciones para el órgano que las dicta, </w:t>
      </w:r>
    </w:p>
    <w:p w14:paraId="67AF5451" w14:textId="77777777" w:rsidR="006F44C0" w:rsidRDefault="006F44C0" w:rsidP="001A4310">
      <w:pPr>
        <w:pStyle w:val="Prrafodelista"/>
        <w:numPr>
          <w:ilvl w:val="1"/>
          <w:numId w:val="17"/>
        </w:numPr>
        <w:spacing w:before="360"/>
      </w:pPr>
      <w:r>
        <w:t xml:space="preserve">Si el asunto estaba pendiente de recurso, el tribunal que había dictado la sentencia recurrida no podía invadir la competencia del órgano judicial superior, y </w:t>
      </w:r>
    </w:p>
    <w:p w14:paraId="4C429D10" w14:textId="77777777" w:rsidR="006F44C0" w:rsidRDefault="006F44C0" w:rsidP="001A4310">
      <w:pPr>
        <w:pStyle w:val="Prrafodelista"/>
        <w:numPr>
          <w:ilvl w:val="1"/>
          <w:numId w:val="17"/>
        </w:numPr>
        <w:spacing w:before="360"/>
      </w:pPr>
      <w:r>
        <w:t>Sobre todo, si la sentencia llegaba a convertirse en firme, bien porque no existía recurso, bien porque el previsto legalmente no se interponía, se inadmitía o se declaraba desierto, iría en contra de la cosa juzgada material admitir la posibilidad de modificación de la sentencia.</w:t>
      </w:r>
    </w:p>
    <w:p w14:paraId="32904F65" w14:textId="77777777" w:rsidR="006F44C0" w:rsidRDefault="006F44C0" w:rsidP="002B2B15">
      <w:pPr>
        <w:spacing w:after="240"/>
        <w:rPr>
          <w:color w:val="000000" w:themeColor="text1"/>
        </w:rPr>
      </w:pPr>
      <w:r w:rsidRPr="00D136A2">
        <w:rPr>
          <w:color w:val="000000" w:themeColor="text1"/>
        </w:rPr>
        <w:t>Sin embargo, esta normativa de 1985 sufrió numerosas e importantes reformas debido a la evolución de la doctrina emanada del Tribunal Constitucional en la materia.</w:t>
      </w:r>
    </w:p>
    <w:p w14:paraId="6542B4B3" w14:textId="77777777" w:rsidR="006F44C0" w:rsidRPr="00A63583" w:rsidRDefault="006F44C0" w:rsidP="002B2B15">
      <w:pPr>
        <w:spacing w:after="240"/>
        <w:rPr>
          <w:color w:val="000000" w:themeColor="text1"/>
        </w:rPr>
      </w:pPr>
      <w:r w:rsidRPr="00A63583">
        <w:rPr>
          <w:color w:val="000000" w:themeColor="text1"/>
        </w:rPr>
        <w:t xml:space="preserve">En primer lugar, se admitió la posibilidad de declarar la nulidad de actuaciones por vía de los recursos correspondientes o por el propio Juez o Tribunal, de oficio, antes de que hubiere recaído sentencia definitiva, conforme a su art. 240. Sin embargo, no permitía </w:t>
      </w:r>
      <w:r w:rsidRPr="00A63583">
        <w:rPr>
          <w:color w:val="000000" w:themeColor="text1"/>
        </w:rPr>
        <w:lastRenderedPageBreak/>
        <w:t>que el órgano judicial pudiese decretar la nulidad de las actuaciones una vez que se hubiese dictado sentencia firme, lo cual daba lugar a situaciones de una gran inseguridad jurídica.</w:t>
      </w:r>
    </w:p>
    <w:p w14:paraId="4B1B1D27" w14:textId="77777777" w:rsidR="006F44C0" w:rsidRDefault="006F44C0" w:rsidP="002B2B15">
      <w:pPr>
        <w:spacing w:after="240"/>
        <w:rPr>
          <w:color w:val="000000" w:themeColor="text1"/>
        </w:rPr>
      </w:pPr>
      <w:r w:rsidRPr="00A63583">
        <w:rPr>
          <w:color w:val="000000" w:themeColor="text1"/>
        </w:rPr>
        <w:t>La STC 110/1988, de 8 de junio, trató de solventar esta situación. Sin embargo, la interpretación que realizó del precepto fue demasiado amplia. En efecto, esta sentencia consideró que la expresión “sentencia definitiva” empleada en la normativa debía entenderse como “sentencia definitivamente ejecutada”, lo cual permitía al Juez decretar la nulidad de actuaciones, incluida la sentencia, siempre que la misma no hubiese sido aún ejecutada.</w:t>
      </w:r>
    </w:p>
    <w:p w14:paraId="6A3A511C" w14:textId="77777777" w:rsidR="006F44C0" w:rsidRPr="00AD5C82" w:rsidRDefault="006F44C0" w:rsidP="002B2B15">
      <w:pPr>
        <w:spacing w:after="240"/>
      </w:pPr>
      <w:r w:rsidRPr="00AD5C82">
        <w:t xml:space="preserve">Esta solución no dio buen resultado dado su escaso apoyo en el texto de la norma. Debido a esto, el TC planteó una </w:t>
      </w:r>
      <w:proofErr w:type="spellStart"/>
      <w:r w:rsidRPr="00AD5C82">
        <w:t>autocuestión</w:t>
      </w:r>
      <w:proofErr w:type="spellEnd"/>
      <w:r w:rsidRPr="00AD5C82">
        <w:t xml:space="preserve"> de constitucionalidad sobre el citado artículo 240 LOPJ, la cual resolvió en la STC 185/1990, de 15 de noviembre. Esta sentencia declaró la constitucionalidad del citado precepto y el límite temporal que el mismo estableció para que el Juez pudiese decretar la nulidad. Este límite fue la propia sentencia definitiva, sin embargo, recomendó al poder legislativo que regulara adecuadamente la materia introduciendo la posibilidad de que el propio Juez que hubiera dictado la sentencia definitiva o firme pudiera anularla en determinados casos muy excepcionales, de este modo el recurso de amparo mantendría su carácter excepcional y subsidiario como instrumento de subsanación de los procedimientos judiciales</w:t>
      </w:r>
      <w:r w:rsidRPr="00AD5C82">
        <w:rPr>
          <w:rStyle w:val="Refdenotaalpie"/>
        </w:rPr>
        <w:footnoteReference w:id="190"/>
      </w:r>
      <w:r w:rsidRPr="00AD5C82">
        <w:t xml:space="preserve">.  </w:t>
      </w:r>
    </w:p>
    <w:p w14:paraId="5A46873F" w14:textId="77777777" w:rsidR="006F44C0" w:rsidRPr="00FA7350" w:rsidRDefault="006F44C0" w:rsidP="002B2B15">
      <w:pPr>
        <w:spacing w:after="240"/>
      </w:pPr>
      <w:r w:rsidRPr="00FA7350">
        <w:t xml:space="preserve">De esta forma se determinó que las vulneraciones del derecho a un proceso sin que en él se produzca indefensión, cuando la existencia de éstas se descubriese una vez que la </w:t>
      </w:r>
      <w:r w:rsidRPr="00FA7350">
        <w:lastRenderedPageBreak/>
        <w:t>sentencia se hubiese convertido ya en firme, podían ser declaradas únicamente por medio del recurso de amparo y por el TC, pero con sujeción a lo previsto para éste y especialmente en lo relativo al plazo, de modo que el recurso debía interponerse dentro de los veinte días siguientes a la notificación de la resolución recaída en el proceso judicial o, en el mejor de los casos, desde que la parte hubiera tenido conocimiento de la situación de indefensión (STC 52 y 72/1991).</w:t>
      </w:r>
    </w:p>
    <w:p w14:paraId="5EBF6130" w14:textId="77777777" w:rsidR="006F44C0" w:rsidRPr="00FA7350" w:rsidRDefault="006F44C0" w:rsidP="002B2B15">
      <w:pPr>
        <w:spacing w:after="240"/>
      </w:pPr>
      <w:r w:rsidRPr="00FA7350">
        <w:t>En poco tiempo se sucedieron varias reformas de la LOPJ. La primera de ellas vino como respuesta a la petición realizada por el propio TC en la sentencia anteriormente citada. Fue la reforma operada por la Ley Orgánica 5/1997, de 4 diciembre, que añadió dos párrafos (el 3 y el 4) al art. 240 de la LOPJ. Esta reforma aumentó las posibilidades del incidente a fin de dar cobertura a la declaración de la nulidad radical de actuaciones tras la sentencia definitiva fundada en los vicios formales que generasen indefensión o incongruencia del fallo y que no fuera posible denunciar por vía de recursos ni antes de dictar sentencia.</w:t>
      </w:r>
    </w:p>
    <w:p w14:paraId="6F005E74" w14:textId="77777777" w:rsidR="006F44C0" w:rsidRPr="00FA7350" w:rsidRDefault="006F44C0" w:rsidP="002B2B15">
      <w:pPr>
        <w:spacing w:after="240"/>
      </w:pPr>
      <w:r w:rsidRPr="00FA7350">
        <w:t>Tras esto, la Ley Orgánica 13/1999, de 14 de mayo, alegando que se trataba únicamente de “perfeccionar la regulación del incidente de nulidad de actuaciones”, dio una nueva redacción a los apartados 3 y 4 del art. 240 LOPJ, aunque limitada a ampliar la legitimación y, sobre todo, a declarar no susceptibles de recurso alguno tanto la resolución de inadmisión a trámite, como la resolución final sobre el incidente.</w:t>
      </w:r>
    </w:p>
    <w:p w14:paraId="7C34772E" w14:textId="77777777" w:rsidR="006F44C0" w:rsidRPr="00310D43" w:rsidRDefault="006F44C0" w:rsidP="002B2B15">
      <w:pPr>
        <w:spacing w:after="240"/>
        <w:rPr>
          <w:i/>
          <w:iCs/>
        </w:rPr>
      </w:pPr>
      <w:r w:rsidRPr="00310D43">
        <w:rPr>
          <w:i/>
          <w:iCs/>
        </w:rPr>
        <w:t xml:space="preserve">La regulación de la nulidad procesal en la </w:t>
      </w:r>
      <w:r>
        <w:rPr>
          <w:i/>
          <w:iCs/>
        </w:rPr>
        <w:t>LEC</w:t>
      </w:r>
      <w:r w:rsidRPr="00310D43">
        <w:rPr>
          <w:i/>
          <w:iCs/>
        </w:rPr>
        <w:t xml:space="preserve"> 1/2000. La vocación de supletoriedad</w:t>
      </w:r>
    </w:p>
    <w:p w14:paraId="03CD2769" w14:textId="77777777" w:rsidR="006F44C0" w:rsidRPr="00E07669" w:rsidRDefault="006F44C0" w:rsidP="002B2B15">
      <w:pPr>
        <w:spacing w:after="240"/>
      </w:pPr>
      <w:r w:rsidRPr="00E07669">
        <w:t xml:space="preserve">Debido a las numerosas reformas </w:t>
      </w:r>
      <w:r>
        <w:t>que sufrió la</w:t>
      </w:r>
      <w:r w:rsidRPr="00E07669">
        <w:t xml:space="preserve"> </w:t>
      </w:r>
      <w:r>
        <w:t>L</w:t>
      </w:r>
      <w:r w:rsidRPr="00E07669">
        <w:t>ey de 1881, la doctrina est</w:t>
      </w:r>
      <w:r>
        <w:t>uvo</w:t>
      </w:r>
      <w:r w:rsidRPr="00E07669">
        <w:t xml:space="preserve"> de acuerdo en la necesidad de elaborar una nueva </w:t>
      </w:r>
      <w:r>
        <w:t xml:space="preserve">regulación </w:t>
      </w:r>
      <w:r w:rsidRPr="00E07669">
        <w:t>más acorde con las necesidades del siglo XXI.</w:t>
      </w:r>
      <w:r>
        <w:t xml:space="preserve"> </w:t>
      </w:r>
      <w:r w:rsidRPr="00DA2BD7">
        <w:t xml:space="preserve">Según </w:t>
      </w:r>
      <w:r>
        <w:t>su</w:t>
      </w:r>
      <w:r w:rsidRPr="00DA2BD7">
        <w:t xml:space="preserve"> Exposición de motivos, </w:t>
      </w:r>
      <w:r>
        <w:t>esta</w:t>
      </w:r>
      <w:r w:rsidRPr="00DA2BD7">
        <w:t xml:space="preserve"> nueva </w:t>
      </w:r>
      <w:r>
        <w:t>L</w:t>
      </w:r>
      <w:r w:rsidRPr="00DA2BD7">
        <w:t>ey no pretend</w:t>
      </w:r>
      <w:r>
        <w:t>ía</w:t>
      </w:r>
      <w:r w:rsidRPr="00DA2BD7">
        <w:t xml:space="preserve"> una reforma de la anterior, sino </w:t>
      </w:r>
      <w:r>
        <w:t xml:space="preserve">que su fin era el de </w:t>
      </w:r>
      <w:r w:rsidRPr="00DA2BD7">
        <w:t xml:space="preserve">instaurar una justicia civil nueva, </w:t>
      </w:r>
      <w:r>
        <w:t xml:space="preserve">que se </w:t>
      </w:r>
      <w:r w:rsidRPr="00DA2BD7">
        <w:t>caracteriza</w:t>
      </w:r>
      <w:r>
        <w:t>r</w:t>
      </w:r>
      <w:r w:rsidRPr="00DA2BD7">
        <w:t>a por su efectividad</w:t>
      </w:r>
      <w:r>
        <w:t xml:space="preserve"> y</w:t>
      </w:r>
      <w:r w:rsidRPr="00DA2BD7">
        <w:t xml:space="preserve"> que satisf</w:t>
      </w:r>
      <w:r>
        <w:t>iciera</w:t>
      </w:r>
      <w:r w:rsidRPr="00DA2BD7">
        <w:t xml:space="preserve"> la tutela judicial efectiva </w:t>
      </w:r>
      <w:r>
        <w:t>consagrada en</w:t>
      </w:r>
      <w:r w:rsidRPr="00DA2BD7">
        <w:t xml:space="preserve"> el artículo 24 de la Constitució</w:t>
      </w:r>
      <w:r>
        <w:t>n.</w:t>
      </w:r>
    </w:p>
    <w:p w14:paraId="706D98D2" w14:textId="77777777" w:rsidR="006F44C0" w:rsidRDefault="006F44C0" w:rsidP="002B2B15">
      <w:pPr>
        <w:spacing w:after="240"/>
        <w:rPr>
          <w:color w:val="000000" w:themeColor="text1"/>
        </w:rPr>
      </w:pPr>
      <w:r w:rsidRPr="00E07669">
        <w:rPr>
          <w:color w:val="000000" w:themeColor="text1"/>
        </w:rPr>
        <w:t xml:space="preserve">No debemos olvidar que la Ley 1/2000 entró en vigor el día 7 de enero de 2001, sin embargo, los preceptos relativos a la nulidad de actuaciones no entraron en vigor hasta el 15 enero 2004, según lo dispuesto en la Disposición Final 17ª. Esto se debió a que era necesario esperar a que se modificara y actualizara la regulación recogida en la Ley </w:t>
      </w:r>
      <w:r w:rsidRPr="00E07669">
        <w:rPr>
          <w:color w:val="000000" w:themeColor="text1"/>
        </w:rPr>
        <w:lastRenderedPageBreak/>
        <w:t>Orgánica del Poder Judicial, lo cual se produjo mediante la Ley Orgánica 19/2003 de 23 diciembre</w:t>
      </w:r>
      <w:r>
        <w:rPr>
          <w:color w:val="000000" w:themeColor="text1"/>
        </w:rPr>
        <w:t xml:space="preserve"> que veremos en el siguiente apartado.</w:t>
      </w:r>
    </w:p>
    <w:p w14:paraId="378C9A8A" w14:textId="77777777" w:rsidR="006F44C0" w:rsidRDefault="006F44C0" w:rsidP="002B2B15">
      <w:pPr>
        <w:spacing w:after="240"/>
        <w:rPr>
          <w:color w:val="000000" w:themeColor="text1"/>
        </w:rPr>
      </w:pPr>
      <w:r w:rsidRPr="00E07669">
        <w:rPr>
          <w:color w:val="000000" w:themeColor="text1"/>
        </w:rPr>
        <w:t>La regulación de la Ley de Enjuiciamiento Civil 1/2000 incorporó casi por completo la regulación dada por la Ley Orgánica del Poder Judicial de 1985.</w:t>
      </w:r>
      <w:r>
        <w:rPr>
          <w:color w:val="000000" w:themeColor="text1"/>
        </w:rPr>
        <w:t xml:space="preserve"> </w:t>
      </w:r>
    </w:p>
    <w:p w14:paraId="2811697D" w14:textId="77777777" w:rsidR="006F44C0" w:rsidRDefault="006F44C0" w:rsidP="002B2B15">
      <w:pPr>
        <w:spacing w:after="240"/>
        <w:rPr>
          <w:color w:val="000000" w:themeColor="text1"/>
        </w:rPr>
      </w:pPr>
      <w:r>
        <w:rPr>
          <w:color w:val="000000" w:themeColor="text1"/>
        </w:rPr>
        <w:t>Uno de los cambios introducidas por esta nueva Ley fue la nueva y completa regulación del sistema judicial, basada en la existencia de dos clases de procedimientos judiciales, el juicio ordinario y el juicio verbal, regidos por los principios de inmediación y oralidad. Esto sustituía el sistema anterior, tedioso y complicado en nuestra opinión debido a la existencia de un excesivo número de procedimientos, a que la prueba no se sustanciaba ante el tribunal sino ante los funcionarios del juzgado y, especialmente, a la ausencia de un cauce de juicio ordinario en el que se practicase la prueba y se practicasen las alegaciones pertinentes con plena inmediación del tribunal. Este último problema era debido a la falta en la práctica de la celebración de un juicio oral, ya que éste se solía sustituir por una serie de escritos que iban uniéndose al expediente judicial.</w:t>
      </w:r>
    </w:p>
    <w:p w14:paraId="3F08B395" w14:textId="77777777" w:rsidR="006F44C0" w:rsidRDefault="006F44C0" w:rsidP="002B2B15">
      <w:pPr>
        <w:spacing w:after="240"/>
        <w:rPr>
          <w:color w:val="000000" w:themeColor="text1"/>
        </w:rPr>
      </w:pPr>
      <w:r>
        <w:rPr>
          <w:color w:val="000000" w:themeColor="text1"/>
        </w:rPr>
        <w:t xml:space="preserve">Otro importante cambio fue el referente a la regulación de las normas procesales comunes a todos los procedimientos judiciales, incluyendo la nulidad de actuaciones, y es que la propia LEC manifestó su intención de convertirse en la Ley procesal común, siendo de aplicación subsidiaria a los procesos que se sustancien en los demás órdenes jurisdiccionales y así </w:t>
      </w:r>
      <w:r w:rsidRPr="002A162F">
        <w:rPr>
          <w:color w:val="000000" w:themeColor="text1"/>
        </w:rPr>
        <w:t>lo expresa en su Exposición de motivos.</w:t>
      </w:r>
    </w:p>
    <w:p w14:paraId="4BDE266E" w14:textId="77777777" w:rsidR="006F44C0" w:rsidRDefault="006F44C0" w:rsidP="002B2B15">
      <w:pPr>
        <w:spacing w:after="240"/>
        <w:rPr>
          <w:color w:val="000000" w:themeColor="text1"/>
        </w:rPr>
      </w:pPr>
      <w:r>
        <w:rPr>
          <w:color w:val="000000" w:themeColor="text1"/>
        </w:rPr>
        <w:t xml:space="preserve">Esto en un principio podría parecer una vocación demasiado ambiciosa, sin embargo, pudieron cumplirse las dos premisas necesarias para hacer este complejo objetivo posible: En primer lugar, se dio la existencia de una norma habilitante, concretamente en el art. 4 de la LEC, que prevé la supletoriedad de la misma con relación a los procesos penales, contencioso—administrativos, laborales y militares, siempre y cuando las leyes que les sean de aplicación no contengan normas específicas. En segundo lugar, debía darse la regulación en la propia LEC de las normas sobre actos procesales, hasta ese momento reguladas en la LOPJ. Efectivamente la LEC atendió esa necesidad regulando de forma completa las actuaciones judiciales, la abstención y recusación, y la nulidad de actuaciones. </w:t>
      </w:r>
    </w:p>
    <w:p w14:paraId="247538DB" w14:textId="77777777" w:rsidR="006F44C0" w:rsidRDefault="006F44C0" w:rsidP="002B2B15">
      <w:pPr>
        <w:spacing w:after="240"/>
        <w:rPr>
          <w:color w:val="000000" w:themeColor="text1"/>
        </w:rPr>
      </w:pPr>
      <w:r>
        <w:rPr>
          <w:color w:val="000000" w:themeColor="text1"/>
        </w:rPr>
        <w:lastRenderedPageBreak/>
        <w:t>El legislador además manifestó su deseo de que la LOPJ se limitase a su propio ámbito específico, es decir, las normas orgánicas sobre la organización y el régimen de los tribunales y no las normas procesales que se incluyeron en su regulación debido a la necesidad que hubo de establecer un marco de legislación procesal acorde al nuevo Estado constitucional en un momento en el que aún no se había producido la reforma de las leyes de procedimiento.</w:t>
      </w:r>
    </w:p>
    <w:p w14:paraId="4012FCCE" w14:textId="77777777" w:rsidR="006F44C0" w:rsidRPr="00310D43" w:rsidRDefault="006F44C0" w:rsidP="002B2B15">
      <w:pPr>
        <w:spacing w:after="240"/>
        <w:rPr>
          <w:i/>
          <w:iCs/>
        </w:rPr>
      </w:pPr>
      <w:r w:rsidRPr="00310D43">
        <w:rPr>
          <w:i/>
          <w:iCs/>
        </w:rPr>
        <w:t>La reforma de las normas de nulidad procesal de la LOPJ (LO 19/2003 y LO 6/2007)</w:t>
      </w:r>
    </w:p>
    <w:p w14:paraId="33793D1C" w14:textId="77777777" w:rsidR="006F44C0" w:rsidRDefault="006F44C0" w:rsidP="002B2B15">
      <w:pPr>
        <w:spacing w:after="240"/>
        <w:rPr>
          <w:color w:val="000000" w:themeColor="text1"/>
        </w:rPr>
      </w:pPr>
      <w:r w:rsidRPr="00965A46">
        <w:rPr>
          <w:color w:val="000000" w:themeColor="text1"/>
        </w:rPr>
        <w:t xml:space="preserve">La </w:t>
      </w:r>
      <w:r w:rsidRPr="00470FE2">
        <w:rPr>
          <w:color w:val="000000" w:themeColor="text1"/>
        </w:rPr>
        <w:t>Ley Orgánica 19/2003, de 23 de diciembre, de modificación de la Ley Orgánica 6/1985, de 1 de julio, del Poder Judicial</w:t>
      </w:r>
      <w:r w:rsidRPr="00965A46">
        <w:rPr>
          <w:color w:val="000000" w:themeColor="text1"/>
        </w:rPr>
        <w:t xml:space="preserve">, adaptó la regulación de la nulidad de los actos procesales contenida en la LOPJ a la normativa introducida por la </w:t>
      </w:r>
      <w:r>
        <w:rPr>
          <w:color w:val="000000" w:themeColor="text1"/>
        </w:rPr>
        <w:t>LEC</w:t>
      </w:r>
      <w:r w:rsidRPr="00965A46">
        <w:rPr>
          <w:color w:val="000000" w:themeColor="text1"/>
        </w:rPr>
        <w:t xml:space="preserve"> 1/2000. De esta forma se cumplía la previsión contenida en la Disposición Final 17ª permitiendo así que entrase en vigor la regulación de la Ley 1/2000 sobre dicha figura, que había quedado suspendida mientras se modificaba la LOPJ.</w:t>
      </w:r>
    </w:p>
    <w:p w14:paraId="4D2A1F95" w14:textId="77777777" w:rsidR="006F44C0" w:rsidRDefault="006F44C0" w:rsidP="002B2B15">
      <w:pPr>
        <w:spacing w:after="240"/>
        <w:rPr>
          <w:color w:val="000000" w:themeColor="text1"/>
        </w:rPr>
      </w:pPr>
      <w:r>
        <w:rPr>
          <w:color w:val="000000" w:themeColor="text1"/>
        </w:rPr>
        <w:t xml:space="preserve">La propia Exposición de motivo decía </w:t>
      </w:r>
      <w:r w:rsidRPr="002A162F">
        <w:rPr>
          <w:color w:val="000000" w:themeColor="text1"/>
        </w:rPr>
        <w:t>que</w:t>
      </w:r>
      <w:r w:rsidRPr="002A162F">
        <w:rPr>
          <w:i/>
          <w:iCs/>
          <w:color w:val="000000" w:themeColor="text1"/>
        </w:rPr>
        <w:t xml:space="preserve"> “para una mejor garantía de la independencia e imparcialidad de jueces y magistrados, se da una nueva redacción al capítulo dedicado a la abstención y recusación, completándose así el sistema diseñado por la reciente Ley 1/2000, de 7 de enero, de Enjuiciamiento Civil, cuyo texto también obliga a las debidas adaptaciones del régimen de nulidad de actuaciones y de aclaración o corrección de resoluciones”.</w:t>
      </w:r>
    </w:p>
    <w:p w14:paraId="640A6ABF" w14:textId="77777777" w:rsidR="006F44C0" w:rsidRPr="00470FE2" w:rsidRDefault="006F44C0" w:rsidP="002B2B15">
      <w:pPr>
        <w:spacing w:after="240"/>
        <w:rPr>
          <w:color w:val="000000" w:themeColor="text1"/>
        </w:rPr>
      </w:pPr>
      <w:r w:rsidRPr="00470FE2">
        <w:rPr>
          <w:color w:val="000000" w:themeColor="text1"/>
        </w:rPr>
        <w:t>Finalmente, como ya hemos visto en el anterior capítulo de este trabajo, la Ley Orgánica 6/2007 de 24 de mayo, por la que se modificó la Ley Orgánica 2/1979, de 3 de octubre, del Tribunal Constitucional, también modificó el artículo 241.1 de la Ley Orgánica del Poder Judicial</w:t>
      </w:r>
      <w:r w:rsidRPr="00470FE2">
        <w:rPr>
          <w:rStyle w:val="Refdenotaalpie"/>
          <w:color w:val="000000" w:themeColor="text1"/>
        </w:rPr>
        <w:footnoteReference w:id="191"/>
      </w:r>
      <w:r w:rsidRPr="00470FE2">
        <w:rPr>
          <w:color w:val="000000" w:themeColor="text1"/>
        </w:rPr>
        <w:t xml:space="preserve"> (en el que se regula desde la reforma operada por Ley Orgánica 19/2003 el incidente extraordinario de nulidad de actuaciones). El propósito de esta nueva reforma es, como señala la Exposición de Motivos, introducir “</w:t>
      </w:r>
      <w:r w:rsidRPr="00470FE2">
        <w:rPr>
          <w:i/>
          <w:color w:val="000000" w:themeColor="text1"/>
        </w:rPr>
        <w:t xml:space="preserve">medidas encaminadas a lograr que la tutela y defensa de los derechos fundamentales por parte del Tribunal </w:t>
      </w:r>
      <w:r w:rsidRPr="00470FE2">
        <w:rPr>
          <w:i/>
          <w:color w:val="000000" w:themeColor="text1"/>
        </w:rPr>
        <w:lastRenderedPageBreak/>
        <w:t>Constitucional sea realmente subsidiaria de una adecuada protección prestada por los órganos de la jurisdicción ordinaria”</w:t>
      </w:r>
      <w:r w:rsidRPr="00470FE2">
        <w:rPr>
          <w:color w:val="000000" w:themeColor="text1"/>
        </w:rPr>
        <w:t>.</w:t>
      </w:r>
    </w:p>
    <w:p w14:paraId="7EAE167F" w14:textId="77777777" w:rsidR="006F44C0" w:rsidRPr="00470FE2" w:rsidRDefault="006F44C0" w:rsidP="002B2B15">
      <w:pPr>
        <w:spacing w:after="240"/>
        <w:rPr>
          <w:color w:val="000000" w:themeColor="text1"/>
        </w:rPr>
      </w:pPr>
      <w:r w:rsidRPr="00470FE2">
        <w:rPr>
          <w:color w:val="000000" w:themeColor="text1"/>
        </w:rPr>
        <w:t>Cabe destacar que la necesidad de esta nueva ordenación ya se sugirió desde antiguo en la doctrina del TC, que en la STC 185/1990 apuntaba ya la insuficiencia del desarrollo legislativo del art. 53.2 CE al no posibilitarse un recurso jurisdiccional previo y sumario, hasta el punto de convertir al de amparo constitucional en un recurso subsidiario, pero también común y general de última instancia respecto de todas las vulneraciones en procesos ordinarios en los que se causare indefensión cuando hubiera recaído sentencia firme.</w:t>
      </w:r>
    </w:p>
    <w:p w14:paraId="77A202AA" w14:textId="77777777" w:rsidR="006F44C0" w:rsidRDefault="006F44C0" w:rsidP="002B2B15">
      <w:pPr>
        <w:spacing w:after="240"/>
        <w:rPr>
          <w:color w:val="000000" w:themeColor="text1"/>
        </w:rPr>
      </w:pPr>
      <w:r w:rsidRPr="00470FE2">
        <w:rPr>
          <w:color w:val="000000" w:themeColor="text1"/>
        </w:rPr>
        <w:t>De esta forma se otorgaba a los tribunales ordinarios más facultades para revisar las violaciones de derechos fundamentales a través de una nueva regulación de la nulidad de los actos procesales persiguiendo así una adecuada protección por parte de los órganos de la jurisdicción ordinaria. Paralelamente se perseguía dejar al TC la tutela y defensa de los derechos fundamentales de una forma realmente subsidiaria. La reforma consistió básicamente en posibilitar que la nulidad de actuaciones pudiera fundamentarse no solo en situaciones de indefensión, sino en cualquier vulneración de un derecho fundamental de los referidos en el artículo 53.2 de la Constitución.</w:t>
      </w:r>
    </w:p>
    <w:p w14:paraId="1D4D2FC4" w14:textId="77777777" w:rsidR="006F44C0" w:rsidRDefault="006F44C0" w:rsidP="002B2B15">
      <w:pPr>
        <w:pStyle w:val="Ttulo3"/>
      </w:pPr>
      <w:bookmarkStart w:id="399" w:name="_Toc37373859"/>
      <w:bookmarkStart w:id="400" w:name="_Toc49423659"/>
      <w:bookmarkStart w:id="401" w:name="_Toc49708591"/>
      <w:bookmarkStart w:id="402" w:name="_Toc49790279"/>
      <w:bookmarkStart w:id="403" w:name="_Toc49866531"/>
      <w:bookmarkStart w:id="404" w:name="_Toc50373170"/>
      <w:r>
        <w:t>R</w:t>
      </w:r>
      <w:r w:rsidRPr="00F47756">
        <w:t>egulación legal actual de la nulidad de actuaciones</w:t>
      </w:r>
      <w:bookmarkEnd w:id="399"/>
      <w:bookmarkEnd w:id="400"/>
      <w:bookmarkEnd w:id="401"/>
      <w:bookmarkEnd w:id="402"/>
      <w:bookmarkEnd w:id="403"/>
      <w:bookmarkEnd w:id="404"/>
    </w:p>
    <w:p w14:paraId="352E3D5B" w14:textId="77777777" w:rsidR="006F44C0" w:rsidRDefault="006F44C0" w:rsidP="002B2B15">
      <w:pPr>
        <w:spacing w:after="240"/>
      </w:pPr>
      <w:r>
        <w:rPr>
          <w:color w:val="000000" w:themeColor="text1"/>
        </w:rPr>
        <w:t>En la actualidad, l</w:t>
      </w:r>
      <w:r>
        <w:t xml:space="preserve">a regulación esencial de la nulidad de actuaciones se encuentra en los artículos 238 al 243 de la LOPJ y 225 al 231 de la LEC. Éstos últimos deben entenderse aplicables en todo aquello que no esté expresamente regulado en la LOPJ. </w:t>
      </w:r>
      <w:r w:rsidRPr="00584611">
        <w:t xml:space="preserve">La </w:t>
      </w:r>
      <w:r>
        <w:t>LEC la considera un</w:t>
      </w:r>
      <w:r w:rsidRPr="00584611">
        <w:t>a grave sanción que asocia a un quebrantamiento de las garantías procesales y que comporta la necesidad de retrotraer las mismas al instante anterior al de la concurrencia del vicio (aunque con posibilidades de convalidación en determinados casos).</w:t>
      </w:r>
    </w:p>
    <w:p w14:paraId="49F4AD04" w14:textId="414152A9" w:rsidR="006F44C0" w:rsidRDefault="006F44C0" w:rsidP="002B2B15">
      <w:pPr>
        <w:spacing w:after="240"/>
      </w:pPr>
      <w:r>
        <w:t xml:space="preserve">Los citados artículos de la LOPJ se encuentran estructurados en tres partes claramente diferenciadas. La primera es referida a la relación de las causas de nulidad de pleno derecho y a los principios de conservación y subsanación que determinan las consecuencias de la declaración de nulidad (arts. 238, 239, 242 y 243 LOPJ). La segunda aborda la denuncia y control de </w:t>
      </w:r>
      <w:r w:rsidR="007B7556">
        <w:t>la nulidad</w:t>
      </w:r>
      <w:r>
        <w:t xml:space="preserve"> de actuaciones “lite </w:t>
      </w:r>
      <w:proofErr w:type="spellStart"/>
      <w:r>
        <w:t>pendente</w:t>
      </w:r>
      <w:proofErr w:type="spellEnd"/>
      <w:r>
        <w:t xml:space="preserve">” (arts. 239 y 240 </w:t>
      </w:r>
      <w:r>
        <w:lastRenderedPageBreak/>
        <w:t>LOPJ). Por último, la tercera se refiere al incidente de nulidad de actuaciones frente a resoluciones que hubieren adquirido firmeza (art. 241 LOPJ).</w:t>
      </w:r>
    </w:p>
    <w:p w14:paraId="4A9E4DF1" w14:textId="77777777" w:rsidR="006F44C0" w:rsidRDefault="006F44C0" w:rsidP="002B2B15">
      <w:pPr>
        <w:tabs>
          <w:tab w:val="right" w:pos="8504"/>
        </w:tabs>
        <w:spacing w:after="240"/>
      </w:pPr>
      <w:r>
        <w:t>Hay distintos actos procesales que pueden verse aquejados de nulidad:</w:t>
      </w:r>
      <w:r>
        <w:tab/>
      </w:r>
    </w:p>
    <w:p w14:paraId="3620E813" w14:textId="77777777" w:rsidR="006F44C0" w:rsidRDefault="006F44C0" w:rsidP="001A4310">
      <w:pPr>
        <w:pStyle w:val="Prrafodelista"/>
        <w:numPr>
          <w:ilvl w:val="0"/>
          <w:numId w:val="13"/>
        </w:numPr>
        <w:spacing w:line="276" w:lineRule="auto"/>
      </w:pPr>
      <w:r>
        <w:t>Resoluciones judiciales (autos, providencias y sentencias).</w:t>
      </w:r>
    </w:p>
    <w:p w14:paraId="253F3587" w14:textId="77777777" w:rsidR="006F44C0" w:rsidRDefault="006F44C0" w:rsidP="001A4310">
      <w:pPr>
        <w:pStyle w:val="Prrafodelista"/>
        <w:numPr>
          <w:ilvl w:val="0"/>
          <w:numId w:val="13"/>
        </w:numPr>
        <w:spacing w:line="276" w:lineRule="auto"/>
      </w:pPr>
      <w:r>
        <w:t>Resoluciones del Letrado de la Administración de Justicia (Diligencias de Ordenación y Decretos).</w:t>
      </w:r>
    </w:p>
    <w:p w14:paraId="50B36A61" w14:textId="77777777" w:rsidR="006F44C0" w:rsidRDefault="006F44C0" w:rsidP="001A4310">
      <w:pPr>
        <w:pStyle w:val="Prrafodelista"/>
        <w:numPr>
          <w:ilvl w:val="0"/>
          <w:numId w:val="13"/>
        </w:numPr>
        <w:spacing w:line="276" w:lineRule="auto"/>
      </w:pPr>
      <w:r>
        <w:t>Actos jurisdiccionales varios (vistas, diligencias de instrucción, etc.).</w:t>
      </w:r>
    </w:p>
    <w:p w14:paraId="0E04EEF9" w14:textId="77777777" w:rsidR="006F44C0" w:rsidRPr="00AB1BEB" w:rsidRDefault="006F44C0" w:rsidP="002B2B15">
      <w:pPr>
        <w:spacing w:after="240"/>
        <w:rPr>
          <w:szCs w:val="24"/>
        </w:rPr>
      </w:pPr>
      <w:r w:rsidRPr="00AB1BEB">
        <w:rPr>
          <w:szCs w:val="24"/>
        </w:rPr>
        <w:t xml:space="preserve">Antes de centrarnos en los principios que rigen la nulidad de actuaciones, es necesario hacer mención a la excepcionalidad de esta figura. </w:t>
      </w:r>
    </w:p>
    <w:p w14:paraId="6E5070DD" w14:textId="77777777" w:rsidR="006F44C0" w:rsidRPr="00AB1BEB" w:rsidRDefault="006F44C0" w:rsidP="002B2B15">
      <w:pPr>
        <w:spacing w:after="240"/>
        <w:rPr>
          <w:szCs w:val="24"/>
        </w:rPr>
      </w:pPr>
      <w:r w:rsidRPr="00AB1BEB">
        <w:rPr>
          <w:szCs w:val="24"/>
        </w:rPr>
        <w:t xml:space="preserve">Dado que el principio de seguridad jurídica </w:t>
      </w:r>
      <w:r w:rsidRPr="00C20E5D">
        <w:rPr>
          <w:szCs w:val="24"/>
        </w:rPr>
        <w:t xml:space="preserve">exige un </w:t>
      </w:r>
      <w:r w:rsidRPr="00AB1BEB">
        <w:rPr>
          <w:szCs w:val="24"/>
        </w:rPr>
        <w:t xml:space="preserve">respeto a las actuaciones practicadas, es </w:t>
      </w:r>
      <w:r w:rsidRPr="00C20E5D">
        <w:rPr>
          <w:szCs w:val="24"/>
        </w:rPr>
        <w:t>necesario hacer</w:t>
      </w:r>
      <w:r w:rsidRPr="00AB1BEB">
        <w:rPr>
          <w:szCs w:val="24"/>
        </w:rPr>
        <w:t xml:space="preserve"> un uso restrictivo y excepcional de la sanción de nulidad.</w:t>
      </w:r>
    </w:p>
    <w:p w14:paraId="1F06C726" w14:textId="77777777" w:rsidR="006F44C0" w:rsidRPr="00C505BD" w:rsidRDefault="006F44C0" w:rsidP="002B2B15">
      <w:pPr>
        <w:spacing w:after="240"/>
        <w:rPr>
          <w:szCs w:val="24"/>
        </w:rPr>
      </w:pPr>
      <w:r w:rsidRPr="00C505BD">
        <w:rPr>
          <w:szCs w:val="24"/>
        </w:rPr>
        <w:t xml:space="preserve">Muestra de esta excepcionalidad que deriva del principio de seguridad jurídica es el hecho de que, a pesar de poder existir irregularidades en un proceso, siempre se ha de tratar de subsanar el defecto procesal apreciado. En este sentido se pronuncia el art. 231 LEC cuando indica que el </w:t>
      </w:r>
      <w:r>
        <w:rPr>
          <w:szCs w:val="24"/>
        </w:rPr>
        <w:t>T</w:t>
      </w:r>
      <w:r w:rsidRPr="00C505BD">
        <w:rPr>
          <w:szCs w:val="24"/>
        </w:rPr>
        <w:t xml:space="preserve">ribunal y el </w:t>
      </w:r>
      <w:r w:rsidRPr="00C20E5D">
        <w:rPr>
          <w:szCs w:val="24"/>
        </w:rPr>
        <w:t>Letrado de la Administración de Justicia</w:t>
      </w:r>
      <w:r>
        <w:rPr>
          <w:szCs w:val="24"/>
        </w:rPr>
        <w:t xml:space="preserve"> </w:t>
      </w:r>
      <w:r w:rsidRPr="00C505BD">
        <w:rPr>
          <w:szCs w:val="24"/>
        </w:rPr>
        <w:t>cuidarán de que puedan ser subsanados los defectos en que incurran los actos procesales de las partes, siempre que en dichos actos se hubiese manifestado la voluntad de cumplir los requisitos exigidos por la ley.</w:t>
      </w:r>
    </w:p>
    <w:p w14:paraId="6212AFD4" w14:textId="77777777" w:rsidR="006F44C0" w:rsidRDefault="006F44C0" w:rsidP="002B2B15">
      <w:pPr>
        <w:spacing w:after="240"/>
        <w:rPr>
          <w:szCs w:val="24"/>
        </w:rPr>
      </w:pPr>
      <w:r w:rsidRPr="00C505BD">
        <w:rPr>
          <w:szCs w:val="24"/>
        </w:rPr>
        <w:t>Si se llegase a declarar la nulidad de determinadas actuaciones procesales, la excepcionalidad de la misma implica que prime el mantenimiento de la eficacia de los actos no afectados por el vicio. El art. 230 LEC indica que la nulidad de un acto no implicará la de los sucesivos que fueren independientes de aquél ni la de aquéllos cuyo contenido hubiese permanecido invariado aun sin haberse cometido la infracción que dio lugar a la nulidad. Asimismo, y como complemento de lo anterior, dispone que la nulidad de parte de un acto no implicará la de las partes del mismo independientes de la declarada nula.</w:t>
      </w:r>
    </w:p>
    <w:p w14:paraId="01F04C9C" w14:textId="77777777" w:rsidR="006F44C0" w:rsidRDefault="006F44C0" w:rsidP="002B2B15">
      <w:pPr>
        <w:spacing w:after="240"/>
        <w:rPr>
          <w:szCs w:val="24"/>
        </w:rPr>
      </w:pPr>
      <w:r>
        <w:rPr>
          <w:szCs w:val="24"/>
        </w:rPr>
        <w:t xml:space="preserve">Antes de entrar en el estudio de los principios que rigen la nulidad de actuaciones, consideramos necesario hacer mención a las características del sistema de nulidad de </w:t>
      </w:r>
      <w:r>
        <w:rPr>
          <w:szCs w:val="24"/>
        </w:rPr>
        <w:lastRenderedPageBreak/>
        <w:t>actuaciones en nuestro derecho procesal. Para ello, seguiremos lo señalado por RICHARD GONZÁLEZ</w:t>
      </w:r>
      <w:r>
        <w:rPr>
          <w:rStyle w:val="Refdenotaalpie"/>
          <w:szCs w:val="24"/>
        </w:rPr>
        <w:footnoteReference w:id="192"/>
      </w:r>
      <w:r>
        <w:rPr>
          <w:szCs w:val="24"/>
        </w:rPr>
        <w:t>.</w:t>
      </w:r>
    </w:p>
    <w:p w14:paraId="7AB7A20F" w14:textId="77777777" w:rsidR="006F44C0" w:rsidRDefault="006F44C0" w:rsidP="002B2B15">
      <w:pPr>
        <w:spacing w:after="240"/>
        <w:rPr>
          <w:szCs w:val="24"/>
        </w:rPr>
      </w:pPr>
      <w:r>
        <w:rPr>
          <w:szCs w:val="24"/>
        </w:rPr>
        <w:t>Lo primero que debemos destacar es que la caracterización de un acto procesal como nulo se determinará a partir de un doble examen. Son actos nulos los que la Ley establece como tales. Entre éstos, aquellos establecidos en la relación dispuesta en el art. 238 LOPJ, así como en determinados preceptos que asocian la nulidad simple a la infracción concreta de un determinado acto procesal.</w:t>
      </w:r>
    </w:p>
    <w:p w14:paraId="71D10BCA" w14:textId="77777777" w:rsidR="006F44C0" w:rsidRDefault="006F44C0" w:rsidP="002B2B15">
      <w:pPr>
        <w:spacing w:after="240"/>
        <w:rPr>
          <w:szCs w:val="24"/>
        </w:rPr>
      </w:pPr>
      <w:r>
        <w:rPr>
          <w:szCs w:val="24"/>
        </w:rPr>
        <w:t>En segundo lugar, es importante resaltar que la distinción fundamental en materia de nulidad no se encuentra tanto en la diferenciación entre motivos de nulidad de pleno derecho y de nulidad simple, sino en la diferencia entre nulidad objetiva de la norma procesal y la nulidad procesal que produce indefensión. La diferencia entre ambas clases de nulidad podemos encontrarla en la circunstancia de que la nulidad objetiva se resuelve en la comparación entre la norma infringida y la norma que dispone la consecuencia de la nulidad para ese concreto vicio. Para el caso de los derechos fundamentales, debe producirse la infracción de la norma y también que ésta produzca indefensión.</w:t>
      </w:r>
    </w:p>
    <w:p w14:paraId="7BBE3C57" w14:textId="77777777" w:rsidR="006F44C0" w:rsidRDefault="006F44C0" w:rsidP="002B2B15">
      <w:pPr>
        <w:spacing w:after="240"/>
        <w:rPr>
          <w:szCs w:val="24"/>
        </w:rPr>
      </w:pPr>
      <w:r>
        <w:rPr>
          <w:szCs w:val="24"/>
        </w:rPr>
        <w:t xml:space="preserve">En tercer lugar, destacaremos que la nulidad procesal en resoluciones que no hubieren adquirido firmeza puede ser apreciada de oficio o mediante denuncia de parte atendiendo al art. 240 LOPJ. </w:t>
      </w:r>
    </w:p>
    <w:p w14:paraId="4C1DCE77" w14:textId="77777777" w:rsidR="006F44C0" w:rsidRDefault="006F44C0" w:rsidP="002B2B15">
      <w:pPr>
        <w:spacing w:after="240"/>
        <w:rPr>
          <w:szCs w:val="24"/>
        </w:rPr>
      </w:pPr>
      <w:r>
        <w:rPr>
          <w:szCs w:val="24"/>
        </w:rPr>
        <w:t xml:space="preserve">El tribunal podrá de oficio, previa audiencia de las partes, declarar la nulidad de todas las actuaciones, de un acto procesal concreto o de parte del mismo, con tres límites especificados en el art. 240.2 LOPJ: 1º hacerlo antes a </w:t>
      </w:r>
      <w:r w:rsidRPr="00A979E5">
        <w:rPr>
          <w:szCs w:val="24"/>
        </w:rPr>
        <w:t>que hubier</w:t>
      </w:r>
      <w:r>
        <w:rPr>
          <w:szCs w:val="24"/>
        </w:rPr>
        <w:t>e</w:t>
      </w:r>
      <w:r w:rsidRPr="00A979E5">
        <w:rPr>
          <w:szCs w:val="24"/>
        </w:rPr>
        <w:t xml:space="preserve"> recaído resolución que ponga fin al proceso</w:t>
      </w:r>
      <w:r>
        <w:rPr>
          <w:szCs w:val="24"/>
        </w:rPr>
        <w:t xml:space="preserve">; 2º </w:t>
      </w:r>
      <w:r w:rsidRPr="00A979E5">
        <w:rPr>
          <w:szCs w:val="24"/>
        </w:rPr>
        <w:t>que no proceda la subsanación</w:t>
      </w:r>
      <w:r>
        <w:rPr>
          <w:szCs w:val="24"/>
        </w:rPr>
        <w:t>; y 3º, e</w:t>
      </w:r>
      <w:r w:rsidRPr="00A979E5">
        <w:rPr>
          <w:szCs w:val="24"/>
        </w:rPr>
        <w:t>n ningún caso podrá el juzgado o tribunal, con ocasión de un recurso, decretar de oficio una nulidad de las actuaciones que no haya sido solicitada en dicho recurso, salvo que apreciare falta de jurisdicción o de competencia objetiva o funcional o se hubiese producido violencia o intimidación que afectare a ese tribunal.</w:t>
      </w:r>
    </w:p>
    <w:p w14:paraId="2E86849F" w14:textId="77777777" w:rsidR="006F44C0" w:rsidRDefault="006F44C0" w:rsidP="002B2B15">
      <w:pPr>
        <w:spacing w:after="240"/>
        <w:rPr>
          <w:szCs w:val="24"/>
        </w:rPr>
      </w:pPr>
      <w:r>
        <w:rPr>
          <w:szCs w:val="24"/>
        </w:rPr>
        <w:t xml:space="preserve">La denuncia a instancia de parte se producirá mediante los recursos establecidos contra la resolución de que se trate o mediante los medios de impugnación que pueda establecer </w:t>
      </w:r>
      <w:r>
        <w:rPr>
          <w:szCs w:val="24"/>
        </w:rPr>
        <w:lastRenderedPageBreak/>
        <w:t>la Ley procesal según el art. 240.1 LOPJ. La denuncia de la nulidad debe referirse al acto que la causó, sin que pueda reservarse la impugnación para un momento posterior.</w:t>
      </w:r>
    </w:p>
    <w:p w14:paraId="799A95FC" w14:textId="77777777" w:rsidR="006F44C0" w:rsidRDefault="006F44C0" w:rsidP="002B2B15">
      <w:pPr>
        <w:spacing w:after="240"/>
        <w:rPr>
          <w:szCs w:val="24"/>
        </w:rPr>
      </w:pPr>
      <w:r>
        <w:rPr>
          <w:szCs w:val="24"/>
        </w:rPr>
        <w:t>En cuarto lugar, ante un acto declarado nulo prevalecerán siempre los principios de conservación y subsanación de los actos. El principio de subsanación determinará que únicamente se declarará la nulidad de un acto procesal cuando no fuese posible la subsanación del mismo (art. 240.2 LOPJ). Declarado nulo un acto procesal, el principio de conservación determinará la validez de los actos sucesivos que fuesen independientes del nulo y cuyo contenido habría sido el mismo de no declararse la nulidad (art. 243 LOPJ). Todo esto queda reflejado en los principios que rigen la nulidad de actuaciones en nuestro sistema procesal y que veremos a continuación.</w:t>
      </w:r>
    </w:p>
    <w:p w14:paraId="3A78D6AA" w14:textId="77777777" w:rsidR="006F44C0" w:rsidRDefault="006F44C0" w:rsidP="002B2B15">
      <w:pPr>
        <w:spacing w:after="240"/>
        <w:rPr>
          <w:szCs w:val="24"/>
        </w:rPr>
      </w:pPr>
      <w:r>
        <w:rPr>
          <w:szCs w:val="24"/>
        </w:rPr>
        <w:t>En quinto lugar, la nulidad de una resolución que ya hubiese adquirido firmeza, sólo podrá ser apreciada por el tribunal por impugnación de la parte legítima mediante los remedios excepcionales de impugnación que prevea la Ley: recurso de revisión, audiencia al condenado rebelde…</w:t>
      </w:r>
    </w:p>
    <w:p w14:paraId="48D003CF" w14:textId="77777777" w:rsidR="006F44C0" w:rsidRDefault="006F44C0" w:rsidP="002B2B15">
      <w:pPr>
        <w:spacing w:after="240"/>
        <w:rPr>
          <w:szCs w:val="24"/>
        </w:rPr>
      </w:pPr>
      <w:r>
        <w:rPr>
          <w:szCs w:val="24"/>
        </w:rPr>
        <w:t xml:space="preserve">La penúltima característica del sistema procesal vigente de la nulidad procesal viene referida al recurso de amparo constitucional. Debemos recordar que, dentro del elenco de derechos fundamentales recurribles en amparo, adquieren especial importancia los de carácter jurisdiccional que resultarán lesionados cuando se infrinjan las normas procesales. </w:t>
      </w:r>
    </w:p>
    <w:p w14:paraId="6F2F040C" w14:textId="77777777" w:rsidR="006F44C0" w:rsidRDefault="006F44C0" w:rsidP="002B2B15">
      <w:pPr>
        <w:spacing w:after="240"/>
        <w:rPr>
          <w:szCs w:val="24"/>
        </w:rPr>
      </w:pPr>
      <w:r>
        <w:rPr>
          <w:szCs w:val="24"/>
        </w:rPr>
        <w:t xml:space="preserve">Destacar también en este punto la función de la jurisprudencia del TC en el sistema de nulidad procesal, la cual es esencial.  Prueba de ello es la práctica correlación entre la nulidad de pleno derecho del art. 238 LOPJ y la vulneración de los derechos de carácter procesal del art. 24 CE. Podemos ver una equiparación evidente en la causa número 3, a la que posteriormente prestaremos una mayor atención, la cual sanciona con la nulidad de pleno derecho la infracción de las normas esenciales del procedimiento siempre que se hubiese causado indefensión. </w:t>
      </w:r>
    </w:p>
    <w:p w14:paraId="79BB371E" w14:textId="77777777" w:rsidR="006F44C0" w:rsidRDefault="006F44C0" w:rsidP="002B2B15">
      <w:pPr>
        <w:spacing w:after="240"/>
        <w:rPr>
          <w:szCs w:val="24"/>
        </w:rPr>
      </w:pPr>
      <w:r>
        <w:rPr>
          <w:szCs w:val="24"/>
        </w:rPr>
        <w:t xml:space="preserve">Por último, destacar la subsidiariedad del recurso de amparo y la exigencia del agotamiento de la vía judicial previa. Ésta última se cumplirá en cada clase de proceso mediante la utilización de los recursos ordinarios y extraordinarios en los que quepa </w:t>
      </w:r>
      <w:r>
        <w:rPr>
          <w:szCs w:val="24"/>
        </w:rPr>
        <w:lastRenderedPageBreak/>
        <w:t xml:space="preserve">aducir la nulidad procesal como motivo de impugnación. Por ejemplo, esta vía finaliza en el proceso civil y penal para la mayoría de los asuntos en el recurso de apelación.  </w:t>
      </w:r>
    </w:p>
    <w:p w14:paraId="1E3E765B" w14:textId="77777777" w:rsidR="006F44C0" w:rsidRDefault="006F44C0" w:rsidP="002B2B15">
      <w:pPr>
        <w:pStyle w:val="Ttulo3"/>
      </w:pPr>
      <w:bookmarkStart w:id="405" w:name="_Toc21368106"/>
      <w:bookmarkStart w:id="406" w:name="_Toc23763171"/>
      <w:bookmarkStart w:id="407" w:name="_Toc37373860"/>
      <w:bookmarkStart w:id="408" w:name="_Toc49423660"/>
      <w:bookmarkStart w:id="409" w:name="_Toc49708592"/>
      <w:bookmarkStart w:id="410" w:name="_Toc49790280"/>
      <w:bookmarkStart w:id="411" w:name="_Toc49866532"/>
      <w:bookmarkStart w:id="412" w:name="_Toc50373171"/>
      <w:r>
        <w:t>Principios que rigen la nulidad de actuaciones</w:t>
      </w:r>
      <w:bookmarkEnd w:id="405"/>
      <w:bookmarkEnd w:id="406"/>
      <w:bookmarkEnd w:id="407"/>
      <w:bookmarkEnd w:id="408"/>
      <w:bookmarkEnd w:id="409"/>
      <w:bookmarkEnd w:id="410"/>
      <w:bookmarkEnd w:id="411"/>
      <w:bookmarkEnd w:id="412"/>
    </w:p>
    <w:p w14:paraId="5D4F4FA8" w14:textId="77777777" w:rsidR="006F44C0" w:rsidRPr="009E1F00" w:rsidRDefault="006F44C0" w:rsidP="002B2B15">
      <w:pPr>
        <w:spacing w:after="240"/>
      </w:pPr>
      <w:r w:rsidRPr="009E1F00">
        <w:t xml:space="preserve">En </w:t>
      </w:r>
      <w:r>
        <w:t xml:space="preserve">la actual </w:t>
      </w:r>
      <w:r w:rsidRPr="009E1F00">
        <w:t xml:space="preserve">regulación de la nulidad de los actos judiciales </w:t>
      </w:r>
      <w:r>
        <w:t xml:space="preserve">recogida </w:t>
      </w:r>
      <w:r w:rsidRPr="009E1F00">
        <w:t xml:space="preserve">en la LOPJ </w:t>
      </w:r>
      <w:r>
        <w:t xml:space="preserve">podemos apreciar la </w:t>
      </w:r>
      <w:r w:rsidRPr="009E1F00">
        <w:t>existencia de</w:t>
      </w:r>
      <w:r>
        <w:t xml:space="preserve"> dos principios generales que rigen la nulidad de los actos procesales: el principio de </w:t>
      </w:r>
      <w:r w:rsidRPr="009E1F00">
        <w:t>conservación</w:t>
      </w:r>
      <w:r>
        <w:t xml:space="preserve"> y el de subsanación, </w:t>
      </w:r>
      <w:r w:rsidRPr="009E1F00">
        <w:t>a l</w:t>
      </w:r>
      <w:r>
        <w:t>o</w:t>
      </w:r>
      <w:r w:rsidRPr="009E1F00">
        <w:t>s que habremos de referirnos seguidamente.</w:t>
      </w:r>
    </w:p>
    <w:p w14:paraId="46AFCEA0" w14:textId="77777777" w:rsidR="006F44C0" w:rsidRDefault="006F44C0" w:rsidP="002B2B15">
      <w:pPr>
        <w:spacing w:after="240"/>
      </w:pPr>
      <w:r>
        <w:t xml:space="preserve">A la luz de estos principios se ha de interpretar toda la materia relativa a la nulidad de los actos procesales ya que éstos fundamentan el significado de la misma. En base a ellos, nuestro sistema procesal prioriza siempre la conservación de los actos llevados a cabo siempre que sea posible, declarando nulos los mismos sólo en casos de especial excepcionalidad. </w:t>
      </w:r>
    </w:p>
    <w:p w14:paraId="6196ADDC" w14:textId="77777777" w:rsidR="006F44C0" w:rsidRPr="00B17D52" w:rsidRDefault="006F44C0" w:rsidP="001A4310">
      <w:pPr>
        <w:pStyle w:val="Ttulo4"/>
        <w:numPr>
          <w:ilvl w:val="0"/>
          <w:numId w:val="54"/>
        </w:numPr>
      </w:pPr>
      <w:bookmarkStart w:id="413" w:name="_Toc21368107"/>
      <w:bookmarkStart w:id="414" w:name="_Toc23763172"/>
      <w:bookmarkStart w:id="415" w:name="_Toc37373861"/>
      <w:bookmarkStart w:id="416" w:name="_Toc49423661"/>
      <w:bookmarkStart w:id="417" w:name="_Toc49708593"/>
      <w:bookmarkStart w:id="418" w:name="_Toc49866533"/>
      <w:r w:rsidRPr="00B17D52">
        <w:t>La conservación de los actos procesales</w:t>
      </w:r>
      <w:bookmarkEnd w:id="413"/>
      <w:bookmarkEnd w:id="414"/>
      <w:bookmarkEnd w:id="415"/>
      <w:bookmarkEnd w:id="416"/>
      <w:bookmarkEnd w:id="417"/>
      <w:bookmarkEnd w:id="418"/>
    </w:p>
    <w:p w14:paraId="6C98B3AD" w14:textId="77777777" w:rsidR="006F44C0" w:rsidRDefault="006F44C0" w:rsidP="002B2B15">
      <w:pPr>
        <w:spacing w:after="240"/>
      </w:pPr>
      <w:r>
        <w:t xml:space="preserve">El principio de conservación de los actos procesales se regula en el art. 243 LOPJ y determina la plena validez de los actos procesales que fueran independientes del acto declarado nulo y que no estuvieran afectados por la nulidad declarada. </w:t>
      </w:r>
    </w:p>
    <w:p w14:paraId="3931DD1F" w14:textId="77777777" w:rsidR="006F44C0" w:rsidRPr="009E1F00" w:rsidRDefault="006F44C0" w:rsidP="002B2B15">
      <w:pPr>
        <w:spacing w:after="240"/>
      </w:pPr>
      <w:r w:rsidRPr="0009533A">
        <w:t xml:space="preserve">Este principio o regla general conforma toda la teoría de la nulidad: es la regla de la conservación de las actuaciones procesales. No se trata simplemente de que la nulidad no es la consecuencia obligada de la existencia de un defecto o irregularidad en la realización de un acto procesal, pues existen irregularidades que no llevan sin más a la nulidad. Lo que debemos destacar es que el propio legislador ha procedido a prever los que pueden llamarse remedios </w:t>
      </w:r>
      <w:proofErr w:type="spellStart"/>
      <w:r w:rsidRPr="0009533A">
        <w:t>convalidantes</w:t>
      </w:r>
      <w:proofErr w:type="spellEnd"/>
      <w:r w:rsidRPr="0009533A">
        <w:t xml:space="preserve"> de los actos, es decir, remedios que se manifiestan en dos instituciones: la convalidación y la subsanación</w:t>
      </w:r>
    </w:p>
    <w:p w14:paraId="48FCD00B" w14:textId="77777777" w:rsidR="006F44C0" w:rsidRDefault="006F44C0" w:rsidP="002B2B15">
      <w:pPr>
        <w:spacing w:after="240"/>
      </w:pPr>
      <w:r w:rsidRPr="0009533A">
        <w:t>Respecto a la convalidación, podemos decir que ésta se produce cuando el defecto o irregularidad del acto no impide que llegue a producir los efectos de un acto válido</w:t>
      </w:r>
      <w:r>
        <w:t>. Ello puede ocurrir, por ejemplo, s</w:t>
      </w:r>
      <w:r w:rsidRPr="009B161C">
        <w:t>i el acto, a pesar de ser defectuoso, ha alcanzado el fin previsto en la ley para el acto válido.</w:t>
      </w:r>
    </w:p>
    <w:p w14:paraId="25C61169" w14:textId="77777777" w:rsidR="006F44C0" w:rsidRDefault="006F44C0" w:rsidP="002B2B15">
      <w:pPr>
        <w:spacing w:after="240"/>
      </w:pPr>
      <w:r w:rsidRPr="009B161C">
        <w:lastRenderedPageBreak/>
        <w:t>El art. 240.1 LOPJ prevé la nulidad de los actos cuando carezcan de los requisitos necesarios para alcanzar su fin,</w:t>
      </w:r>
      <w:r>
        <w:t xml:space="preserve"> pero ¿podríamos entender </w:t>
      </w:r>
      <w:r w:rsidRPr="009B161C">
        <w:t xml:space="preserve">esta disposición en sentido contrario, de manera que </w:t>
      </w:r>
      <w:r>
        <w:t xml:space="preserve">pudiésemos afirmar </w:t>
      </w:r>
      <w:r w:rsidRPr="009B161C">
        <w:t xml:space="preserve">que un acto, a pesar de incumplir algún requisito de forma, </w:t>
      </w:r>
      <w:r>
        <w:t xml:space="preserve">fuese </w:t>
      </w:r>
      <w:r w:rsidRPr="009B161C">
        <w:t>válido si h</w:t>
      </w:r>
      <w:r>
        <w:t>ubiese</w:t>
      </w:r>
      <w:r w:rsidRPr="009B161C">
        <w:t xml:space="preserve"> conseguido el fin previsto para el mismo en la norma que lo regula</w:t>
      </w:r>
      <w:r>
        <w:t>? En nuestra opinión, así es. Y es que, ju</w:t>
      </w:r>
      <w:r w:rsidRPr="009B161C">
        <w:t>nto a la disposición general anterior</w:t>
      </w:r>
      <w:r>
        <w:t xml:space="preserve">, podemos encontrar que la LEC </w:t>
      </w:r>
      <w:r w:rsidRPr="009B161C">
        <w:t xml:space="preserve">dispone lo mismo. </w:t>
      </w:r>
      <w:r>
        <w:t xml:space="preserve">En efecto, </w:t>
      </w:r>
      <w:r w:rsidRPr="009B161C">
        <w:t xml:space="preserve">el art. 166.2 </w:t>
      </w:r>
      <w:r>
        <w:t>LEC recoge</w:t>
      </w:r>
      <w:r w:rsidRPr="009B161C">
        <w:t xml:space="preserve"> dos casos de convalidación sobre los actos de comunicación con las partes:</w:t>
      </w:r>
      <w:r>
        <w:t xml:space="preserve"> </w:t>
      </w:r>
    </w:p>
    <w:p w14:paraId="3A96B3B3" w14:textId="77777777" w:rsidR="006F44C0" w:rsidRDefault="006F44C0" w:rsidP="002B2B15">
      <w:pPr>
        <w:spacing w:after="240"/>
        <w:rPr>
          <w:i/>
          <w:iCs/>
        </w:rPr>
      </w:pPr>
      <w:r w:rsidRPr="009B161C">
        <w:rPr>
          <w:i/>
          <w:iCs/>
        </w:rPr>
        <w:t>“Sin embargo, cuando la persona notificada, citada, emplazada o requerida se hubiera dado por enterada en el asunto, y no denunciase la nulidad de la diligencia en su primer acto de comparecencia ante el tribunal, surtirá ésta desde entonces todos sus efectos, como si se hubiere hecho con arreglo a las disposiciones de la ley”.</w:t>
      </w:r>
    </w:p>
    <w:p w14:paraId="4278A99A" w14:textId="77777777" w:rsidR="006F44C0" w:rsidRDefault="006F44C0" w:rsidP="002B2B15">
      <w:pPr>
        <w:spacing w:after="240"/>
      </w:pPr>
      <w:r>
        <w:t>Con arreglo a esto, podemos ver que l</w:t>
      </w:r>
      <w:r w:rsidRPr="009B161C">
        <w:t>a notificación defectuosa se convalida</w:t>
      </w:r>
      <w:r>
        <w:t>rá</w:t>
      </w:r>
      <w:r w:rsidRPr="009B161C">
        <w:t xml:space="preserve"> cuando, a pesar de todo, se h</w:t>
      </w:r>
      <w:r>
        <w:t>ubiese</w:t>
      </w:r>
      <w:r w:rsidRPr="009B161C">
        <w:t xml:space="preserve"> cumplido el fin del acto: </w:t>
      </w:r>
      <w:r>
        <w:t>s</w:t>
      </w:r>
      <w:r w:rsidRPr="009B161C">
        <w:t>i la parte se da por enterada de la comunicación, con la consecuencia de que no existe indefensión se produce la convalidación y ya no podrá declararse la nulidad del acto.</w:t>
      </w:r>
      <w:r>
        <w:t xml:space="preserve"> </w:t>
      </w:r>
      <w:r w:rsidRPr="009B161C">
        <w:t>También se convalida</w:t>
      </w:r>
      <w:r>
        <w:t>rá</w:t>
      </w:r>
      <w:r w:rsidRPr="009B161C">
        <w:t xml:space="preserve"> la notificación defectuosa si la parte no denuncia la nulidad de la diligencia en su primer acto de comparecencia, de modo que entonces depende de su voluntad la convalidación.</w:t>
      </w:r>
    </w:p>
    <w:p w14:paraId="2A0F4F0A" w14:textId="77777777" w:rsidR="006F44C0" w:rsidRDefault="006F44C0" w:rsidP="002B2B15">
      <w:pPr>
        <w:spacing w:after="240"/>
      </w:pPr>
      <w:r w:rsidRPr="00204255">
        <w:t>Podríamos deducir, atendiendo a ambos preceptos que</w:t>
      </w:r>
      <w:r>
        <w:t xml:space="preserve"> lo que debe primar</w:t>
      </w:r>
      <w:r w:rsidRPr="00204255">
        <w:t xml:space="preserve">, </w:t>
      </w:r>
      <w:r>
        <w:t>por encima de que</w:t>
      </w:r>
      <w:r w:rsidRPr="00204255">
        <w:t xml:space="preserve"> el acto care</w:t>
      </w:r>
      <w:r>
        <w:t>zca</w:t>
      </w:r>
      <w:r w:rsidRPr="00204255">
        <w:t xml:space="preserve"> de los requisitos indispensables para alcanzar su fin</w:t>
      </w:r>
      <w:r>
        <w:t>, sea el hecho</w:t>
      </w:r>
      <w:r w:rsidRPr="00204255">
        <w:t xml:space="preserve"> de</w:t>
      </w:r>
      <w:r>
        <w:t xml:space="preserve"> que el acto haya</w:t>
      </w:r>
      <w:r w:rsidRPr="00204255">
        <w:t xml:space="preserve"> alcanzado ese fin</w:t>
      </w:r>
      <w:r>
        <w:t>. D</w:t>
      </w:r>
      <w:r w:rsidRPr="00204255">
        <w:t>ebemos entender que el acto será válido con arreglo al principio de convalidación y ese acto no podrá ser declarado nulo.</w:t>
      </w:r>
    </w:p>
    <w:p w14:paraId="28580129" w14:textId="77777777" w:rsidR="006F44C0" w:rsidRPr="002933C4" w:rsidRDefault="006F44C0" w:rsidP="002B2B15">
      <w:pPr>
        <w:spacing w:after="240"/>
      </w:pPr>
      <w:r>
        <w:t xml:space="preserve">Otro caso en el que podría darse la convalidación es en el supuesto de que hayan </w:t>
      </w:r>
      <w:r w:rsidRPr="002933C4">
        <w:t>precluido los medios para hacer valer la nulidad.</w:t>
      </w:r>
    </w:p>
    <w:p w14:paraId="53314328" w14:textId="77777777" w:rsidR="006F44C0" w:rsidRDefault="006F44C0" w:rsidP="002B2B15">
      <w:pPr>
        <w:spacing w:after="240"/>
      </w:pPr>
      <w:r>
        <w:t xml:space="preserve">Como norma general, un </w:t>
      </w:r>
      <w:r w:rsidRPr="002933C4">
        <w:t>acto defectuoso debe ser declarado nulo</w:t>
      </w:r>
      <w:r>
        <w:t xml:space="preserve">. Sin embargo, en el caso de que no se declare </w:t>
      </w:r>
      <w:r w:rsidRPr="002933C4">
        <w:t>esa nulidad en el modo y en el tiempo legalmente previstos</w:t>
      </w:r>
      <w:r>
        <w:t>,</w:t>
      </w:r>
      <w:r w:rsidRPr="002933C4">
        <w:t xml:space="preserve"> se produc</w:t>
      </w:r>
      <w:r>
        <w:t>iría</w:t>
      </w:r>
      <w:r w:rsidRPr="002933C4">
        <w:t xml:space="preserve"> la preclusión de los medios para hacer valer la nulidad. </w:t>
      </w:r>
    </w:p>
    <w:p w14:paraId="23EA3764" w14:textId="77777777" w:rsidR="006F44C0" w:rsidRDefault="006F44C0" w:rsidP="002B2B15">
      <w:pPr>
        <w:spacing w:after="240"/>
      </w:pPr>
      <w:r>
        <w:t>Y es que l</w:t>
      </w:r>
      <w:r w:rsidRPr="002933C4">
        <w:t>a nulidad no es una consecuencia automática de la irregularidad de un acto,</w:t>
      </w:r>
      <w:r>
        <w:t xml:space="preserve"> ya que ha de darse la existencia de </w:t>
      </w:r>
      <w:r w:rsidRPr="002933C4">
        <w:t xml:space="preserve">una declaración judicial de la misma, </w:t>
      </w:r>
      <w:r>
        <w:t xml:space="preserve">la cual </w:t>
      </w:r>
      <w:r w:rsidRPr="002933C4">
        <w:t xml:space="preserve">debe </w:t>
      </w:r>
      <w:r>
        <w:t xml:space="preserve">realizarse </w:t>
      </w:r>
      <w:r w:rsidRPr="002933C4">
        <w:t>en el tiempo previsto y con la forma establecida legalmente</w:t>
      </w:r>
      <w:r>
        <w:t xml:space="preserve">. Por tanto, </w:t>
      </w:r>
      <w:r w:rsidRPr="002933C4">
        <w:t>si esa declaración no se produ</w:t>
      </w:r>
      <w:r>
        <w:t>jese,</w:t>
      </w:r>
      <w:r w:rsidRPr="002933C4">
        <w:t xml:space="preserve"> el acto defectuoso p</w:t>
      </w:r>
      <w:r>
        <w:t>odría</w:t>
      </w:r>
      <w:r w:rsidRPr="002933C4">
        <w:t xml:space="preserve"> quedar convalidado. </w:t>
      </w:r>
    </w:p>
    <w:p w14:paraId="6B5BB358" w14:textId="77777777" w:rsidR="006F44C0" w:rsidRPr="00B27A03" w:rsidRDefault="006F44C0" w:rsidP="002B2B15">
      <w:pPr>
        <w:pStyle w:val="Ttulo4"/>
      </w:pPr>
      <w:bookmarkStart w:id="419" w:name="_Toc21368108"/>
      <w:bookmarkStart w:id="420" w:name="_Toc23763173"/>
      <w:bookmarkStart w:id="421" w:name="_Toc37373862"/>
      <w:bookmarkStart w:id="422" w:name="_Toc49423662"/>
      <w:bookmarkStart w:id="423" w:name="_Toc49708594"/>
      <w:bookmarkStart w:id="424" w:name="_Toc49866534"/>
      <w:r w:rsidRPr="00B27A03">
        <w:lastRenderedPageBreak/>
        <w:t>La subsanación de los actos procesales</w:t>
      </w:r>
      <w:bookmarkEnd w:id="419"/>
      <w:bookmarkEnd w:id="420"/>
      <w:bookmarkEnd w:id="421"/>
      <w:bookmarkEnd w:id="422"/>
      <w:bookmarkEnd w:id="423"/>
      <w:bookmarkEnd w:id="424"/>
    </w:p>
    <w:p w14:paraId="37FC23C4" w14:textId="77777777" w:rsidR="006F44C0" w:rsidRPr="00E71A59" w:rsidRDefault="006F44C0" w:rsidP="002B2B15">
      <w:pPr>
        <w:spacing w:after="240"/>
      </w:pPr>
      <w:r>
        <w:t xml:space="preserve">Destacar, en primer lugar, que no </w:t>
      </w:r>
      <w:r w:rsidRPr="00E71A59">
        <w:t xml:space="preserve">existe una teoría general de la subsanación en la legislación </w:t>
      </w:r>
      <w:r>
        <w:t xml:space="preserve">procesal </w:t>
      </w:r>
      <w:r w:rsidRPr="00E71A59">
        <w:t xml:space="preserve">española. </w:t>
      </w:r>
      <w:r>
        <w:t>Debemos remitirnos a normas</w:t>
      </w:r>
      <w:r w:rsidRPr="00E71A59">
        <w:t xml:space="preserve"> procesales</w:t>
      </w:r>
      <w:r>
        <w:t xml:space="preserve"> concretas, las cuales</w:t>
      </w:r>
      <w:r w:rsidRPr="00E71A59">
        <w:t xml:space="preserve"> contienen referencias a determinadas situaciones en que se puede </w:t>
      </w:r>
      <w:r>
        <w:t>llevar a cabo</w:t>
      </w:r>
      <w:r w:rsidRPr="00E71A59">
        <w:t xml:space="preserve"> la subsanación de los defectos procesales que se cometan</w:t>
      </w:r>
      <w:r>
        <w:t>, produciéndose consecuentemente la</w:t>
      </w:r>
      <w:r w:rsidRPr="00E71A59">
        <w:t xml:space="preserve"> nulidad, cuando no se </w:t>
      </w:r>
      <w:r>
        <w:t>dé</w:t>
      </w:r>
      <w:r w:rsidRPr="00E71A59">
        <w:t xml:space="preserve"> </w:t>
      </w:r>
      <w:r>
        <w:t>dicha</w:t>
      </w:r>
      <w:r w:rsidRPr="00E71A59">
        <w:t xml:space="preserve"> subsanación o no fuere subsanable el acto</w:t>
      </w:r>
      <w:r>
        <w:t>.</w:t>
      </w:r>
    </w:p>
    <w:p w14:paraId="5EF4E626" w14:textId="77777777" w:rsidR="006F44C0" w:rsidRPr="00E71A59" w:rsidRDefault="006F44C0" w:rsidP="002B2B15">
      <w:pPr>
        <w:spacing w:after="240"/>
      </w:pPr>
      <w:r w:rsidRPr="00E71A59">
        <w:t>Mientras que la</w:t>
      </w:r>
      <w:r>
        <w:t xml:space="preserve"> LOPJ en sus arts. </w:t>
      </w:r>
      <w:r w:rsidRPr="00E71A59">
        <w:t xml:space="preserve">artículos 238 y siguientes y las leyes procesales dedican capítulos específicos </w:t>
      </w:r>
      <w:r>
        <w:t>a</w:t>
      </w:r>
      <w:r w:rsidRPr="00E71A59">
        <w:t xml:space="preserve"> la regulación de la nulidad de actuaciones, la subsanación solo </w:t>
      </w:r>
      <w:r>
        <w:t>es</w:t>
      </w:r>
      <w:r w:rsidRPr="00E71A59">
        <w:t xml:space="preserve"> </w:t>
      </w:r>
      <w:r>
        <w:t>abord</w:t>
      </w:r>
      <w:r w:rsidRPr="00E71A59">
        <w:t>a</w:t>
      </w:r>
      <w:r>
        <w:t>da</w:t>
      </w:r>
      <w:r w:rsidRPr="00E71A59">
        <w:t xml:space="preserve"> en apartados concretos</w:t>
      </w:r>
      <w:r>
        <w:t>.</w:t>
      </w:r>
    </w:p>
    <w:p w14:paraId="742E38BC" w14:textId="77777777" w:rsidR="006F44C0" w:rsidRDefault="006F44C0" w:rsidP="002B2B15">
      <w:pPr>
        <w:spacing w:after="240"/>
      </w:pPr>
      <w:r>
        <w:t>En el caso de la LOPJ, el principio de subsanación de los actos procesales se halla regulado en los arts. 240.2, 242 y 243. En estas normas podemos ver cómo la intención del legislador no es otra que la de establecer como principio básico de nuestro sistema de nulidad procesal el de la subsanación de los actos procesales. Este principio se complementa con el principio de conservación de los actos, anteriormente expuesto.</w:t>
      </w:r>
    </w:p>
    <w:p w14:paraId="2C438AF2" w14:textId="77777777" w:rsidR="006F44C0" w:rsidRPr="00505F55" w:rsidRDefault="006F44C0" w:rsidP="002B2B15">
      <w:pPr>
        <w:spacing w:after="240"/>
      </w:pPr>
      <w:r>
        <w:t xml:space="preserve">En nuestro sistema prima como norma </w:t>
      </w:r>
      <w:r w:rsidRPr="00505F55">
        <w:t>general en materia de vicios de procedimiento</w:t>
      </w:r>
      <w:r>
        <w:t xml:space="preserve"> </w:t>
      </w:r>
      <w:r w:rsidRPr="00505F55">
        <w:t xml:space="preserve">la facilitación o favorecimiento de la subsanación, evitando </w:t>
      </w:r>
      <w:r>
        <w:t>que los</w:t>
      </w:r>
      <w:r w:rsidRPr="00505F55">
        <w:t xml:space="preserve"> formalismo</w:t>
      </w:r>
      <w:r>
        <w:t>s</w:t>
      </w:r>
      <w:r w:rsidRPr="00505F55">
        <w:t xml:space="preserve"> obstaculice</w:t>
      </w:r>
      <w:r>
        <w:t>n</w:t>
      </w:r>
      <w:r w:rsidRPr="00505F55">
        <w:t xml:space="preserve"> el normal desenvolvimiento del procedimiento.</w:t>
      </w:r>
    </w:p>
    <w:p w14:paraId="36362920" w14:textId="77777777" w:rsidR="006F44C0" w:rsidRDefault="006F44C0" w:rsidP="002B2B15">
      <w:pPr>
        <w:spacing w:after="240"/>
        <w:rPr>
          <w:i/>
          <w:iCs/>
        </w:rPr>
      </w:pPr>
      <w:r>
        <w:t xml:space="preserve">Nuestro TC estableció en las </w:t>
      </w:r>
      <w:r w:rsidRPr="004E60F8">
        <w:t>sentencias 199/2001, de 4 de octubre</w:t>
      </w:r>
      <w:r>
        <w:t xml:space="preserve">, FJ 2 </w:t>
      </w:r>
      <w:r w:rsidRPr="004E60F8">
        <w:t>y 213/1990, de 20 de diciembre</w:t>
      </w:r>
      <w:r>
        <w:t>,</w:t>
      </w:r>
      <w:r w:rsidRPr="00505F55">
        <w:t xml:space="preserve"> </w:t>
      </w:r>
      <w:r>
        <w:t xml:space="preserve">FJ 2, </w:t>
      </w:r>
      <w:r w:rsidRPr="00505F55">
        <w:t xml:space="preserve">que los Tribunales están obligados </w:t>
      </w:r>
      <w:r w:rsidRPr="004E60F8">
        <w:rPr>
          <w:i/>
          <w:iCs/>
        </w:rPr>
        <w:t>"a interpretar las disposiciones procesales en el sentido más favorable para la efectividad del derecho que consagra el artículo 24.1 de la Constitución Española, evitando la imposición de formalismos enervantes contrarios al espíritu y finalidad de la norma, así como el convertir cualquier irregularidad formal en obstáculo insalvable para la prosecución del proceso y obtención de una resolución de fondo al margen de la función y sentido de la razón y finalidad que inspira la existencia del requisito procesal"</w:t>
      </w:r>
      <w:r>
        <w:rPr>
          <w:i/>
          <w:iCs/>
        </w:rPr>
        <w:t>.</w:t>
      </w:r>
    </w:p>
    <w:p w14:paraId="56D487D7" w14:textId="77777777" w:rsidR="006F44C0" w:rsidRDefault="006F44C0" w:rsidP="002B2B15">
      <w:pPr>
        <w:spacing w:after="240"/>
      </w:pPr>
      <w:r w:rsidRPr="004E60F8">
        <w:t>Añadió que, por esta razón</w:t>
      </w:r>
      <w:r>
        <w:t>,</w:t>
      </w:r>
      <w:r>
        <w:rPr>
          <w:i/>
          <w:iCs/>
        </w:rPr>
        <w:t xml:space="preserve"> </w:t>
      </w:r>
      <w:r w:rsidRPr="00505F55">
        <w:t xml:space="preserve"> al examinar el cumplimiento de los requisitos procesales, </w:t>
      </w:r>
      <w:r>
        <w:t xml:space="preserve">estarían </w:t>
      </w:r>
      <w:r w:rsidRPr="004E60F8">
        <w:rPr>
          <w:i/>
          <w:iCs/>
        </w:rPr>
        <w:t>"obligados a ponderar la entidad real del vicio advertido, en relación con la sanción del cierre del proceso y del acceso a la Justicia que de él pueda derivar y, además, permitir siempre que sea posible la subsanación del vicio advertido",</w:t>
      </w:r>
      <w:r w:rsidRPr="000035BB">
        <w:t xml:space="preserve"> ya que</w:t>
      </w:r>
      <w:r w:rsidRPr="004E60F8">
        <w:rPr>
          <w:i/>
          <w:iCs/>
        </w:rPr>
        <w:t xml:space="preserve">, "si no hacen posible la subsanación de defecto procesal que pudiera considerarse como </w:t>
      </w:r>
      <w:r w:rsidRPr="004E60F8">
        <w:rPr>
          <w:i/>
          <w:iCs/>
        </w:rPr>
        <w:lastRenderedPageBreak/>
        <w:t>subsanable o imponen un rigor en las exigencias formales más allá de la finalidad a que la misma responda, la resolución judicial que cerrase la vía del proceso o del recurso sería incompatible con la efectividad del derecho fundamental a la tutela judicial"</w:t>
      </w:r>
      <w:r w:rsidRPr="00505F55">
        <w:t xml:space="preserve"> </w:t>
      </w:r>
      <w:r>
        <w:t>.</w:t>
      </w:r>
    </w:p>
    <w:p w14:paraId="326C2D6E" w14:textId="77777777" w:rsidR="006F44C0" w:rsidRPr="00524AE9" w:rsidRDefault="006F44C0" w:rsidP="002B2B15">
      <w:pPr>
        <w:pStyle w:val="Ttulo3"/>
      </w:pPr>
      <w:bookmarkStart w:id="425" w:name="_Toc21368109"/>
      <w:bookmarkStart w:id="426" w:name="_Toc23763174"/>
      <w:bookmarkStart w:id="427" w:name="_Toc37373863"/>
      <w:bookmarkStart w:id="428" w:name="_Toc49423663"/>
      <w:bookmarkStart w:id="429" w:name="_Toc49708595"/>
      <w:bookmarkStart w:id="430" w:name="_Toc49790281"/>
      <w:bookmarkStart w:id="431" w:name="_Toc49866535"/>
      <w:bookmarkStart w:id="432" w:name="_Toc50373172"/>
      <w:r w:rsidRPr="00524AE9">
        <w:t>Causas de nulidad</w:t>
      </w:r>
      <w:bookmarkEnd w:id="425"/>
      <w:bookmarkEnd w:id="426"/>
      <w:bookmarkEnd w:id="427"/>
      <w:bookmarkEnd w:id="428"/>
      <w:bookmarkEnd w:id="429"/>
      <w:bookmarkEnd w:id="430"/>
      <w:bookmarkEnd w:id="431"/>
      <w:bookmarkEnd w:id="432"/>
    </w:p>
    <w:p w14:paraId="7B17A522" w14:textId="77777777" w:rsidR="006F44C0" w:rsidRPr="00DD332A" w:rsidRDefault="006F44C0" w:rsidP="002B2B15">
      <w:pPr>
        <w:spacing w:after="240"/>
        <w:rPr>
          <w:color w:val="000000" w:themeColor="text1"/>
        </w:rPr>
      </w:pPr>
      <w:r w:rsidRPr="00DD332A">
        <w:rPr>
          <w:color w:val="000000" w:themeColor="text1"/>
        </w:rPr>
        <w:t xml:space="preserve">Para clarificar el concepto de nulidad de actuaciones debe diferenciarse entre los vicios o defectos de </w:t>
      </w:r>
      <w:r>
        <w:rPr>
          <w:color w:val="000000" w:themeColor="text1"/>
        </w:rPr>
        <w:t xml:space="preserve">los </w:t>
      </w:r>
      <w:r w:rsidRPr="00DD332A">
        <w:rPr>
          <w:color w:val="000000" w:themeColor="text1"/>
        </w:rPr>
        <w:t>que puede adolecer un acto procesal</w:t>
      </w:r>
      <w:r>
        <w:rPr>
          <w:rStyle w:val="Refdenotaalpie"/>
          <w:color w:val="000000" w:themeColor="text1"/>
        </w:rPr>
        <w:footnoteReference w:id="193"/>
      </w:r>
      <w:r w:rsidRPr="00DD332A">
        <w:rPr>
          <w:color w:val="000000" w:themeColor="text1"/>
        </w:rPr>
        <w:t>, los cuales darían lugar a:</w:t>
      </w:r>
    </w:p>
    <w:p w14:paraId="5526F0D4" w14:textId="77777777" w:rsidR="006F44C0" w:rsidRPr="0080775A" w:rsidRDefault="006F44C0" w:rsidP="001A4310">
      <w:pPr>
        <w:pStyle w:val="Ttulo4"/>
        <w:numPr>
          <w:ilvl w:val="0"/>
          <w:numId w:val="55"/>
        </w:numPr>
      </w:pPr>
      <w:bookmarkStart w:id="433" w:name="_Toc37373864"/>
      <w:bookmarkStart w:id="434" w:name="_Toc49423664"/>
      <w:bookmarkStart w:id="435" w:name="_Toc49708596"/>
      <w:bookmarkStart w:id="436" w:name="_Toc49866536"/>
      <w:r w:rsidRPr="0080775A">
        <w:t>Nulidad de pleno derecho</w:t>
      </w:r>
      <w:bookmarkEnd w:id="433"/>
      <w:bookmarkEnd w:id="434"/>
      <w:bookmarkEnd w:id="435"/>
      <w:bookmarkEnd w:id="436"/>
    </w:p>
    <w:p w14:paraId="51F1C902" w14:textId="77777777" w:rsidR="006F44C0" w:rsidRPr="00B17D52" w:rsidRDefault="006F44C0" w:rsidP="002B2B15">
      <w:pPr>
        <w:spacing w:after="240"/>
        <w:rPr>
          <w:color w:val="000000" w:themeColor="text1"/>
        </w:rPr>
      </w:pPr>
      <w:r w:rsidRPr="00B17D52">
        <w:rPr>
          <w:color w:val="000000" w:themeColor="text1"/>
        </w:rPr>
        <w:t xml:space="preserve">Son aquellos a los que les falta una circunstancia o requisito considerado esencial y fijado en las leyes procesales como necesario para que el acto produzca sus efectos normales, sin que sea imprescindible que la ley declare expresamente la nulidad en cada supuesto. </w:t>
      </w:r>
    </w:p>
    <w:p w14:paraId="43B94351" w14:textId="77777777" w:rsidR="006F44C0" w:rsidRPr="008E7151" w:rsidRDefault="006F44C0" w:rsidP="002B2B15">
      <w:pPr>
        <w:spacing w:after="240"/>
        <w:rPr>
          <w:color w:val="000000" w:themeColor="text1"/>
        </w:rPr>
      </w:pPr>
      <w:r w:rsidRPr="008E7151">
        <w:rPr>
          <w:color w:val="000000" w:themeColor="text1"/>
        </w:rPr>
        <w:t xml:space="preserve">El art. 238 LOPJ recoge una serie de supuestos que pueden dar lugar a la nulidad de actuaciones. </w:t>
      </w:r>
      <w:r>
        <w:rPr>
          <w:color w:val="000000" w:themeColor="text1"/>
        </w:rPr>
        <w:t>Concretamente, recoge la relación de actos considerados nulos de pleno derecho, que dispone la consecuencia de la nulidad de aquellos actos procesales que se hallen en alguna de las circunstancias siguientes</w:t>
      </w:r>
      <w:r>
        <w:rPr>
          <w:rStyle w:val="Refdenotaalpie"/>
          <w:color w:val="000000" w:themeColor="text1"/>
        </w:rPr>
        <w:footnoteReference w:id="194"/>
      </w:r>
      <w:r>
        <w:rPr>
          <w:color w:val="000000" w:themeColor="text1"/>
        </w:rPr>
        <w:t>:</w:t>
      </w:r>
    </w:p>
    <w:p w14:paraId="3558625A" w14:textId="77777777" w:rsidR="006F44C0" w:rsidRPr="009215AD" w:rsidRDefault="006F44C0" w:rsidP="001A4310">
      <w:pPr>
        <w:pStyle w:val="Prrafodelista"/>
        <w:numPr>
          <w:ilvl w:val="0"/>
          <w:numId w:val="12"/>
        </w:numPr>
        <w:spacing w:before="360"/>
        <w:rPr>
          <w:i/>
          <w:color w:val="000000" w:themeColor="text1"/>
        </w:rPr>
      </w:pPr>
      <w:r w:rsidRPr="009215AD">
        <w:rPr>
          <w:color w:val="000000" w:themeColor="text1"/>
        </w:rPr>
        <w:t>“</w:t>
      </w:r>
      <w:r w:rsidRPr="009215AD">
        <w:rPr>
          <w:i/>
          <w:color w:val="000000" w:themeColor="text1"/>
        </w:rPr>
        <w:t>Cuando se produzcan por o ante tribunal con falta de jurisdicción o de competencia objetiva o funcional.</w:t>
      </w:r>
    </w:p>
    <w:p w14:paraId="1AC1EE10" w14:textId="77777777" w:rsidR="006F44C0" w:rsidRPr="009215AD" w:rsidRDefault="006F44C0" w:rsidP="001A4310">
      <w:pPr>
        <w:pStyle w:val="Prrafodelista"/>
        <w:numPr>
          <w:ilvl w:val="0"/>
          <w:numId w:val="12"/>
        </w:numPr>
        <w:spacing w:before="360"/>
        <w:rPr>
          <w:i/>
          <w:color w:val="000000" w:themeColor="text1"/>
        </w:rPr>
      </w:pPr>
      <w:r w:rsidRPr="009215AD">
        <w:rPr>
          <w:i/>
          <w:color w:val="000000" w:themeColor="text1"/>
        </w:rPr>
        <w:t>Cuando se realicen bajo violencia o intimidación.</w:t>
      </w:r>
    </w:p>
    <w:p w14:paraId="1CD6ADB6" w14:textId="77777777" w:rsidR="006F44C0" w:rsidRPr="009215AD" w:rsidRDefault="006F44C0" w:rsidP="001A4310">
      <w:pPr>
        <w:pStyle w:val="Prrafodelista"/>
        <w:numPr>
          <w:ilvl w:val="0"/>
          <w:numId w:val="12"/>
        </w:numPr>
        <w:spacing w:before="360"/>
        <w:rPr>
          <w:i/>
          <w:color w:val="000000" w:themeColor="text1"/>
        </w:rPr>
      </w:pPr>
      <w:r w:rsidRPr="009215AD">
        <w:rPr>
          <w:i/>
          <w:color w:val="000000" w:themeColor="text1"/>
        </w:rPr>
        <w:t>Cuando se prescinda de normas esenciales del procedimiento, siempre que, por esa causa, haya podido producirse indefensión.</w:t>
      </w:r>
    </w:p>
    <w:p w14:paraId="72D2E70C" w14:textId="77777777" w:rsidR="006F44C0" w:rsidRPr="009215AD" w:rsidRDefault="006F44C0" w:rsidP="001A4310">
      <w:pPr>
        <w:pStyle w:val="Prrafodelista"/>
        <w:numPr>
          <w:ilvl w:val="0"/>
          <w:numId w:val="12"/>
        </w:numPr>
        <w:spacing w:before="360"/>
        <w:rPr>
          <w:i/>
          <w:color w:val="000000" w:themeColor="text1"/>
        </w:rPr>
      </w:pPr>
      <w:r w:rsidRPr="009215AD">
        <w:rPr>
          <w:i/>
          <w:color w:val="000000" w:themeColor="text1"/>
        </w:rPr>
        <w:lastRenderedPageBreak/>
        <w:t>Cuando se realicen sin intervención de abogado, en los casos en que la ley la establezca como preceptiva.</w:t>
      </w:r>
    </w:p>
    <w:p w14:paraId="1FF69F96" w14:textId="77777777" w:rsidR="006F44C0" w:rsidRPr="009215AD" w:rsidRDefault="006F44C0" w:rsidP="001A4310">
      <w:pPr>
        <w:pStyle w:val="Prrafodelista"/>
        <w:numPr>
          <w:ilvl w:val="0"/>
          <w:numId w:val="12"/>
        </w:numPr>
        <w:spacing w:before="360"/>
        <w:rPr>
          <w:i/>
          <w:color w:val="000000" w:themeColor="text1"/>
        </w:rPr>
      </w:pPr>
      <w:r w:rsidRPr="009215AD">
        <w:rPr>
          <w:i/>
          <w:color w:val="000000" w:themeColor="text1"/>
        </w:rPr>
        <w:t>Cuando se celebren vistas sin la preceptiva intervención del Letrado de la Administración de Justicia.</w:t>
      </w:r>
    </w:p>
    <w:p w14:paraId="53550A71" w14:textId="77777777" w:rsidR="006F44C0" w:rsidRPr="009215AD" w:rsidRDefault="006F44C0" w:rsidP="001A4310">
      <w:pPr>
        <w:pStyle w:val="Prrafodelista"/>
        <w:numPr>
          <w:ilvl w:val="0"/>
          <w:numId w:val="12"/>
        </w:numPr>
        <w:spacing w:before="360"/>
        <w:rPr>
          <w:color w:val="000000" w:themeColor="text1"/>
        </w:rPr>
      </w:pPr>
      <w:r w:rsidRPr="009215AD">
        <w:rPr>
          <w:i/>
          <w:color w:val="000000" w:themeColor="text1"/>
        </w:rPr>
        <w:t>En los demás casos en los que las leyes procesales así lo establezcan</w:t>
      </w:r>
      <w:r w:rsidRPr="009215AD">
        <w:rPr>
          <w:color w:val="000000" w:themeColor="text1"/>
        </w:rPr>
        <w:t>”.</w:t>
      </w:r>
    </w:p>
    <w:p w14:paraId="007E7FCD" w14:textId="77777777" w:rsidR="006F44C0" w:rsidRDefault="006F44C0" w:rsidP="002B2B15">
      <w:pPr>
        <w:spacing w:after="240"/>
      </w:pPr>
      <w:r>
        <w:t>Estas p</w:t>
      </w:r>
      <w:r w:rsidRPr="00046CE9">
        <w:t>rescripciones coinciden con las establecidas, para el orden procesal civil, en el art. 225 de la L</w:t>
      </w:r>
      <w:r>
        <w:t>EC</w:t>
      </w:r>
      <w:r>
        <w:rPr>
          <w:rStyle w:val="Refdenotaalpie"/>
          <w:color w:val="000000" w:themeColor="text1"/>
        </w:rPr>
        <w:footnoteReference w:id="195"/>
      </w:r>
      <w:r w:rsidRPr="00046CE9">
        <w:t>.</w:t>
      </w:r>
    </w:p>
    <w:p w14:paraId="0FF97A6C" w14:textId="77777777" w:rsidR="006F44C0" w:rsidRDefault="006F44C0" w:rsidP="002B2B15">
      <w:pPr>
        <w:spacing w:after="240"/>
        <w:rPr>
          <w:color w:val="000000" w:themeColor="text1"/>
        </w:rPr>
      </w:pPr>
      <w:r>
        <w:t xml:space="preserve">Se trata de una relación de supuestos aparentemente tasados que, sin embargo, se fractura como tal al recoger la Ley una cláusula de carácter general según la cual la nulidad de pleno derecho se producirá respectos a los casos que se establezcan en la Ley procesal. Vemos, por tanto, que no nos encontramos ante </w:t>
      </w:r>
      <w:r w:rsidRPr="00F75D7A">
        <w:rPr>
          <w:color w:val="000000" w:themeColor="text1"/>
        </w:rPr>
        <w:t xml:space="preserve">una enumeración rígida y tasada de causas o motivos de nulidad, sino que </w:t>
      </w:r>
      <w:r>
        <w:rPr>
          <w:color w:val="000000" w:themeColor="text1"/>
        </w:rPr>
        <w:t xml:space="preserve">el precepto </w:t>
      </w:r>
      <w:r w:rsidRPr="00F75D7A">
        <w:rPr>
          <w:color w:val="000000" w:themeColor="text1"/>
        </w:rPr>
        <w:t xml:space="preserve">acoge una serie de principios muy generales indicativos de en qué supuestos puede existir esta nulidad con una gran amplitud y flexibilidad y huyendo de todo formalismo, lo que beneficia sin duda la tutela judicial efectiva. </w:t>
      </w:r>
    </w:p>
    <w:p w14:paraId="70DA3562" w14:textId="77777777" w:rsidR="006F44C0" w:rsidRDefault="006F44C0" w:rsidP="002B2B15">
      <w:pPr>
        <w:spacing w:after="240"/>
        <w:rPr>
          <w:color w:val="000000" w:themeColor="text1"/>
        </w:rPr>
      </w:pPr>
      <w:r w:rsidRPr="007F31BF">
        <w:rPr>
          <w:color w:val="000000" w:themeColor="text1"/>
        </w:rPr>
        <w:t>Apuntar, además, que en lo que se refiere a los vicios por defectos de forma o procesales, solo son relevantes aquellos que generen indefensión (los aludidos en el art. 24.1 CE, el art. 227 LEC y el art. 240 LOPJ) con arreglo al principio de relevancia o trascendencia, indefensión que además habrá de ser real, material y efectiva.</w:t>
      </w:r>
    </w:p>
    <w:p w14:paraId="7E3EE620" w14:textId="77777777" w:rsidR="006F44C0" w:rsidRPr="007F31BF" w:rsidRDefault="006F44C0" w:rsidP="002B2B15">
      <w:pPr>
        <w:spacing w:after="240"/>
        <w:rPr>
          <w:color w:val="000000" w:themeColor="text1"/>
        </w:rPr>
      </w:pPr>
      <w:r>
        <w:rPr>
          <w:color w:val="000000" w:themeColor="text1"/>
        </w:rPr>
        <w:lastRenderedPageBreak/>
        <w:t xml:space="preserve">Una característica común a todos los supuestos de nulidad de pleno derecho es que la nulidad procesal podrá apreciarse tanto de oficio como a instancia de parte, esto también beneficiará a la tutela judicial efectiva al abrir el espectro de la legitimación. </w:t>
      </w:r>
    </w:p>
    <w:p w14:paraId="4E0F430C" w14:textId="77777777" w:rsidR="006F44C0" w:rsidRDefault="006F44C0" w:rsidP="002B2B15">
      <w:pPr>
        <w:spacing w:after="240"/>
        <w:rPr>
          <w:color w:val="000000" w:themeColor="text1"/>
        </w:rPr>
      </w:pPr>
      <w:r w:rsidRPr="000727DA">
        <w:rPr>
          <w:color w:val="000000" w:themeColor="text1"/>
        </w:rPr>
        <w:t>La "nulidad de pleno derecho" de los actos procesales no ha estado exenta de críticas por parte de la doctrina</w:t>
      </w:r>
      <w:r w:rsidRPr="000727DA">
        <w:rPr>
          <w:rStyle w:val="Refdenotaalpie"/>
          <w:color w:val="000000" w:themeColor="text1"/>
        </w:rPr>
        <w:footnoteReference w:id="196"/>
      </w:r>
      <w:r w:rsidRPr="000727DA">
        <w:rPr>
          <w:color w:val="000000" w:themeColor="text1"/>
        </w:rPr>
        <w:t>, ya que la mayor parte de los vicios o defectos están más próximos a la técnica de la anulabilidad</w:t>
      </w:r>
      <w:r>
        <w:rPr>
          <w:color w:val="000000" w:themeColor="text1"/>
        </w:rPr>
        <w:t xml:space="preserve"> debido a</w:t>
      </w:r>
      <w:r w:rsidRPr="000727DA">
        <w:rPr>
          <w:color w:val="000000" w:themeColor="text1"/>
        </w:rPr>
        <w:t xml:space="preserve"> que su denuncia se debe hacer valer a través de los recursos o por los medios legalmente previstos (art. 227.1 LEC y art. 240.1 LOPJ), de no hacerse así, el acto queda</w:t>
      </w:r>
      <w:r>
        <w:rPr>
          <w:color w:val="000000" w:themeColor="text1"/>
        </w:rPr>
        <w:t>rá</w:t>
      </w:r>
      <w:r w:rsidRPr="000727DA">
        <w:rPr>
          <w:color w:val="000000" w:themeColor="text1"/>
        </w:rPr>
        <w:t xml:space="preserve"> convalidado. </w:t>
      </w:r>
    </w:p>
    <w:p w14:paraId="3A8C1314" w14:textId="77777777" w:rsidR="006F44C0" w:rsidRDefault="006F44C0" w:rsidP="002B2B15">
      <w:pPr>
        <w:spacing w:after="240"/>
        <w:rPr>
          <w:color w:val="000000" w:themeColor="text1"/>
        </w:rPr>
      </w:pPr>
      <w:r w:rsidRPr="00B47C57">
        <w:rPr>
          <w:color w:val="000000" w:themeColor="text1"/>
        </w:rPr>
        <w:t>Veamos a continuación, brevemente, en lo que consiste cada una de las causas de nulidad de pleno derecho contenidas en el art. 238 LOPJ.</w:t>
      </w:r>
    </w:p>
    <w:p w14:paraId="2AC4B970" w14:textId="77777777" w:rsidR="006F44C0" w:rsidRPr="0095718A" w:rsidRDefault="006F44C0" w:rsidP="001A4310">
      <w:pPr>
        <w:pStyle w:val="Prrafodelista"/>
        <w:numPr>
          <w:ilvl w:val="0"/>
          <w:numId w:val="18"/>
        </w:numPr>
        <w:spacing w:before="360"/>
        <w:rPr>
          <w:i/>
          <w:iCs/>
        </w:rPr>
      </w:pPr>
      <w:r w:rsidRPr="0095718A">
        <w:rPr>
          <w:i/>
          <w:iCs/>
        </w:rPr>
        <w:t>Cuando se produzcan por o ante tribunal con falta de jurisdicción o de competencia objetiva o funcional (art. 238.1 LOPJ)</w:t>
      </w:r>
      <w:r w:rsidRPr="0095718A">
        <w:rPr>
          <w:rStyle w:val="Refdenotaalpie"/>
          <w:i/>
          <w:iCs/>
        </w:rPr>
        <w:footnoteReference w:id="197"/>
      </w:r>
    </w:p>
    <w:p w14:paraId="580AC8FD" w14:textId="77777777" w:rsidR="006F44C0" w:rsidRPr="005D4FB5" w:rsidRDefault="006F44C0" w:rsidP="002B2B15">
      <w:pPr>
        <w:spacing w:after="240"/>
        <w:rPr>
          <w:szCs w:val="24"/>
        </w:rPr>
      </w:pPr>
      <w:r w:rsidRPr="0045524F">
        <w:rPr>
          <w:szCs w:val="24"/>
        </w:rPr>
        <w:t>La LOPJ declara nulos e ineficaces los actos procesales que se hayan practicado por o ante un tribunal que careciese de jurisdicción o competencia objetiva o funcional. Vemos, por tanto, que este motivo de nulidad incluye la jurisdicción y la falta de competencia objetiva o funcional, pero no la territorial.</w:t>
      </w:r>
    </w:p>
    <w:p w14:paraId="30CD80CE" w14:textId="77777777" w:rsidR="006F44C0" w:rsidRDefault="006F44C0" w:rsidP="002B2B15">
      <w:pPr>
        <w:spacing w:after="240"/>
      </w:pPr>
      <w:r>
        <w:t>Procedemos a examinar los defectos de jurisdicción y de competencia.</w:t>
      </w:r>
    </w:p>
    <w:p w14:paraId="56D33215" w14:textId="77777777" w:rsidR="006F44C0" w:rsidRDefault="006F44C0" w:rsidP="002B2B15">
      <w:pPr>
        <w:spacing w:after="240"/>
      </w:pPr>
      <w:r>
        <w:t xml:space="preserve">- Falta de </w:t>
      </w:r>
      <w:r w:rsidRPr="00A41582">
        <w:t>jurisdicción: siguiendo</w:t>
      </w:r>
      <w:r>
        <w:t xml:space="preserve"> a GIMENO SENDRA</w:t>
      </w:r>
      <w:r>
        <w:rPr>
          <w:rStyle w:val="Refdenotaalpie"/>
        </w:rPr>
        <w:footnoteReference w:id="198"/>
      </w:r>
      <w:r>
        <w:t xml:space="preserve"> podemos definir la jurisdicción como «</w:t>
      </w:r>
      <w:r w:rsidRPr="000E25C2">
        <w:rPr>
          <w:i/>
          <w:iCs/>
        </w:rPr>
        <w:t xml:space="preserve">el Poder Judicial, compuesto por Jueces y Magistrados, a quienes, por su independencia y sumisión a la Ley, la soberanía popular ha otorgado la potestad jurisdiccional y, en consecuencia, expresamente ha legitimado para la solución definitiva </w:t>
      </w:r>
      <w:r w:rsidRPr="000E25C2">
        <w:rPr>
          <w:i/>
          <w:iCs/>
        </w:rPr>
        <w:lastRenderedPageBreak/>
        <w:t>e irrevocable de los conflictos intersubjetivos y sociales para el control de la legalidad y la complementación del ordenamiento jurídico</w:t>
      </w:r>
      <w:r>
        <w:t xml:space="preserve">». Las normas reguladoras de la jurisdicción son normas de </w:t>
      </w:r>
      <w:r w:rsidRPr="000E25C2">
        <w:rPr>
          <w:i/>
          <w:iCs/>
        </w:rPr>
        <w:t>ius cogens</w:t>
      </w:r>
      <w:r>
        <w:t xml:space="preserve"> y, por tanto, indisponibles para las partes debiendo ser apreciado su defecto de oficio por el Juez o Tribunal; no obstante lo anterior, si la falta de jurisdicción no fuese apreciada de oficio ni denunciada por alguna de las partes en el proceso con anterioridad a que la sentencia ganase firmeza, aquélla quedaría convalidada, no siendo posible acudir al incidente excepcional de nulidad de actuaciones sólo previsto para los supuestos de concurrencia de defectos de forma que hayan causado indefensión.</w:t>
      </w:r>
    </w:p>
    <w:p w14:paraId="7F3521E6" w14:textId="77777777" w:rsidR="006F44C0" w:rsidRDefault="006F44C0" w:rsidP="002B2B15">
      <w:pPr>
        <w:spacing w:after="240"/>
      </w:pPr>
      <w:r>
        <w:t>En materia de falta de jurisdicción procede distinguir entre aquella determinante de la inexistencia del acto (ej.: sentencias dictadas por órganos no investidos de jurisdicción) y la que produce la nulidad de pleno derecho de dicho acto (ej.: sentencia dictada por un órgano integrante de un orden jurisdiccional distinto del competente).</w:t>
      </w:r>
    </w:p>
    <w:p w14:paraId="34625F54" w14:textId="77777777" w:rsidR="006F44C0" w:rsidRDefault="006F44C0" w:rsidP="002B2B15">
      <w:pPr>
        <w:spacing w:after="240"/>
      </w:pPr>
      <w:r>
        <w:t>- Falta de competenc</w:t>
      </w:r>
      <w:r w:rsidRPr="00E368C5">
        <w:t xml:space="preserve">ia: </w:t>
      </w:r>
      <w:r>
        <w:t>p</w:t>
      </w:r>
      <w:r w:rsidRPr="00E368C5">
        <w:t>or</w:t>
      </w:r>
      <w:r>
        <w:t xml:space="preserve"> competencia, en términos judiciales, debe entenderse aquella aptitud para el ejercicio de la jurisdicción que viene atribuida a un concreto órgano jurisdiccional. Dentro de la competencia jurisdiccional cabe distinguir entre competencia objetiva, territorial y funcional. En virtud de la primera, se determina qué órgano judicial ha de conocer de un asunto concreto; la funcional fija qué juez o tribunal debe conocer de un proceso en cada una de sus instancias y, por último, la competencia territorial, </w:t>
      </w:r>
      <w:r w:rsidRPr="00DB5171">
        <w:t>permite atribuir el conocimiento de un proceso a un órgano jurisdiccional de una determinada circunscripción, es decir, permite determinar qué órgano jurisdiccional concreto es el competente para conocer de un determinado asunto, dentro de los de la misma clase, grado y tipo.</w:t>
      </w:r>
    </w:p>
    <w:p w14:paraId="3CEFED36" w14:textId="77777777" w:rsidR="006F44C0" w:rsidRDefault="006F44C0" w:rsidP="002B2B15">
      <w:pPr>
        <w:spacing w:after="240"/>
      </w:pPr>
      <w:r>
        <w:t xml:space="preserve">Uno de los puntos más importantes a destacar es la necesidad de que esa falta de competencia sea patente y manifiesta. Un ejemplo de ello es la STS </w:t>
      </w:r>
      <w:r w:rsidRPr="0097246F">
        <w:t>4539/2016</w:t>
      </w:r>
      <w:r>
        <w:t>, de 20 de octubre, Sala de lo Civil. En ella se plantea un recurso extraordinario por infracción procesal y un recurso de casación interpuesto contra la sentencia dictada en fecha 3 de junio de 2014</w:t>
      </w:r>
      <w:r w:rsidRPr="00183B42">
        <w:t>, por la Audiencia Provincial de Valencia (Sección 9.ª)</w:t>
      </w:r>
      <w:r>
        <w:t xml:space="preserve">. Se solicita la </w:t>
      </w:r>
      <w:r w:rsidRPr="00155716">
        <w:t>revoca</w:t>
      </w:r>
      <w:r>
        <w:t>ción de</w:t>
      </w:r>
      <w:r w:rsidRPr="00155716">
        <w:t xml:space="preserve"> la sentencia que apreció la excepción de prescripción de la acción de reclamación ejercitada por la actora contra su aseguradora, en relación a las mercancías sustraídas como consecuencia del seguro de transporte concertado entre las partes.</w:t>
      </w:r>
    </w:p>
    <w:p w14:paraId="5B6C0655" w14:textId="1A826CBC" w:rsidR="006F44C0" w:rsidRDefault="006F44C0" w:rsidP="002B2B15">
      <w:pPr>
        <w:spacing w:after="240"/>
        <w:rPr>
          <w:i/>
          <w:iCs/>
        </w:rPr>
      </w:pPr>
      <w:r w:rsidRPr="00E368C5">
        <w:rPr>
          <w:i/>
          <w:iCs/>
        </w:rPr>
        <w:lastRenderedPageBreak/>
        <w:t>«La</w:t>
      </w:r>
      <w:r w:rsidRPr="0097246F">
        <w:rPr>
          <w:i/>
          <w:iCs/>
        </w:rPr>
        <w:t xml:space="preserve"> sentencia recurrida, y a su razón de decidir se acogen las partes recurridas, mantiene que no tiene efectos </w:t>
      </w:r>
      <w:proofErr w:type="spellStart"/>
      <w:r w:rsidRPr="0097246F">
        <w:rPr>
          <w:i/>
          <w:iCs/>
        </w:rPr>
        <w:t>interruptivos</w:t>
      </w:r>
      <w:proofErr w:type="spellEnd"/>
      <w:r w:rsidRPr="0097246F">
        <w:rPr>
          <w:i/>
          <w:iCs/>
        </w:rPr>
        <w:t xml:space="preserve"> de la prescripción la reclamación judicial llevada a cabo ante órgano objetivamente incompetente. Motiva su decisión en que, conforme al artículo 238.1º </w:t>
      </w:r>
      <w:r w:rsidR="007B7556" w:rsidRPr="0097246F">
        <w:rPr>
          <w:i/>
          <w:iCs/>
        </w:rPr>
        <w:t>LOPJ,</w:t>
      </w:r>
      <w:r w:rsidRPr="0097246F">
        <w:rPr>
          <w:i/>
          <w:iCs/>
        </w:rPr>
        <w:t xml:space="preserve"> son nulos de pleno derecho los actos procesales </w:t>
      </w:r>
      <w:r>
        <w:rPr>
          <w:i/>
          <w:iCs/>
        </w:rPr>
        <w:t>“</w:t>
      </w:r>
      <w:r w:rsidRPr="0097246F">
        <w:rPr>
          <w:i/>
          <w:iCs/>
        </w:rPr>
        <w:t>cuando se produzcan por o ante el tribunal con falta de jurisdicción o de competencia objetiva o funciona</w:t>
      </w:r>
      <w:r>
        <w:rPr>
          <w:i/>
          <w:iCs/>
        </w:rPr>
        <w:t>l”</w:t>
      </w:r>
      <w:r w:rsidRPr="0097246F">
        <w:rPr>
          <w:i/>
          <w:iCs/>
        </w:rPr>
        <w:t xml:space="preserve">, lo que se reitera en el artículo 225 </w:t>
      </w:r>
      <w:r w:rsidR="007B7556" w:rsidRPr="0097246F">
        <w:rPr>
          <w:i/>
          <w:iCs/>
        </w:rPr>
        <w:t>LEC,</w:t>
      </w:r>
      <w:r w:rsidRPr="0097246F">
        <w:rPr>
          <w:i/>
          <w:iCs/>
        </w:rPr>
        <w:t xml:space="preserve"> y si son nulos de pleno derecho y, por </w:t>
      </w:r>
      <w:r w:rsidR="007B7556" w:rsidRPr="0097246F">
        <w:rPr>
          <w:i/>
          <w:iCs/>
        </w:rPr>
        <w:t>ende,</w:t>
      </w:r>
      <w:r w:rsidRPr="0097246F">
        <w:rPr>
          <w:i/>
          <w:iCs/>
        </w:rPr>
        <w:t xml:space="preserve"> ineficaces, no deben tener eficacia </w:t>
      </w:r>
      <w:proofErr w:type="spellStart"/>
      <w:r w:rsidRPr="0097246F">
        <w:rPr>
          <w:i/>
          <w:iCs/>
        </w:rPr>
        <w:t>interruptiva</w:t>
      </w:r>
      <w:proofErr w:type="spellEnd"/>
      <w:r w:rsidRPr="0097246F">
        <w:rPr>
          <w:i/>
          <w:iCs/>
        </w:rPr>
        <w:t xml:space="preserve"> del término previsto por la prescripción</w:t>
      </w:r>
      <w:r w:rsidRPr="00E368C5">
        <w:rPr>
          <w:i/>
          <w:iCs/>
        </w:rPr>
        <w:t>.»</w:t>
      </w:r>
    </w:p>
    <w:p w14:paraId="5A3BE34A" w14:textId="77777777" w:rsidR="006F44C0" w:rsidRDefault="006F44C0" w:rsidP="002B2B15">
      <w:pPr>
        <w:spacing w:after="240"/>
      </w:pPr>
      <w:r>
        <w:t>Sin embargo, el TS dispuso que sí i</w:t>
      </w:r>
      <w:r w:rsidRPr="00155716">
        <w:t>nterrump</w:t>
      </w:r>
      <w:r>
        <w:t>iría</w:t>
      </w:r>
      <w:r w:rsidRPr="00155716">
        <w:t xml:space="preserve"> el plazo de prescripción de la acción la reclamación presentada ante un órgano judicial cuya incompetencia no </w:t>
      </w:r>
      <w:r>
        <w:t>fuese</w:t>
      </w:r>
      <w:r w:rsidRPr="00155716">
        <w:t xml:space="preserve"> patente y manifiesta</w:t>
      </w:r>
      <w:r>
        <w:t>:</w:t>
      </w:r>
    </w:p>
    <w:p w14:paraId="468B63C0" w14:textId="77777777" w:rsidR="006F44C0" w:rsidRDefault="006F44C0" w:rsidP="002B2B15">
      <w:pPr>
        <w:spacing w:after="240"/>
        <w:rPr>
          <w:i/>
          <w:iCs/>
        </w:rPr>
      </w:pPr>
      <w:r>
        <w:t xml:space="preserve"> «</w:t>
      </w:r>
      <w:r w:rsidRPr="0097246F">
        <w:rPr>
          <w:i/>
          <w:iCs/>
        </w:rPr>
        <w:t>la</w:t>
      </w:r>
      <w:r>
        <w:rPr>
          <w:i/>
          <w:iCs/>
        </w:rPr>
        <w:t xml:space="preserve"> </w:t>
      </w:r>
      <w:r w:rsidRPr="0097246F">
        <w:rPr>
          <w:i/>
          <w:iCs/>
        </w:rPr>
        <w:t xml:space="preserve">cuestión determinante del posible efecto </w:t>
      </w:r>
      <w:proofErr w:type="spellStart"/>
      <w:r w:rsidRPr="0097246F">
        <w:rPr>
          <w:i/>
          <w:iCs/>
        </w:rPr>
        <w:t>interruptivo</w:t>
      </w:r>
      <w:proofErr w:type="spellEnd"/>
      <w:r w:rsidRPr="0097246F">
        <w:rPr>
          <w:i/>
          <w:iCs/>
        </w:rPr>
        <w:t xml:space="preserve"> de la prescripción no se encuentra en que la reclamación</w:t>
      </w:r>
      <w:r>
        <w:rPr>
          <w:i/>
          <w:iCs/>
        </w:rPr>
        <w:t xml:space="preserve"> </w:t>
      </w:r>
      <w:r w:rsidRPr="0097246F">
        <w:rPr>
          <w:i/>
          <w:iCs/>
        </w:rPr>
        <w:t>judicial se lleve a cabo ante otra jurisdicción o ante un órgano objetivamente incompetente, cuanto en si esa</w:t>
      </w:r>
      <w:r>
        <w:rPr>
          <w:i/>
          <w:iCs/>
        </w:rPr>
        <w:t xml:space="preserve"> </w:t>
      </w:r>
      <w:r w:rsidRPr="0097246F">
        <w:rPr>
          <w:i/>
          <w:iCs/>
        </w:rPr>
        <w:t>falta de jurisdicción e incompetencia era patente y manifiesta.</w:t>
      </w:r>
      <w:r>
        <w:rPr>
          <w:i/>
          <w:iCs/>
        </w:rPr>
        <w:t xml:space="preserve"> </w:t>
      </w:r>
      <w:r w:rsidRPr="0097246F">
        <w:rPr>
          <w:i/>
          <w:iCs/>
        </w:rPr>
        <w:t>Por tanto</w:t>
      </w:r>
      <w:r>
        <w:rPr>
          <w:i/>
          <w:iCs/>
        </w:rPr>
        <w:t>,</w:t>
      </w:r>
      <w:r w:rsidRPr="0097246F">
        <w:rPr>
          <w:i/>
          <w:iCs/>
        </w:rPr>
        <w:t xml:space="preserve"> es clave examinar si la acción ejercitada era manifiestamente improcedente, y para ello resulta</w:t>
      </w:r>
      <w:r>
        <w:rPr>
          <w:i/>
          <w:iCs/>
        </w:rPr>
        <w:t xml:space="preserve"> </w:t>
      </w:r>
      <w:r w:rsidRPr="0097246F">
        <w:rPr>
          <w:i/>
          <w:iCs/>
        </w:rPr>
        <w:t>esencial tener en cuenta las circunstancias concretas que rodearon su ejercicio, pues se podrá inferir de ellas</w:t>
      </w:r>
      <w:r>
        <w:rPr>
          <w:i/>
          <w:iCs/>
        </w:rPr>
        <w:t xml:space="preserve"> </w:t>
      </w:r>
      <w:r w:rsidRPr="0097246F">
        <w:rPr>
          <w:i/>
          <w:iCs/>
        </w:rPr>
        <w:t>si la parte conocía de antemano la notoria incompetencia del órgano, si actuó de modo negligente y con una</w:t>
      </w:r>
      <w:r>
        <w:rPr>
          <w:i/>
          <w:iCs/>
        </w:rPr>
        <w:t xml:space="preserve"> </w:t>
      </w:r>
      <w:r w:rsidRPr="0097246F">
        <w:rPr>
          <w:i/>
          <w:iCs/>
        </w:rPr>
        <w:t>conducta contraria a la lealtad procesal, o desconociendo las indicaciones que algún órgano judicial le hubiese</w:t>
      </w:r>
      <w:r>
        <w:rPr>
          <w:i/>
          <w:iCs/>
        </w:rPr>
        <w:t xml:space="preserve"> </w:t>
      </w:r>
      <w:r w:rsidRPr="0097246F">
        <w:rPr>
          <w:i/>
          <w:iCs/>
        </w:rPr>
        <w:t>dado sobre el competente para conocer de su reclamación.»</w:t>
      </w:r>
      <w:r>
        <w:rPr>
          <w:i/>
          <w:iCs/>
        </w:rPr>
        <w:t>.</w:t>
      </w:r>
    </w:p>
    <w:p w14:paraId="6C7E9CBB" w14:textId="77777777" w:rsidR="006F44C0" w:rsidRDefault="006F44C0" w:rsidP="002B2B15">
      <w:pPr>
        <w:spacing w:after="240"/>
      </w:pPr>
      <w:r>
        <w:t xml:space="preserve">Vemos por tanto que lo esencial no será tanto la falta de competencia o jurisdicción, sino si esa falta era patente y manifiesta. </w:t>
      </w:r>
    </w:p>
    <w:p w14:paraId="504FA5EC" w14:textId="77777777" w:rsidR="006F44C0" w:rsidRDefault="006F44C0" w:rsidP="002B2B15">
      <w:pPr>
        <w:spacing w:after="240"/>
      </w:pPr>
      <w:r w:rsidRPr="00EE384B">
        <w:t xml:space="preserve">De acuerdo con la jurisprudencia, lo decisivo y determinante en este supuesto de nulidad de pleno derecho, es que la incompetencia sea manifiesta, esto es </w:t>
      </w:r>
      <w:r w:rsidRPr="00EE384B">
        <w:rPr>
          <w:i/>
          <w:iCs/>
        </w:rPr>
        <w:t>“que se manifieste de modo ostensible, patente, claro e incontrovertido”</w:t>
      </w:r>
      <w:r w:rsidRPr="00EE384B">
        <w:t xml:space="preserve"> </w:t>
      </w:r>
      <w:r>
        <w:t>(</w:t>
      </w:r>
      <w:r w:rsidRPr="0027169B">
        <w:t>STS 4108/2001</w:t>
      </w:r>
      <w:r>
        <w:t xml:space="preserve">, de </w:t>
      </w:r>
      <w:r w:rsidRPr="00EE384B">
        <w:t>18 de mayo</w:t>
      </w:r>
      <w:r>
        <w:t>)</w:t>
      </w:r>
      <w:r w:rsidRPr="00EE384B">
        <w:t>.</w:t>
      </w:r>
    </w:p>
    <w:p w14:paraId="1A9D2F78" w14:textId="77777777" w:rsidR="006F44C0" w:rsidRPr="008E5E29" w:rsidRDefault="006F44C0" w:rsidP="001A4310">
      <w:pPr>
        <w:pStyle w:val="Prrafodelista"/>
        <w:numPr>
          <w:ilvl w:val="0"/>
          <w:numId w:val="18"/>
        </w:numPr>
        <w:spacing w:before="360"/>
        <w:rPr>
          <w:i/>
          <w:iCs/>
        </w:rPr>
      </w:pPr>
      <w:r w:rsidRPr="008E5E29">
        <w:rPr>
          <w:i/>
          <w:iCs/>
        </w:rPr>
        <w:t>Cuando se realicen bajo violencia o intimidación (art. 238.2 LOPJ)</w:t>
      </w:r>
    </w:p>
    <w:p w14:paraId="1B32D52E" w14:textId="77777777" w:rsidR="006F44C0" w:rsidRDefault="006F44C0" w:rsidP="002B2B15">
      <w:pPr>
        <w:spacing w:after="240"/>
      </w:pPr>
      <w:r>
        <w:t>Son nulos de pleno derecho los actos procesales, ya sean de otra parte o del propio órgano jurisdiccional, realizados con violencia o intimidación.</w:t>
      </w:r>
    </w:p>
    <w:p w14:paraId="0828FD3D" w14:textId="77777777" w:rsidR="006F44C0" w:rsidRDefault="006F44C0" w:rsidP="002B2B15">
      <w:pPr>
        <w:spacing w:after="240"/>
      </w:pPr>
      <w:r>
        <w:lastRenderedPageBreak/>
        <w:t>Este motivo fue introducido en la LOPJ de 1985, con la particularidad de que esta primera redacción de la norma exigía que la violencia o intimidación que se ejercía tuviese las características de ser “racional y fundada de un mal inminente y grave”. Sin embargo, esta exigencia no se contuvo en la redacción correspondiente al art. 225 LEC. En la posterior modificación de la LOPJ llevada a cabo por la LO 19/2003 se adaptó este contenido a lo previsto en la LEC, de modo que, en la actual redacción del art. 238.2 LOPJ no se condiciona de modo alguno la violencia o intimidación, en concordancia con lo expuesto en la LEC.</w:t>
      </w:r>
    </w:p>
    <w:p w14:paraId="2787B121" w14:textId="77777777" w:rsidR="006F44C0" w:rsidRDefault="006F44C0" w:rsidP="002B2B15">
      <w:pPr>
        <w:spacing w:after="240"/>
      </w:pPr>
      <w:r>
        <w:t>En opinión de RICHARD GONZÁLEZ, la cual compartimos, la redacción actual de la norma resulta apropiada ya que, producida violencia o intimidación, lo nuclear resulta ser su misma presencia y no tanto la sensación subjetiva del que la padezca, ya sea respecto de la amenaza misma o en relación a la clase y entidad del mal que funda la amenaza.</w:t>
      </w:r>
      <w:r>
        <w:rPr>
          <w:rStyle w:val="Refdenotaalpie"/>
        </w:rPr>
        <w:footnoteReference w:id="199"/>
      </w:r>
    </w:p>
    <w:p w14:paraId="1BA2F9A9" w14:textId="77777777" w:rsidR="006F44C0" w:rsidRDefault="006F44C0" w:rsidP="002B2B15">
      <w:pPr>
        <w:spacing w:after="240"/>
      </w:pPr>
      <w:r>
        <w:t>Para conocer los conceptos de violencia e intimidación debemos acudir al art. 1267 del Código Civil (CC) que establece que:</w:t>
      </w:r>
    </w:p>
    <w:p w14:paraId="5650847C" w14:textId="77777777" w:rsidR="006F44C0" w:rsidRPr="004B6593" w:rsidRDefault="006F44C0" w:rsidP="002B2B15">
      <w:pPr>
        <w:spacing w:after="240"/>
        <w:rPr>
          <w:i/>
          <w:iCs/>
        </w:rPr>
      </w:pPr>
      <w:r w:rsidRPr="004B6593">
        <w:rPr>
          <w:i/>
          <w:iCs/>
        </w:rPr>
        <w:t>“Hay violencia cuando para arrancar el consentimiento se emplea una fuerza irresistible</w:t>
      </w:r>
      <w:r>
        <w:rPr>
          <w:i/>
          <w:iCs/>
        </w:rPr>
        <w:t>.</w:t>
      </w:r>
    </w:p>
    <w:p w14:paraId="69F77CCF" w14:textId="77777777" w:rsidR="006F44C0" w:rsidRPr="004B6593" w:rsidRDefault="006F44C0" w:rsidP="002B2B15">
      <w:pPr>
        <w:spacing w:after="240"/>
        <w:rPr>
          <w:i/>
          <w:iCs/>
        </w:rPr>
      </w:pPr>
      <w:r w:rsidRPr="004B6593">
        <w:rPr>
          <w:i/>
          <w:iCs/>
        </w:rPr>
        <w:t>Hay intimidación cuando se inspira a uno de los contratantes el temor racional y fundado de sufrir un mal inminente y grave en su persona o bienes, o en la persona o bienes de su cónyuge, descendientes o ascendientes.”</w:t>
      </w:r>
    </w:p>
    <w:p w14:paraId="567C0364" w14:textId="77777777" w:rsidR="006F44C0" w:rsidRDefault="006F44C0" w:rsidP="002B2B15">
      <w:pPr>
        <w:spacing w:after="240"/>
        <w:rPr>
          <w:i/>
          <w:iCs/>
        </w:rPr>
      </w:pPr>
      <w:r>
        <w:t xml:space="preserve">En base a ello, la LOPJ dedica en su totalidad el </w:t>
      </w:r>
      <w:r w:rsidRPr="00E368C5">
        <w:t>art., 239,</w:t>
      </w:r>
      <w:r>
        <w:t xml:space="preserve"> para determinar la nulidad de los actos procesales que se hubieran producido con violencia o </w:t>
      </w:r>
      <w:r w:rsidRPr="00E368C5">
        <w:t>intimidación, disponiendo</w:t>
      </w:r>
      <w:r>
        <w:t xml:space="preserve"> que </w:t>
      </w:r>
      <w:r w:rsidRPr="00E513E8">
        <w:rPr>
          <w:i/>
          <w:iCs/>
        </w:rPr>
        <w:t xml:space="preserve">“1. Los tribunales cuya actuación se hubiere producido con intimidación o violencia, tan luego como se vean libres de ella, declararán nulo todo lo practicado y promoverán la formación de causa contra los culpables, poniendo los hechos en conocimiento del Ministerio Fiscal. 2. También se declararán nulos los actos de las partes o de personas que intervengan en el proceso si se acredita que se produjeron bajo intimidación o violencia. La nulidad de estos actos entrañará la de todos los demás relacionados con él </w:t>
      </w:r>
      <w:r w:rsidRPr="00E513E8">
        <w:rPr>
          <w:i/>
          <w:iCs/>
        </w:rPr>
        <w:lastRenderedPageBreak/>
        <w:t>o que pudieren haberse visto condicionados o influidos sustancialmente por el acto nulo.”</w:t>
      </w:r>
    </w:p>
    <w:p w14:paraId="6E9AE645" w14:textId="77777777" w:rsidR="006F44C0" w:rsidRPr="008E5E29" w:rsidRDefault="006F44C0" w:rsidP="001A4310">
      <w:pPr>
        <w:pStyle w:val="Prrafodelista"/>
        <w:numPr>
          <w:ilvl w:val="0"/>
          <w:numId w:val="18"/>
        </w:numPr>
        <w:spacing w:before="360"/>
        <w:rPr>
          <w:i/>
          <w:iCs/>
        </w:rPr>
      </w:pPr>
      <w:r w:rsidRPr="008E5E29">
        <w:rPr>
          <w:i/>
          <w:iCs/>
        </w:rPr>
        <w:t>Cuando se prescinda de normas esenciales del procedimiento, siempre que, por esa causa, haya podido producirse indefensión (art. 238.3 LOPJ)</w:t>
      </w:r>
    </w:p>
    <w:p w14:paraId="4780E831" w14:textId="77777777" w:rsidR="006F44C0" w:rsidRDefault="006F44C0" w:rsidP="002B2B15">
      <w:pPr>
        <w:spacing w:after="240"/>
      </w:pPr>
      <w:r>
        <w:t>La actual regulación de este supuesto se produjo con la reforma de la LO 19/2003. El precepto original establecía que la nulidad se producirá “</w:t>
      </w:r>
      <w:r w:rsidRPr="005C0202">
        <w:rPr>
          <w:i/>
          <w:iCs/>
        </w:rPr>
        <w:t>Cuando se prescinda total y absolutamente de las normas esenciales de procedimiento establecidas por la ley o con infracción de los principios de audiencia, asistencia y defensa, siempre que efectivamente se haya producido indefensión</w:t>
      </w:r>
      <w:r>
        <w:t>”, estableciendo una clara distinción entre la infracción de las normas esenciales de procedimiento y la infracción de la tutela judicial efectiva.</w:t>
      </w:r>
    </w:p>
    <w:p w14:paraId="375874D8" w14:textId="77777777" w:rsidR="006F44C0" w:rsidRPr="005C0202" w:rsidRDefault="006F44C0" w:rsidP="002B2B15">
      <w:pPr>
        <w:spacing w:after="240"/>
      </w:pPr>
      <w:r>
        <w:t>Tras esta modificación del precepto se da la llamativa situación de que, pese a que no se menciona expresamente la tutela judicial efectiva ni ninguno de los supuestos contenidos en ella, salvo la indefensión, la nulidad con base en este apartado se hace casi siempre por motivos de vulneración de este derecho.</w:t>
      </w:r>
    </w:p>
    <w:p w14:paraId="57876287" w14:textId="77777777" w:rsidR="006F44C0" w:rsidRDefault="006F44C0" w:rsidP="002B2B15">
      <w:pPr>
        <w:spacing w:after="240"/>
      </w:pPr>
      <w:r>
        <w:t>Consecuentemente, la nulidad por la infracción de las normas del procedimiento es el supuesto de nulidad más frecuente en la sustanciación de los procesos judiciales. El motivo de esto reside en la multiplicidad de supuestos en los que se puede producir una infracción procesal y la posible lesión de los derechos fundamentales de las partes en el ámbito del derecho procesal.</w:t>
      </w:r>
    </w:p>
    <w:p w14:paraId="7FDBA9A2" w14:textId="77777777" w:rsidR="006F44C0" w:rsidRDefault="006F44C0" w:rsidP="002B2B15">
      <w:pPr>
        <w:spacing w:after="240"/>
      </w:pPr>
      <w:r>
        <w:t>Sostiene GALLEGO GARCÍA</w:t>
      </w:r>
      <w:r>
        <w:rPr>
          <w:rStyle w:val="Refdenotaalpie"/>
        </w:rPr>
        <w:footnoteReference w:id="200"/>
      </w:r>
      <w:r>
        <w:t xml:space="preserve"> que </w:t>
      </w:r>
      <w:r w:rsidRPr="000C3A7D">
        <w:rPr>
          <w:i/>
          <w:iCs/>
        </w:rPr>
        <w:t xml:space="preserve">“la invocación de cualquier clase de indefensión no es suficiente para provocar la nulidad de actuaciones, sino que es preciso que esta sea efectiva y, dicha efectividad, tiene únicamente lugar cuando la vulneración de la norma conlleva consecuencias prácticas consistentes en la </w:t>
      </w:r>
      <w:proofErr w:type="spellStart"/>
      <w:r w:rsidRPr="000C3A7D">
        <w:rPr>
          <w:i/>
          <w:iCs/>
        </w:rPr>
        <w:t>probación</w:t>
      </w:r>
      <w:proofErr w:type="spellEnd"/>
      <w:r w:rsidRPr="000C3A7D">
        <w:rPr>
          <w:i/>
          <w:iCs/>
        </w:rPr>
        <w:t xml:space="preserve"> del derecho de defensa y en un perjuicio real y efectivo de los intereses afectados por ella (SSTC de 23 de abril y 27 de mayo de 1986). No puede predicarse indefensión cuando ha existido la posibilidad de defenderse en términos reales y efectivos (STS de 14 de marzo de 2003 y STS 98/1987, de 10 de junio) ni puede equipararse la indefensión a cualquier infracción o vulneración de normas procesales, sino solamente con aquella situación en la que el </w:t>
      </w:r>
      <w:r w:rsidRPr="000C3A7D">
        <w:rPr>
          <w:i/>
          <w:iCs/>
        </w:rPr>
        <w:lastRenderedPageBreak/>
        <w:t>interesado, de modo injustificado ve cerrada la posibilidad de impetrar la protección jurisdiccional (SSTC 70/1984, de 11 de junio, 155/1988, de 22 de julio, 41/1989, de 16 de febrero y 205/1994, de 11 de julio)”.</w:t>
      </w:r>
    </w:p>
    <w:p w14:paraId="2907AED4" w14:textId="77777777" w:rsidR="006F44C0" w:rsidRDefault="006F44C0" w:rsidP="002B2B15">
      <w:pPr>
        <w:spacing w:after="240"/>
      </w:pPr>
      <w:r>
        <w:rPr>
          <w:szCs w:val="24"/>
        </w:rPr>
        <w:t>Como hemos mencionado, e</w:t>
      </w:r>
      <w:r w:rsidRPr="0059740C">
        <w:rPr>
          <w:szCs w:val="24"/>
        </w:rPr>
        <w:t>sta clase de actos viciados viene estrictamente vinculada a la interdicción de la indefensión que emana del derecho a la tutela judicial efectiva del artículo 24 CE, que puede darse</w:t>
      </w:r>
      <w:r>
        <w:rPr>
          <w:szCs w:val="24"/>
        </w:rPr>
        <w:t xml:space="preserve"> en </w:t>
      </w:r>
      <w:r w:rsidRPr="00970A08">
        <w:rPr>
          <w:szCs w:val="24"/>
        </w:rPr>
        <w:t>numerosos</w:t>
      </w:r>
      <w:r>
        <w:rPr>
          <w:szCs w:val="24"/>
        </w:rPr>
        <w:t xml:space="preserve"> supuestos: m</w:t>
      </w:r>
      <w:r w:rsidRPr="00B53B3E">
        <w:rPr>
          <w:szCs w:val="24"/>
        </w:rPr>
        <w:t>ediante cualquier clase de defecto de motivación de la resolución de que se trate (omisión, incongruencia, etc</w:t>
      </w:r>
      <w:r>
        <w:rPr>
          <w:szCs w:val="24"/>
        </w:rPr>
        <w:t>.</w:t>
      </w:r>
      <w:r w:rsidRPr="00B53B3E">
        <w:rPr>
          <w:szCs w:val="24"/>
        </w:rPr>
        <w:t>)</w:t>
      </w:r>
      <w:r>
        <w:rPr>
          <w:szCs w:val="24"/>
        </w:rPr>
        <w:t>, c</w:t>
      </w:r>
      <w:r w:rsidRPr="00B53B3E">
        <w:rPr>
          <w:szCs w:val="24"/>
        </w:rPr>
        <w:t>uando de la motivación de la resolución judicial se desprenda claramente un manifiesto error</w:t>
      </w:r>
      <w:r>
        <w:rPr>
          <w:szCs w:val="24"/>
        </w:rPr>
        <w:t>, c</w:t>
      </w:r>
      <w:r w:rsidRPr="00B53B3E">
        <w:rPr>
          <w:szCs w:val="24"/>
        </w:rPr>
        <w:t>uando esa motivación sea manifiestamente irrazonable</w:t>
      </w:r>
      <w:r>
        <w:rPr>
          <w:szCs w:val="24"/>
        </w:rPr>
        <w:t xml:space="preserve">… Vemos, por tanto, </w:t>
      </w:r>
      <w:r>
        <w:t xml:space="preserve">en este supuesto una clara relación entre nulidad y derecho </w:t>
      </w:r>
      <w:r w:rsidRPr="00970A08">
        <w:t>fundamentales</w:t>
      </w:r>
      <w:r>
        <w:t>, que se</w:t>
      </w:r>
      <w:r w:rsidRPr="00970A08">
        <w:t xml:space="preserve"> traduc</w:t>
      </w:r>
      <w:r>
        <w:t>e</w:t>
      </w:r>
      <w:r w:rsidRPr="00970A08">
        <w:t xml:space="preserve"> en la práctica en una relación directa entre nulidad procesal y tutela judicial e</w:t>
      </w:r>
      <w:r>
        <w:t xml:space="preserve">fectiva. </w:t>
      </w:r>
    </w:p>
    <w:p w14:paraId="26CAC1F9" w14:textId="77777777" w:rsidR="006F44C0" w:rsidRDefault="006F44C0" w:rsidP="002B2B15">
      <w:pPr>
        <w:spacing w:after="240"/>
      </w:pPr>
      <w:r>
        <w:t>Consecuentemente, existe una estrecha relación con el incidente “excepcional” de nulidad de actuaciones en el cual, como hemos mencionado, se alega principalmente la vulneración del art. 24 CE.</w:t>
      </w:r>
      <w:r w:rsidRPr="00360964">
        <w:rPr>
          <w:color w:val="FF0000"/>
        </w:rPr>
        <w:t xml:space="preserve"> </w:t>
      </w:r>
    </w:p>
    <w:p w14:paraId="4B8047D2" w14:textId="77777777" w:rsidR="006F44C0" w:rsidRPr="008E5E29" w:rsidRDefault="006F44C0" w:rsidP="001A4310">
      <w:pPr>
        <w:pStyle w:val="Prrafodelista"/>
        <w:numPr>
          <w:ilvl w:val="0"/>
          <w:numId w:val="18"/>
        </w:numPr>
        <w:spacing w:before="360"/>
        <w:rPr>
          <w:i/>
          <w:iCs/>
        </w:rPr>
      </w:pPr>
      <w:r w:rsidRPr="008E5E29">
        <w:rPr>
          <w:i/>
          <w:iCs/>
        </w:rPr>
        <w:t>Cuando se realicen sin intervención de abogado, en los casos en que la ley la establezca como preceptiva (art. 238.4 LOPJ)</w:t>
      </w:r>
    </w:p>
    <w:p w14:paraId="13501F61" w14:textId="77777777" w:rsidR="006F44C0" w:rsidRDefault="006F44C0" w:rsidP="002B2B15">
      <w:pPr>
        <w:spacing w:after="240"/>
      </w:pPr>
      <w:r>
        <w:t>El derecho a la asistencia letrada constituye uno de los contenidos esenciales del derecho fundamental a la defensa, incluido en el art. 24.2 CE.</w:t>
      </w:r>
    </w:p>
    <w:p w14:paraId="03D088C9" w14:textId="77777777" w:rsidR="006F44C0" w:rsidRDefault="006F44C0" w:rsidP="002B2B15">
      <w:pPr>
        <w:spacing w:after="240"/>
      </w:pPr>
      <w:r>
        <w:t xml:space="preserve">Tras las múltiples reformas que ha sufrido la LEC, la obligatoria intervención del abogado en la jurisdicción civil, anteriormente preceptiva en casi en todos los asuntos, se ha visto reducida en algunos procedimientos judiciales, por lo que el ciudadano podrá acudir personalmente a los Juzgados y Tribunales sin necesidad de la asistencia letrada. </w:t>
      </w:r>
    </w:p>
    <w:p w14:paraId="721C3180" w14:textId="77777777" w:rsidR="006F44C0" w:rsidRDefault="006F44C0" w:rsidP="002B2B15">
      <w:pPr>
        <w:spacing w:after="240"/>
      </w:pPr>
      <w:r>
        <w:t>El art. 31.1 de la LEC establece que los litigantes deberán ser dirigidos por un abogado y no se tramitará ninguna solicitud que no lleve su firma. Sin embargo, esta obligación tiene las siguientes excepciones:</w:t>
      </w:r>
    </w:p>
    <w:p w14:paraId="3EA3FB54" w14:textId="77777777" w:rsidR="006F44C0" w:rsidRPr="002A6A1E" w:rsidRDefault="006F44C0" w:rsidP="001A4310">
      <w:pPr>
        <w:pStyle w:val="Prrafodelista"/>
        <w:numPr>
          <w:ilvl w:val="0"/>
          <w:numId w:val="15"/>
        </w:numPr>
        <w:spacing w:before="360"/>
        <w:rPr>
          <w:i/>
          <w:iCs/>
        </w:rPr>
      </w:pPr>
      <w:r w:rsidRPr="00927F4F">
        <w:rPr>
          <w:i/>
          <w:iCs/>
        </w:rPr>
        <w:t>“Los juicios verbales cuya determinación se haya efectuado por razón de la cuantía y ésta no exceda de 2.000 euros, y la petición inicial de los procedimientos monitorios conforme a lo previsto en esta Ley.</w:t>
      </w:r>
    </w:p>
    <w:p w14:paraId="33ED9ADC" w14:textId="77777777" w:rsidR="006F44C0" w:rsidRPr="00927F4F" w:rsidRDefault="006F44C0" w:rsidP="001A4310">
      <w:pPr>
        <w:pStyle w:val="Prrafodelista"/>
        <w:numPr>
          <w:ilvl w:val="0"/>
          <w:numId w:val="15"/>
        </w:numPr>
        <w:spacing w:before="360"/>
        <w:rPr>
          <w:i/>
          <w:iCs/>
        </w:rPr>
      </w:pPr>
      <w:r w:rsidRPr="00927F4F">
        <w:rPr>
          <w:i/>
          <w:iCs/>
        </w:rPr>
        <w:lastRenderedPageBreak/>
        <w:t>Los escritos que tengan por objeto personarse en juicio, solicitar medidas urgentes con anterioridad al juicio o pedir la suspensión urgente de vistas o actuaciones. Cuando la suspensión de vistas o actuaciones que se pretenda se funde en causas que se refieran especialmente al abogado también deberá éste firmar el escrito, si fuera posible”.</w:t>
      </w:r>
    </w:p>
    <w:p w14:paraId="3D5ABF7E" w14:textId="77777777" w:rsidR="006F44C0" w:rsidRDefault="006F44C0" w:rsidP="002B2B15">
      <w:pPr>
        <w:spacing w:after="240"/>
      </w:pPr>
      <w:r>
        <w:t>Por su parte, el art. 520.2 de la LECrim establece el derecho de la persona detenida o presa a la asistencia de un abogado</w:t>
      </w:r>
      <w:r>
        <w:rPr>
          <w:rStyle w:val="Refdenotaalpie"/>
        </w:rPr>
        <w:footnoteReference w:id="201"/>
      </w:r>
      <w:r>
        <w:t>, entre otros derechos.</w:t>
      </w:r>
    </w:p>
    <w:p w14:paraId="5D7108E2" w14:textId="77777777" w:rsidR="006F44C0" w:rsidRDefault="006F44C0" w:rsidP="002B2B15">
      <w:pPr>
        <w:spacing w:after="240"/>
      </w:pPr>
      <w:r>
        <w:t>Entre las excepciones que recoge la Ley, podemos destacar que</w:t>
      </w:r>
      <w:r w:rsidRPr="009265A0">
        <w:t xml:space="preserve"> el detenido o preso podrá renunciar a la preceptiva asistencia de abogado si su detención lo fuere por hechos susceptibles de ser tipificados exclusivamente como delitos contra la seguridad del tráfico</w:t>
      </w:r>
      <w:r>
        <w:t xml:space="preserve">, pudiendo el </w:t>
      </w:r>
      <w:r w:rsidRPr="009265A0">
        <w:t>detenido revocar su renuncia en cualquier momento.</w:t>
      </w:r>
      <w:r>
        <w:t xml:space="preserve"> </w:t>
      </w:r>
    </w:p>
    <w:p w14:paraId="546EA436" w14:textId="77777777" w:rsidR="006F44C0" w:rsidRDefault="006F44C0" w:rsidP="002B2B15">
      <w:pPr>
        <w:spacing w:after="240"/>
      </w:pPr>
      <w:r>
        <w:t>En los supuestos del artículo 509 de la LECrim, el detenido o preso podrá ser privado de, entre otros derechos, la asistencia de letrado si así lo justifican las circunstancias del caso.</w:t>
      </w:r>
    </w:p>
    <w:p w14:paraId="339E8ADA" w14:textId="77777777" w:rsidR="006F44C0" w:rsidRPr="008E5E29" w:rsidRDefault="006F44C0" w:rsidP="001A4310">
      <w:pPr>
        <w:pStyle w:val="Prrafodelista"/>
        <w:numPr>
          <w:ilvl w:val="0"/>
          <w:numId w:val="18"/>
        </w:numPr>
        <w:spacing w:before="360"/>
        <w:rPr>
          <w:i/>
          <w:iCs/>
        </w:rPr>
      </w:pPr>
      <w:r w:rsidRPr="008E5E29">
        <w:rPr>
          <w:i/>
          <w:iCs/>
        </w:rPr>
        <w:t>Cuando se celebren vistas sin la preceptiva intervención del Letrado de la Administración de Justicia (art. 238.5 LOPJ)</w:t>
      </w:r>
    </w:p>
    <w:p w14:paraId="6441A1DD" w14:textId="77777777" w:rsidR="006F44C0" w:rsidRDefault="006F44C0" w:rsidP="002B2B15">
      <w:pPr>
        <w:spacing w:after="240"/>
      </w:pPr>
      <w:r>
        <w:t xml:space="preserve">Atendiendo al art. 453 de la LOPJ, corresponde a los Letrados de la Administración de Justicia, con exclusividad y plenitud, el ejercicio de la fe pública judicial. </w:t>
      </w:r>
    </w:p>
    <w:p w14:paraId="44EB7EDD" w14:textId="77777777" w:rsidR="006F44C0" w:rsidRDefault="006F44C0" w:rsidP="002B2B15">
      <w:pPr>
        <w:spacing w:after="240"/>
      </w:pPr>
      <w:r>
        <w:lastRenderedPageBreak/>
        <w:t>En el ejercicio de esta función, dejarán constancia fehaciente de la realización de actos procesales en el Tribunal o ante éste y de la producción de hechos con trascendencia procesal mediante las oportunas actas y diligencias.</w:t>
      </w:r>
    </w:p>
    <w:p w14:paraId="196ECD7D" w14:textId="77777777" w:rsidR="006F44C0" w:rsidRDefault="006F44C0" w:rsidP="002B2B15">
      <w:pPr>
        <w:spacing w:after="240"/>
      </w:pPr>
      <w:r>
        <w:t>Cuando se utilicen medios técnicos de grabación o reproducción, las vistas se podrán desarrollar sin la intervención del Letrado de la Administración de Justicia, en los términos previstos en la ley. En todo caso, el Letrado de la Administración de Justicia garantizará la autenticidad e integridad de lo grabado o reproducido.</w:t>
      </w:r>
    </w:p>
    <w:p w14:paraId="4ACDE8C9" w14:textId="77777777" w:rsidR="006F44C0" w:rsidRPr="0010135F" w:rsidRDefault="006F44C0" w:rsidP="002B2B15">
      <w:pPr>
        <w:spacing w:after="240"/>
      </w:pPr>
      <w:r>
        <w:t>Por tanto, la ausencia del Letrado de la Administración de Justicia impide la celebración de vistas o comparecencias. En el caso de que se hayan realizado sin su efectiva asistencia, el acto procesal que se hubiera realizado será nulo.</w:t>
      </w:r>
    </w:p>
    <w:p w14:paraId="58683F95" w14:textId="77777777" w:rsidR="006F44C0" w:rsidRPr="00CE44B4" w:rsidRDefault="006F44C0" w:rsidP="001A4310">
      <w:pPr>
        <w:pStyle w:val="Prrafodelista"/>
        <w:numPr>
          <w:ilvl w:val="0"/>
          <w:numId w:val="18"/>
        </w:numPr>
        <w:spacing w:before="360"/>
        <w:rPr>
          <w:i/>
          <w:iCs/>
        </w:rPr>
      </w:pPr>
      <w:r w:rsidRPr="005B7830">
        <w:rPr>
          <w:i/>
          <w:iCs/>
        </w:rPr>
        <w:t>En los demás casos en los que las leyes procesales así lo establezcan (art. 238.6 LOPJ)</w:t>
      </w:r>
    </w:p>
    <w:p w14:paraId="325C2BCB" w14:textId="77777777" w:rsidR="006F44C0" w:rsidRDefault="006F44C0" w:rsidP="002B2B15">
      <w:pPr>
        <w:spacing w:after="240"/>
      </w:pPr>
      <w:r>
        <w:t>Como ya mencionamos anteriormente, la introducción por la Ley de esta cláusula de carácter general según la cual la nulidad de pleno derecho se producirá respecto a los casos que se establezcan en las leyes procesales quiebra la aparente relación de supuestos tasados de causas de nulidad de pleno derecho.</w:t>
      </w:r>
    </w:p>
    <w:p w14:paraId="1508DD78" w14:textId="77777777" w:rsidR="006F44C0" w:rsidRDefault="006F44C0" w:rsidP="002B2B15">
      <w:pPr>
        <w:spacing w:after="240"/>
      </w:pPr>
      <w:r>
        <w:t>La introducción de esta última causa de nulidad se produjo en la reforma de la LOPJ por la LO 19/2003, la cual adaptó el contenido de ésta a la regulación ya prevista en la LEC, cuyo art. 225.5 recogía como causa de nulidad de pleno derecho aquellos casos en los que la propia LEC así lo estableciese.</w:t>
      </w:r>
    </w:p>
    <w:p w14:paraId="10250C74" w14:textId="77777777" w:rsidR="006F44C0" w:rsidRPr="008B6019" w:rsidRDefault="006F44C0" w:rsidP="002B2B15">
      <w:pPr>
        <w:spacing w:after="240"/>
      </w:pPr>
      <w:r>
        <w:t>Podemos apreciar dentro de este supuesto la nulidad de pleno derecho de las vistas y comparecencias sin la necesaria presencia judicial (art. 137 LEC), la de las diligencias de ordenación que decidan cuestiones que, conforme a la Ley, hayan de ser resueltas por medio de providencia, auto o sentencia (art. 224.1 LEC) o la nulidad de pleno derecho del embargo realizado sobre bines inembargables (art. 609 LEC).</w:t>
      </w:r>
    </w:p>
    <w:p w14:paraId="785B7908" w14:textId="77777777" w:rsidR="006F44C0" w:rsidRPr="001F746C" w:rsidRDefault="006F44C0" w:rsidP="002B2B15">
      <w:pPr>
        <w:pStyle w:val="Ttulo4"/>
      </w:pPr>
      <w:bookmarkStart w:id="438" w:name="_Toc37373865"/>
      <w:bookmarkStart w:id="439" w:name="_Toc49423665"/>
      <w:bookmarkStart w:id="440" w:name="_Toc49708597"/>
      <w:bookmarkStart w:id="441" w:name="_Toc49866537"/>
      <w:r w:rsidRPr="001F746C">
        <w:t>Nulidad relativa</w:t>
      </w:r>
      <w:bookmarkEnd w:id="438"/>
      <w:bookmarkEnd w:id="439"/>
      <w:bookmarkEnd w:id="440"/>
      <w:bookmarkEnd w:id="441"/>
    </w:p>
    <w:p w14:paraId="683F1F44" w14:textId="77777777" w:rsidR="006F44C0" w:rsidRDefault="006F44C0" w:rsidP="002B2B15">
      <w:pPr>
        <w:spacing w:after="240"/>
        <w:rPr>
          <w:color w:val="000000" w:themeColor="text1"/>
        </w:rPr>
      </w:pPr>
      <w:r>
        <w:rPr>
          <w:color w:val="000000" w:themeColor="text1"/>
        </w:rPr>
        <w:t>Este supuesto se refiere a aquellos a</w:t>
      </w:r>
      <w:r w:rsidRPr="00B17D52">
        <w:rPr>
          <w:color w:val="000000" w:themeColor="text1"/>
        </w:rPr>
        <w:t>cto</w:t>
      </w:r>
      <w:r>
        <w:rPr>
          <w:color w:val="000000" w:themeColor="text1"/>
        </w:rPr>
        <w:t>s</w:t>
      </w:r>
      <w:r w:rsidRPr="00B17D52">
        <w:rPr>
          <w:color w:val="000000" w:themeColor="text1"/>
        </w:rPr>
        <w:t xml:space="preserve"> nulo</w:t>
      </w:r>
      <w:r>
        <w:rPr>
          <w:color w:val="000000" w:themeColor="text1"/>
        </w:rPr>
        <w:t>s</w:t>
      </w:r>
      <w:r w:rsidRPr="00B17D52">
        <w:rPr>
          <w:color w:val="000000" w:themeColor="text1"/>
        </w:rPr>
        <w:t xml:space="preserve"> de pleno derecho susceptible</w:t>
      </w:r>
      <w:r>
        <w:rPr>
          <w:color w:val="000000" w:themeColor="text1"/>
        </w:rPr>
        <w:t>s</w:t>
      </w:r>
      <w:r w:rsidRPr="00B17D52">
        <w:rPr>
          <w:color w:val="000000" w:themeColor="text1"/>
        </w:rPr>
        <w:t xml:space="preserve"> de subsanación. El acto viciado de nulidad relativa se equipara</w:t>
      </w:r>
      <w:r>
        <w:rPr>
          <w:color w:val="000000" w:themeColor="text1"/>
        </w:rPr>
        <w:t>rá</w:t>
      </w:r>
      <w:r w:rsidRPr="00B17D52">
        <w:rPr>
          <w:color w:val="000000" w:themeColor="text1"/>
        </w:rPr>
        <w:t xml:space="preserve">, si no es subsanado, al </w:t>
      </w:r>
      <w:r>
        <w:rPr>
          <w:color w:val="000000" w:themeColor="text1"/>
        </w:rPr>
        <w:t xml:space="preserve">acto </w:t>
      </w:r>
      <w:r w:rsidRPr="00B17D52">
        <w:rPr>
          <w:color w:val="000000" w:themeColor="text1"/>
        </w:rPr>
        <w:lastRenderedPageBreak/>
        <w:t>nulo de pleno derecho</w:t>
      </w:r>
      <w:r>
        <w:rPr>
          <w:color w:val="000000" w:themeColor="text1"/>
        </w:rPr>
        <w:t>,</w:t>
      </w:r>
      <w:r w:rsidRPr="00B17D52">
        <w:rPr>
          <w:color w:val="000000" w:themeColor="text1"/>
        </w:rPr>
        <w:t xml:space="preserve"> no </w:t>
      </w:r>
      <w:r>
        <w:rPr>
          <w:color w:val="000000" w:themeColor="text1"/>
        </w:rPr>
        <w:t>pudiendo éste</w:t>
      </w:r>
      <w:r w:rsidRPr="00B17D52">
        <w:rPr>
          <w:color w:val="000000" w:themeColor="text1"/>
        </w:rPr>
        <w:t xml:space="preserve"> producir ningún efecto. Si se produ</w:t>
      </w:r>
      <w:r>
        <w:rPr>
          <w:color w:val="000000" w:themeColor="text1"/>
        </w:rPr>
        <w:t>jese</w:t>
      </w:r>
      <w:r w:rsidRPr="00B17D52">
        <w:rPr>
          <w:color w:val="000000" w:themeColor="text1"/>
        </w:rPr>
        <w:t xml:space="preserve"> la subsanación</w:t>
      </w:r>
      <w:r>
        <w:rPr>
          <w:color w:val="000000" w:themeColor="text1"/>
        </w:rPr>
        <w:t>,</w:t>
      </w:r>
      <w:r w:rsidRPr="00B17D52">
        <w:rPr>
          <w:color w:val="000000" w:themeColor="text1"/>
        </w:rPr>
        <w:t xml:space="preserve"> los efectos del acto se retrotra</w:t>
      </w:r>
      <w:r>
        <w:rPr>
          <w:color w:val="000000" w:themeColor="text1"/>
        </w:rPr>
        <w:t>erán</w:t>
      </w:r>
      <w:r w:rsidRPr="00B17D52">
        <w:rPr>
          <w:color w:val="000000" w:themeColor="text1"/>
        </w:rPr>
        <w:t xml:space="preserve"> al momento de la realización del acto defectuoso (efectos </w:t>
      </w:r>
      <w:r w:rsidRPr="00DD57EA">
        <w:rPr>
          <w:i/>
          <w:iCs/>
          <w:color w:val="000000" w:themeColor="text1"/>
        </w:rPr>
        <w:t>ex tune</w:t>
      </w:r>
      <w:r w:rsidRPr="00B17D52">
        <w:rPr>
          <w:color w:val="000000" w:themeColor="text1"/>
        </w:rPr>
        <w:t>).</w:t>
      </w:r>
    </w:p>
    <w:p w14:paraId="589F5B2E" w14:textId="77777777" w:rsidR="006F44C0" w:rsidRDefault="006F44C0" w:rsidP="002B2B15">
      <w:pPr>
        <w:spacing w:after="240"/>
      </w:pPr>
      <w:r>
        <w:t>Atendiendo a la LOPJ, un acto será nulo cuando lo prevea expresamente la Ley. Asimismo, también lo será cuando se cumplan las condiciones expresadas en los arts. 240, 242 y 243: que carezca de los requisitos indispensables para alcanzar su fin o que determine efectiva indefensión, que no haya recaído resolución que ponga fin al proceso y, siempre que no quepa la subsanación del mismo.</w:t>
      </w:r>
    </w:p>
    <w:p w14:paraId="7479C7A1" w14:textId="77777777" w:rsidR="006F44C0" w:rsidRDefault="006F44C0" w:rsidP="002B2B15">
      <w:pPr>
        <w:spacing w:after="240"/>
      </w:pPr>
      <w:r>
        <w:t>Nos encontramos pues, a nuestro parecer, ante una definición compleja y poco clara ya que estaríamos incluyendo dentro de este apartado todo acto que, aun adoleciendo de un vicio procesal de gravedad, no se encuentre incluido en la relación de supuestos de nulidad absoluta contenida en el anteriormente citado art. 238. Se trataría, por tanto, de una categoría definida por la exclusión.</w:t>
      </w:r>
    </w:p>
    <w:p w14:paraId="7EEC561C" w14:textId="77777777" w:rsidR="006F44C0" w:rsidRDefault="006F44C0" w:rsidP="002B2B15">
      <w:pPr>
        <w:spacing w:after="240"/>
      </w:pPr>
      <w:r>
        <w:t>Cabría decir, con respecto a la diferencia que este tipo de actos tendría con los actos nulos de pleno derecho, que la apreciación de este tipo de nulidad tendrá que ser determinada en cada caso concreto debido a la ausencia de una tasación de causas por parte de la ley. Por su parte, la ya citada nulidad de pleno derecho, tiene sus casos recogidos en la LOPJ y la LEC, es decir, estos actos están legalmente establecidos, de modo que su apreciación es más sencilla ya que sólo habrá que comparar el acto en cuestión con la norma. Sin embargo, sí que es cierto que, una vez declarada la nulidad de un acto (y consecuentemente su ineficacia), no se apreciará diferencia entre si esta nulidad fue de pleno derecho o relativa, es decir, la consecuencia de la declaración será la misma.</w:t>
      </w:r>
    </w:p>
    <w:p w14:paraId="4BB05C4B" w14:textId="77777777" w:rsidR="006F44C0" w:rsidRDefault="006F44C0" w:rsidP="002B2B15">
      <w:pPr>
        <w:spacing w:after="240"/>
      </w:pPr>
      <w:r>
        <w:t xml:space="preserve">El apartado 1 del art. 240 LOPJ dispone que </w:t>
      </w:r>
      <w:r w:rsidRPr="00C62044">
        <w:rPr>
          <w:i/>
          <w:iCs/>
        </w:rPr>
        <w:t>“… los defectos de forma en los actos procesales que impliquen ausencia de los requisitos indispensables para alcanzar su fin o determinen efectiva indefensión, se harán valer por medio de los recursos legalmente establecidos contra la resolución de que se trate, o por los demás medios que establezcan las leyes procesales”</w:t>
      </w:r>
      <w:r>
        <w:t>. Apreciamos, pues, dos ámbitos para este tipo de nulidad: los casos en los que exista una infracción dada por la ausencia de los requisitos indispensables para que el acto cumpla su fin y, por otra parte, los actos que determinen efectiva indefensión.</w:t>
      </w:r>
    </w:p>
    <w:p w14:paraId="47D18748" w14:textId="77777777" w:rsidR="006F44C0" w:rsidRDefault="006F44C0" w:rsidP="002B2B15">
      <w:pPr>
        <w:spacing w:after="240"/>
      </w:pPr>
      <w:r>
        <w:lastRenderedPageBreak/>
        <w:t>Debemos recordar que en este tipo de nulidad operan especialmente los principios de conservación y subsanación de los actos procesales. De este modo, la nulidad sólo será declarada cuando no proceda la subsanación del acto en cuestión. Principal diferencia con los actos que incurran en un supuesto de nulidad de pleno derecho, los cuales son insubsanables. Por tanto, en relación con principios de conservación y subsanación, el primero tendrá una interpretación muy restrictiva respecto a la nulidad de pleno derecho ya que, en este tipo de nulidad, como hemos visto, será muy complicada la conservación de los actos. Respecto al segundo principio, su aplicación será imposible en la nulidad de pleno derecho ya que este tipo de actos se caracterizan de por sí por ser insubsanables, es la propia naturaleza de este tipo de nulidad. Por su parte, en la nulidad relativa, operarán plenamente estos principios, al igual que en la anulabilidad y la irregularidad, que trataremos a continuación.</w:t>
      </w:r>
    </w:p>
    <w:p w14:paraId="4C3FAD6C" w14:textId="77777777" w:rsidR="006F44C0" w:rsidRDefault="006F44C0" w:rsidP="002B2B15">
      <w:pPr>
        <w:spacing w:after="240"/>
      </w:pPr>
      <w:r>
        <w:t xml:space="preserve">Por último, mencionar que sí existen algunos supuestos de nulidad simple expresamente relacionados en la Ley, concretamente en la LEC, como pueden ser la nulidad del reparto de asuntos (art. 68), la prohibición de un segundo incidente de acumulación (art. 97.2) o la nulidad de las actuaciones por concurrir en el Juez o Magistrado causa de recusación. Sin embargo, esta mención expresa a estos casos de nulidad simple resulta realmente innecesario pues habría bastado con la mera aplicación de la norma general de la LOPJ y es que, citando a RICHARD GONZÁLEZ, </w:t>
      </w:r>
      <w:r w:rsidRPr="00BA17BC">
        <w:rPr>
          <w:i/>
          <w:iCs/>
        </w:rPr>
        <w:t>“existen tanto supuestos de posible nulidad procesal como normas procesales hay susceptibles de ser infringidas, sin que sea preciso que la norma legal atribuya una posible consecuencia de nulidad a la infracción de cada norma procesal”</w:t>
      </w:r>
      <w:r>
        <w:rPr>
          <w:rStyle w:val="Refdenotaalpie"/>
          <w:i/>
          <w:iCs/>
        </w:rPr>
        <w:footnoteReference w:id="202"/>
      </w:r>
      <w:r>
        <w:t>.</w:t>
      </w:r>
    </w:p>
    <w:p w14:paraId="41ECE106" w14:textId="77777777" w:rsidR="006F44C0" w:rsidRPr="001F746C" w:rsidRDefault="006F44C0" w:rsidP="002B2B15">
      <w:pPr>
        <w:pStyle w:val="Ttulo4"/>
      </w:pPr>
      <w:bookmarkStart w:id="442" w:name="_Toc37373866"/>
      <w:bookmarkStart w:id="443" w:name="_Toc49423666"/>
      <w:bookmarkStart w:id="444" w:name="_Toc49708598"/>
      <w:bookmarkStart w:id="445" w:name="_Toc49866538"/>
      <w:r w:rsidRPr="001F746C">
        <w:t>Anulabilidad</w:t>
      </w:r>
      <w:bookmarkEnd w:id="442"/>
      <w:bookmarkEnd w:id="443"/>
      <w:bookmarkEnd w:id="444"/>
      <w:bookmarkEnd w:id="445"/>
    </w:p>
    <w:p w14:paraId="37818663" w14:textId="77777777" w:rsidR="006F44C0" w:rsidRDefault="006F44C0" w:rsidP="002B2B15">
      <w:pPr>
        <w:spacing w:after="240"/>
        <w:rPr>
          <w:color w:val="000000" w:themeColor="text1"/>
        </w:rPr>
      </w:pPr>
      <w:r w:rsidRPr="00B17D52">
        <w:rPr>
          <w:color w:val="000000" w:themeColor="text1"/>
        </w:rPr>
        <w:t>Un acto procesal es anulable cuando le falte algún requisito distinto de los de carácter de orden público y que no sea esencial, produciendo efectos el referido acto mientras no sea impugnado por alguna de las partes. Se trata de actos susceptibles de ser convalidados y si se declara su ineficacia</w:t>
      </w:r>
      <w:r>
        <w:rPr>
          <w:color w:val="000000" w:themeColor="text1"/>
        </w:rPr>
        <w:t>,</w:t>
      </w:r>
      <w:r w:rsidRPr="00B17D52">
        <w:rPr>
          <w:color w:val="000000" w:themeColor="text1"/>
        </w:rPr>
        <w:t xml:space="preserve"> ésta </w:t>
      </w:r>
      <w:proofErr w:type="spellStart"/>
      <w:r w:rsidRPr="00B17D52">
        <w:rPr>
          <w:color w:val="000000" w:themeColor="text1"/>
        </w:rPr>
        <w:t>opera</w:t>
      </w:r>
      <w:proofErr w:type="spellEnd"/>
      <w:r w:rsidRPr="00B17D52">
        <w:rPr>
          <w:color w:val="000000" w:themeColor="text1"/>
        </w:rPr>
        <w:t xml:space="preserve"> </w:t>
      </w:r>
      <w:r w:rsidRPr="0080775A">
        <w:rPr>
          <w:i/>
          <w:iCs/>
          <w:color w:val="000000" w:themeColor="text1"/>
        </w:rPr>
        <w:t>ex nunc</w:t>
      </w:r>
      <w:r w:rsidRPr="00B17D52">
        <w:rPr>
          <w:color w:val="000000" w:themeColor="text1"/>
        </w:rPr>
        <w:t>, esto es, desde el momento de declararse la misma.</w:t>
      </w:r>
    </w:p>
    <w:p w14:paraId="7F0D4A52" w14:textId="77777777" w:rsidR="006F44C0" w:rsidRPr="001F746C" w:rsidRDefault="006F44C0" w:rsidP="002B2B15">
      <w:pPr>
        <w:pStyle w:val="Ttulo4"/>
      </w:pPr>
      <w:bookmarkStart w:id="446" w:name="_Toc37373867"/>
      <w:bookmarkStart w:id="447" w:name="_Toc49423667"/>
      <w:bookmarkStart w:id="448" w:name="_Toc49708599"/>
      <w:bookmarkStart w:id="449" w:name="_Toc49866539"/>
      <w:r w:rsidRPr="001F746C">
        <w:lastRenderedPageBreak/>
        <w:t>Irregularidad</w:t>
      </w:r>
      <w:bookmarkEnd w:id="446"/>
      <w:bookmarkEnd w:id="447"/>
      <w:bookmarkEnd w:id="448"/>
      <w:bookmarkEnd w:id="449"/>
    </w:p>
    <w:p w14:paraId="3BE91B22" w14:textId="77777777" w:rsidR="006F44C0" w:rsidRDefault="006F44C0" w:rsidP="002B2B15">
      <w:pPr>
        <w:spacing w:after="240"/>
        <w:rPr>
          <w:color w:val="000000" w:themeColor="text1"/>
        </w:rPr>
      </w:pPr>
      <w:r w:rsidRPr="00B17D52">
        <w:rPr>
          <w:color w:val="000000" w:themeColor="text1"/>
        </w:rPr>
        <w:t>Actos procesales irregulares son los actos procesales incorrectos cuyo defecto no impide la total producción de sus efectos y tan sólo pueden llevar aparejada una sanción para el funcionario causante de la irregularidad.</w:t>
      </w:r>
    </w:p>
    <w:p w14:paraId="78C2BE31" w14:textId="77777777" w:rsidR="006F44C0" w:rsidRDefault="006F44C0" w:rsidP="002B2B15">
      <w:pPr>
        <w:spacing w:after="240"/>
      </w:pPr>
      <w:r>
        <w:t>Esta última categoría no está expresamente prevista en la Ley, sino que, por el contrario, se deduce indirectamente de la regulación prevista para la nulidad procesal. Incluiríamos aquí los actos que hayan sido afectados por defectos procesales de menor entidad.</w:t>
      </w:r>
    </w:p>
    <w:p w14:paraId="62074BA5" w14:textId="77777777" w:rsidR="006F44C0" w:rsidRDefault="006F44C0" w:rsidP="002B2B15">
      <w:pPr>
        <w:spacing w:after="240"/>
      </w:pPr>
      <w:r w:rsidRPr="00976DC2">
        <w:t xml:space="preserve">El término irregularidad procesal </w:t>
      </w:r>
      <w:r>
        <w:t>es usado habitualmente entre</w:t>
      </w:r>
      <w:r w:rsidRPr="00976DC2">
        <w:t xml:space="preserve"> quienes se ocupan del tema de la invalidez procesal. Aunque con una base conceptual común, se ha utilizado principalmente de dos formas: como una categoría de actos que sufren defectos menores y como un género amplio en el que se incluye todo acto imperfecto, sea válido o no</w:t>
      </w:r>
      <w:r>
        <w:rPr>
          <w:rStyle w:val="Refdenotaalpie"/>
        </w:rPr>
        <w:footnoteReference w:id="203"/>
      </w:r>
      <w:r>
        <w:t>.</w:t>
      </w:r>
    </w:p>
    <w:p w14:paraId="4CEDDDDF" w14:textId="77777777" w:rsidR="006F44C0" w:rsidRDefault="006F44C0" w:rsidP="002B2B15">
      <w:pPr>
        <w:spacing w:after="240"/>
      </w:pPr>
      <w:r>
        <w:t>La primera acepción es utilizada principalmente para hacer referencia a aquellos actos afectados por defectos que no inciden en la validez, aunque sí pueden producir otras consecuencias gravosas para el autor. Se trataría de una categoría de actos entre los que se englobarían defectos de menor gravedad, reservándose para los más graves la anulabilidad y la nulidad absoluta. La segunda, estaría referida a todo acto defectuoso. Englobaríamos, pues, todas las actuaciones imperfectas, sean estas válidas o inválidas.</w:t>
      </w:r>
    </w:p>
    <w:p w14:paraId="5C658130" w14:textId="77777777" w:rsidR="006F44C0" w:rsidRPr="006F5129" w:rsidRDefault="006F44C0" w:rsidP="002B2B15">
      <w:pPr>
        <w:pStyle w:val="Ttulo3"/>
      </w:pPr>
      <w:bookmarkStart w:id="450" w:name="_Toc37373868"/>
      <w:bookmarkStart w:id="451" w:name="_Toc49423668"/>
      <w:bookmarkStart w:id="452" w:name="_Toc49708600"/>
      <w:bookmarkStart w:id="453" w:name="_Toc49790282"/>
      <w:bookmarkStart w:id="454" w:name="_Toc49866540"/>
      <w:bookmarkStart w:id="455" w:name="_Toc50373173"/>
      <w:r>
        <w:t>Procedimiento para declarar la nulidad de un acto</w:t>
      </w:r>
      <w:bookmarkEnd w:id="450"/>
      <w:bookmarkEnd w:id="451"/>
      <w:bookmarkEnd w:id="452"/>
      <w:bookmarkEnd w:id="453"/>
      <w:bookmarkEnd w:id="454"/>
      <w:bookmarkEnd w:id="455"/>
    </w:p>
    <w:p w14:paraId="3D19EBB9" w14:textId="77777777" w:rsidR="006F44C0" w:rsidRDefault="006F44C0" w:rsidP="002B2B15">
      <w:pPr>
        <w:spacing w:after="240"/>
        <w:rPr>
          <w:szCs w:val="24"/>
        </w:rPr>
      </w:pPr>
      <w:r w:rsidRPr="006F2F3A">
        <w:t xml:space="preserve">Centrándonos ahora en el procedimiento para declarar la nulidad de un acto, lo primero que debemos destacar es que podremos </w:t>
      </w:r>
      <w:r w:rsidRPr="006F2F3A">
        <w:rPr>
          <w:szCs w:val="24"/>
        </w:rPr>
        <w:t>declarar nulo un acto procesal, antes o después de recaer una resolución firme</w:t>
      </w:r>
      <w:r>
        <w:rPr>
          <w:szCs w:val="24"/>
        </w:rPr>
        <w:t xml:space="preserve"> y, dependiendo del momento procesal, el procedimiento a seguir será distinto. Una segunda clasificación que podríamos hacer es la de distinguir entre la nulidad ordinaria y la extraordinaria. Concretamente, esta es la clasificación que más correcta nos parece y que, además, como ahora veremos, sufre ciertos errores terminológicos por parte de la doctrina y que pueden inducir a confusión.</w:t>
      </w:r>
    </w:p>
    <w:p w14:paraId="2674F785" w14:textId="77777777" w:rsidR="006F44C0" w:rsidRPr="006F5129" w:rsidRDefault="006F44C0" w:rsidP="002B2B15">
      <w:pPr>
        <w:spacing w:after="240"/>
        <w:rPr>
          <w:szCs w:val="24"/>
        </w:rPr>
      </w:pPr>
      <w:r>
        <w:rPr>
          <w:szCs w:val="24"/>
        </w:rPr>
        <w:lastRenderedPageBreak/>
        <w:t xml:space="preserve">La primera idea a destacar es que los </w:t>
      </w:r>
      <w:r w:rsidRPr="006F5129">
        <w:rPr>
          <w:szCs w:val="24"/>
        </w:rPr>
        <w:t xml:space="preserve">arts. 240 y 241 </w:t>
      </w:r>
      <w:r>
        <w:rPr>
          <w:szCs w:val="24"/>
        </w:rPr>
        <w:t xml:space="preserve">de la LOPJ no regulan </w:t>
      </w:r>
      <w:r w:rsidRPr="006F5129">
        <w:rPr>
          <w:szCs w:val="24"/>
        </w:rPr>
        <w:t xml:space="preserve">un procedimiento o medio de declaración de las nulidades producidas, sino un conjunto de medios que pueden llevar a esa declaración. </w:t>
      </w:r>
    </w:p>
    <w:p w14:paraId="70485E96" w14:textId="77777777" w:rsidR="006F44C0" w:rsidRDefault="006F44C0" w:rsidP="001A4310">
      <w:pPr>
        <w:pStyle w:val="Ttulo4"/>
        <w:numPr>
          <w:ilvl w:val="0"/>
          <w:numId w:val="56"/>
        </w:numPr>
      </w:pPr>
      <w:bookmarkStart w:id="456" w:name="_Toc37373869"/>
      <w:bookmarkStart w:id="457" w:name="_Toc49423669"/>
      <w:bookmarkStart w:id="458" w:name="_Toc49708601"/>
      <w:bookmarkStart w:id="459" w:name="_Toc49866541"/>
      <w:r>
        <w:t>La n</w:t>
      </w:r>
      <w:r w:rsidRPr="006F5129">
        <w:t>ulidad ordinaria</w:t>
      </w:r>
      <w:bookmarkEnd w:id="456"/>
      <w:bookmarkEnd w:id="457"/>
      <w:bookmarkEnd w:id="458"/>
      <w:bookmarkEnd w:id="459"/>
    </w:p>
    <w:p w14:paraId="2361A651" w14:textId="77777777" w:rsidR="006F44C0" w:rsidRDefault="006F44C0" w:rsidP="002B2B15">
      <w:pPr>
        <w:spacing w:after="240"/>
        <w:rPr>
          <w:szCs w:val="24"/>
        </w:rPr>
      </w:pPr>
      <w:r>
        <w:rPr>
          <w:szCs w:val="24"/>
        </w:rPr>
        <w:t>Coincidiría con lo dispuesto en el art. 240 LOPJ. Este precepto hace referencia a distintos medios para declarar la nulidad de un acto.</w:t>
      </w:r>
    </w:p>
    <w:p w14:paraId="743634C9" w14:textId="77777777" w:rsidR="006F44C0" w:rsidRPr="0086059D" w:rsidRDefault="006F44C0" w:rsidP="001A4310">
      <w:pPr>
        <w:pStyle w:val="Prrafodelista"/>
        <w:numPr>
          <w:ilvl w:val="0"/>
          <w:numId w:val="14"/>
        </w:numPr>
        <w:spacing w:before="360"/>
        <w:rPr>
          <w:i/>
          <w:iCs/>
          <w:szCs w:val="24"/>
        </w:rPr>
      </w:pPr>
      <w:r w:rsidRPr="0086059D">
        <w:rPr>
          <w:i/>
          <w:iCs/>
          <w:szCs w:val="24"/>
        </w:rPr>
        <w:t>Por la vía de los recursos establecidos en la ley contra la resolución de que se trate</w:t>
      </w:r>
    </w:p>
    <w:p w14:paraId="5E93E82C" w14:textId="77777777" w:rsidR="006F44C0" w:rsidRDefault="006F44C0" w:rsidP="002B2B15">
      <w:pPr>
        <w:spacing w:after="240"/>
        <w:rPr>
          <w:szCs w:val="24"/>
        </w:rPr>
      </w:pPr>
      <w:r w:rsidRPr="00522A23">
        <w:rPr>
          <w:szCs w:val="24"/>
        </w:rPr>
        <w:t>El apartado primero consagra dos principios esenciales</w:t>
      </w:r>
      <w:r>
        <w:rPr>
          <w:szCs w:val="24"/>
        </w:rPr>
        <w:t xml:space="preserve"> en esta materia. E</w:t>
      </w:r>
      <w:r w:rsidRPr="00522A23">
        <w:rPr>
          <w:szCs w:val="24"/>
        </w:rPr>
        <w:t>l primero</w:t>
      </w:r>
      <w:r>
        <w:rPr>
          <w:szCs w:val="24"/>
        </w:rPr>
        <w:t xml:space="preserve"> sería </w:t>
      </w:r>
      <w:r w:rsidRPr="00522A23">
        <w:rPr>
          <w:szCs w:val="24"/>
        </w:rPr>
        <w:t xml:space="preserve">el de la relevancia o trascendencia del vicio o defecto, </w:t>
      </w:r>
      <w:r>
        <w:rPr>
          <w:szCs w:val="24"/>
        </w:rPr>
        <w:t xml:space="preserve">entendiendo que, </w:t>
      </w:r>
      <w:r w:rsidRPr="00522A23">
        <w:rPr>
          <w:szCs w:val="24"/>
        </w:rPr>
        <w:t>para declarar la nulidad</w:t>
      </w:r>
      <w:r>
        <w:rPr>
          <w:szCs w:val="24"/>
        </w:rPr>
        <w:t>, será</w:t>
      </w:r>
      <w:r w:rsidRPr="00522A23">
        <w:rPr>
          <w:szCs w:val="24"/>
        </w:rPr>
        <w:t xml:space="preserve"> necesario que se haya causado indefensión o que el acto no haya alcanzado su fin</w:t>
      </w:r>
      <w:r>
        <w:rPr>
          <w:szCs w:val="24"/>
        </w:rPr>
        <w:t xml:space="preserve">. El segundo, se referiría al ya citado </w:t>
      </w:r>
      <w:r w:rsidRPr="00522A23">
        <w:rPr>
          <w:szCs w:val="24"/>
        </w:rPr>
        <w:t>carácter subsidiario del incidente de nulidad y su absorción o integración en el sistema de recursos, de modo que</w:t>
      </w:r>
      <w:r>
        <w:rPr>
          <w:szCs w:val="24"/>
        </w:rPr>
        <w:t xml:space="preserve"> no</w:t>
      </w:r>
      <w:r w:rsidRPr="00522A23">
        <w:rPr>
          <w:szCs w:val="24"/>
        </w:rPr>
        <w:t xml:space="preserve"> </w:t>
      </w:r>
      <w:r>
        <w:rPr>
          <w:szCs w:val="24"/>
        </w:rPr>
        <w:t xml:space="preserve">podremos promover </w:t>
      </w:r>
      <w:r w:rsidRPr="00522A23">
        <w:rPr>
          <w:szCs w:val="24"/>
        </w:rPr>
        <w:t>incidente</w:t>
      </w:r>
      <w:r>
        <w:rPr>
          <w:szCs w:val="24"/>
        </w:rPr>
        <w:t xml:space="preserve"> en los casos en que pueda</w:t>
      </w:r>
      <w:r w:rsidRPr="00522A23">
        <w:rPr>
          <w:szCs w:val="24"/>
        </w:rPr>
        <w:t xml:space="preserve"> remediarse el defecto a través del oportuno recurso</w:t>
      </w:r>
      <w:r>
        <w:rPr>
          <w:szCs w:val="24"/>
        </w:rPr>
        <w:t>.</w:t>
      </w:r>
    </w:p>
    <w:p w14:paraId="6B3EC237" w14:textId="77777777" w:rsidR="006F44C0" w:rsidRDefault="006F44C0" w:rsidP="002B2B15">
      <w:pPr>
        <w:spacing w:after="240"/>
        <w:rPr>
          <w:szCs w:val="24"/>
        </w:rPr>
      </w:pPr>
      <w:r>
        <w:rPr>
          <w:szCs w:val="24"/>
        </w:rPr>
        <w:t xml:space="preserve">Dentro de la nulidad ordinaria, el primer modo de declararla seria, por tanto, la apreciación a instancia de parte a través del sistema de recursos. </w:t>
      </w:r>
      <w:r w:rsidRPr="005E635A">
        <w:rPr>
          <w:szCs w:val="24"/>
        </w:rPr>
        <w:t>La nulidad de pleno derecho, en todo caso, y los defectos de forma en</w:t>
      </w:r>
      <w:r>
        <w:rPr>
          <w:szCs w:val="24"/>
        </w:rPr>
        <w:t xml:space="preserve"> </w:t>
      </w:r>
      <w:r w:rsidRPr="005E635A">
        <w:rPr>
          <w:szCs w:val="24"/>
        </w:rPr>
        <w:t>los actos procesales que impliquen ausencia de los requisitos indispensables para alcanzar su fin o determinen efectiva indefensión, se harán valer</w:t>
      </w:r>
      <w:r>
        <w:rPr>
          <w:szCs w:val="24"/>
        </w:rPr>
        <w:t xml:space="preserve"> </w:t>
      </w:r>
      <w:r w:rsidRPr="005E635A">
        <w:rPr>
          <w:szCs w:val="24"/>
        </w:rPr>
        <w:t>por la parte (cuando no hayan sido subsanados de oficio por el propio órgano judicial), por medio de los recursos legalmente establecidos contra la resolución de que se trate</w:t>
      </w:r>
      <w:r>
        <w:rPr>
          <w:szCs w:val="24"/>
        </w:rPr>
        <w:t>.</w:t>
      </w:r>
      <w:r w:rsidRPr="005E635A">
        <w:rPr>
          <w:szCs w:val="24"/>
        </w:rPr>
        <w:t xml:space="preserve"> </w:t>
      </w:r>
    </w:p>
    <w:p w14:paraId="61AD96D7" w14:textId="77777777" w:rsidR="006F44C0" w:rsidRDefault="006F44C0" w:rsidP="002B2B15">
      <w:pPr>
        <w:spacing w:after="240"/>
        <w:rPr>
          <w:szCs w:val="24"/>
        </w:rPr>
      </w:pPr>
      <w:r>
        <w:rPr>
          <w:szCs w:val="24"/>
        </w:rPr>
        <w:t xml:space="preserve">Cabe destacar que, en concordancia con TASCÓN LÓPEZ, nos parece que, </w:t>
      </w:r>
      <w:r w:rsidRPr="005D5692">
        <w:rPr>
          <w:szCs w:val="24"/>
        </w:rPr>
        <w:t xml:space="preserve">cuando el legislador establece este cauce </w:t>
      </w:r>
      <w:r>
        <w:rPr>
          <w:szCs w:val="24"/>
        </w:rPr>
        <w:t xml:space="preserve">para la declaración de la nulidad procesal, </w:t>
      </w:r>
      <w:r w:rsidRPr="005D5692">
        <w:rPr>
          <w:szCs w:val="24"/>
        </w:rPr>
        <w:t>tan sólo t</w:t>
      </w:r>
      <w:r>
        <w:rPr>
          <w:szCs w:val="24"/>
        </w:rPr>
        <w:t>enía</w:t>
      </w:r>
      <w:r w:rsidRPr="005D5692">
        <w:rPr>
          <w:szCs w:val="24"/>
        </w:rPr>
        <w:t xml:space="preserve"> en</w:t>
      </w:r>
      <w:r>
        <w:rPr>
          <w:szCs w:val="24"/>
        </w:rPr>
        <w:t xml:space="preserve"> </w:t>
      </w:r>
      <w:r w:rsidRPr="005D5692">
        <w:rPr>
          <w:szCs w:val="24"/>
        </w:rPr>
        <w:t xml:space="preserve">mente el esquema de recursos previsto en la </w:t>
      </w:r>
      <w:r>
        <w:rPr>
          <w:szCs w:val="24"/>
        </w:rPr>
        <w:t>LEC</w:t>
      </w:r>
      <w:r w:rsidRPr="005D5692">
        <w:rPr>
          <w:szCs w:val="24"/>
        </w:rPr>
        <w:t>, olvidando la existencia</w:t>
      </w:r>
      <w:r>
        <w:rPr>
          <w:szCs w:val="24"/>
        </w:rPr>
        <w:t xml:space="preserve"> </w:t>
      </w:r>
      <w:r w:rsidRPr="005D5692">
        <w:rPr>
          <w:szCs w:val="24"/>
        </w:rPr>
        <w:t>de otros órdenes jurisdiccionales distintos.</w:t>
      </w:r>
    </w:p>
    <w:p w14:paraId="5B808E72" w14:textId="77777777" w:rsidR="006F44C0" w:rsidRPr="007F490E" w:rsidRDefault="006F44C0" w:rsidP="002B2B15">
      <w:pPr>
        <w:spacing w:after="240"/>
        <w:rPr>
          <w:szCs w:val="24"/>
        </w:rPr>
      </w:pPr>
      <w:r>
        <w:rPr>
          <w:szCs w:val="24"/>
        </w:rPr>
        <w:t xml:space="preserve">Puede apreciarse esta afirmación en </w:t>
      </w:r>
      <w:r w:rsidRPr="007F490E">
        <w:rPr>
          <w:szCs w:val="24"/>
        </w:rPr>
        <w:t xml:space="preserve">los arts. 468 y ss. </w:t>
      </w:r>
      <w:r>
        <w:rPr>
          <w:szCs w:val="24"/>
        </w:rPr>
        <w:t xml:space="preserve">LEC, los cuales establecen el </w:t>
      </w:r>
      <w:r w:rsidRPr="007F490E">
        <w:rPr>
          <w:szCs w:val="24"/>
        </w:rPr>
        <w:t xml:space="preserve">«recurso extraordinario por infracción procesal», </w:t>
      </w:r>
      <w:r>
        <w:rPr>
          <w:szCs w:val="24"/>
        </w:rPr>
        <w:t xml:space="preserve">que </w:t>
      </w:r>
      <w:r w:rsidRPr="007F490E">
        <w:rPr>
          <w:szCs w:val="24"/>
        </w:rPr>
        <w:t>será el</w:t>
      </w:r>
      <w:r>
        <w:rPr>
          <w:szCs w:val="24"/>
        </w:rPr>
        <w:t xml:space="preserve"> más usado para pe</w:t>
      </w:r>
      <w:r w:rsidRPr="007F490E">
        <w:rPr>
          <w:szCs w:val="24"/>
        </w:rPr>
        <w:t>rmitir a la parte impugnar las resoluciones judiciales</w:t>
      </w:r>
      <w:r>
        <w:rPr>
          <w:szCs w:val="24"/>
        </w:rPr>
        <w:t xml:space="preserve"> </w:t>
      </w:r>
      <w:r w:rsidRPr="007F490E">
        <w:rPr>
          <w:szCs w:val="24"/>
        </w:rPr>
        <w:t xml:space="preserve">viciadas de nulidad, en tanto puede quedar </w:t>
      </w:r>
      <w:r w:rsidRPr="007F490E">
        <w:rPr>
          <w:szCs w:val="24"/>
        </w:rPr>
        <w:lastRenderedPageBreak/>
        <w:t>fundado, precisamente, en infracciones de las normas sobre jurisdicción y competencia (objetiva o funcional), de aquellas reguladoras de la sentencia o, en fin, de cualesquiera de cuantas rigen los actos y garantías del proceso cuando la infracción determinare la</w:t>
      </w:r>
      <w:r>
        <w:rPr>
          <w:szCs w:val="24"/>
        </w:rPr>
        <w:t xml:space="preserve"> </w:t>
      </w:r>
      <w:r w:rsidRPr="007F490E">
        <w:rPr>
          <w:szCs w:val="24"/>
        </w:rPr>
        <w:t>nulidad conforme a la ley o hubiere podido producir indefensión</w:t>
      </w:r>
      <w:r>
        <w:rPr>
          <w:rStyle w:val="Refdenotaalpie"/>
          <w:szCs w:val="24"/>
        </w:rPr>
        <w:footnoteReference w:id="204"/>
      </w:r>
      <w:r w:rsidRPr="007F490E">
        <w:rPr>
          <w:szCs w:val="24"/>
        </w:rPr>
        <w:t>.</w:t>
      </w:r>
    </w:p>
    <w:p w14:paraId="6DE58B2C" w14:textId="77777777" w:rsidR="006F44C0" w:rsidRDefault="006F44C0" w:rsidP="002B2B15">
      <w:pPr>
        <w:spacing w:after="240"/>
        <w:rPr>
          <w:szCs w:val="24"/>
        </w:rPr>
      </w:pPr>
      <w:r>
        <w:rPr>
          <w:szCs w:val="24"/>
        </w:rPr>
        <w:t>Sin embargo, este</w:t>
      </w:r>
      <w:r w:rsidRPr="007F490E">
        <w:rPr>
          <w:szCs w:val="24"/>
        </w:rPr>
        <w:t xml:space="preserve"> remedio procesal procede exclusivamente contra</w:t>
      </w:r>
      <w:r>
        <w:rPr>
          <w:szCs w:val="24"/>
        </w:rPr>
        <w:t xml:space="preserve"> </w:t>
      </w:r>
      <w:r w:rsidRPr="007F490E">
        <w:rPr>
          <w:i/>
          <w:iCs/>
          <w:szCs w:val="24"/>
        </w:rPr>
        <w:t>«sentencias y autos dictados por las Audiencias Provinciales que pongan fin a la segunda instancia»</w:t>
      </w:r>
      <w:r w:rsidRPr="007F490E">
        <w:rPr>
          <w:szCs w:val="24"/>
        </w:rPr>
        <w:t xml:space="preserve"> (art. 468 </w:t>
      </w:r>
      <w:r>
        <w:rPr>
          <w:szCs w:val="24"/>
        </w:rPr>
        <w:t>LEC</w:t>
      </w:r>
      <w:r w:rsidRPr="007F490E">
        <w:rPr>
          <w:szCs w:val="24"/>
        </w:rPr>
        <w:t xml:space="preserve">), con lo cual resulta </w:t>
      </w:r>
      <w:r>
        <w:rPr>
          <w:szCs w:val="24"/>
        </w:rPr>
        <w:t>imposible su aplicación a</w:t>
      </w:r>
      <w:r w:rsidRPr="007F490E">
        <w:rPr>
          <w:szCs w:val="24"/>
        </w:rPr>
        <w:t xml:space="preserve"> otros órdenes jurisdiccionales distintos del civil</w:t>
      </w:r>
      <w:r>
        <w:rPr>
          <w:szCs w:val="24"/>
        </w:rPr>
        <w:t>.</w:t>
      </w:r>
    </w:p>
    <w:p w14:paraId="1A18F612" w14:textId="77777777" w:rsidR="006F44C0" w:rsidRPr="0086059D" w:rsidRDefault="006F44C0" w:rsidP="001A4310">
      <w:pPr>
        <w:pStyle w:val="Prrafodelista"/>
        <w:numPr>
          <w:ilvl w:val="0"/>
          <w:numId w:val="14"/>
        </w:numPr>
        <w:spacing w:before="360"/>
        <w:rPr>
          <w:i/>
          <w:iCs/>
          <w:szCs w:val="24"/>
        </w:rPr>
      </w:pPr>
      <w:r w:rsidRPr="0086059D">
        <w:rPr>
          <w:i/>
          <w:iCs/>
          <w:szCs w:val="24"/>
        </w:rPr>
        <w:t>Por los demás medios que establezcan las leyes procesales</w:t>
      </w:r>
    </w:p>
    <w:p w14:paraId="4AA4D759" w14:textId="77777777" w:rsidR="006F44C0" w:rsidRDefault="006F44C0" w:rsidP="002B2B15">
      <w:pPr>
        <w:spacing w:after="240"/>
        <w:rPr>
          <w:szCs w:val="24"/>
        </w:rPr>
      </w:pPr>
      <w:r>
        <w:rPr>
          <w:szCs w:val="24"/>
        </w:rPr>
        <w:t>El final del apartado primero del art. 240 hace referencia, de manera genérica, a la posibilidad de hacer valer la nulidad de pleno derecho, además de por los ya citados recursos, por todos aquellos otros medios establecidos en las leyes procesales. Estos</w:t>
      </w:r>
      <w:r w:rsidRPr="0086059D">
        <w:rPr>
          <w:szCs w:val="24"/>
        </w:rPr>
        <w:t xml:space="preserve"> medios pueden ser muy variados</w:t>
      </w:r>
      <w:r>
        <w:rPr>
          <w:szCs w:val="24"/>
        </w:rPr>
        <w:t>: l</w:t>
      </w:r>
      <w:r w:rsidRPr="0086059D">
        <w:rPr>
          <w:szCs w:val="24"/>
        </w:rPr>
        <w:t>a declinatoria, con referencia a la jurisdicción y la competencia</w:t>
      </w:r>
      <w:r>
        <w:rPr>
          <w:szCs w:val="24"/>
        </w:rPr>
        <w:t>; l</w:t>
      </w:r>
      <w:r w:rsidRPr="0086059D">
        <w:rPr>
          <w:szCs w:val="24"/>
        </w:rPr>
        <w:t>os conflictos positivos de jurisdicción y de competencia</w:t>
      </w:r>
      <w:r>
        <w:rPr>
          <w:szCs w:val="24"/>
        </w:rPr>
        <w:t>; l</w:t>
      </w:r>
      <w:r w:rsidRPr="0086059D">
        <w:rPr>
          <w:szCs w:val="24"/>
        </w:rPr>
        <w:t>as excepciones de contenido procesal</w:t>
      </w:r>
      <w:r>
        <w:rPr>
          <w:szCs w:val="24"/>
        </w:rPr>
        <w:t>, etc.</w:t>
      </w:r>
    </w:p>
    <w:p w14:paraId="30E63DC3" w14:textId="77777777" w:rsidR="006F44C0" w:rsidRPr="0086059D" w:rsidRDefault="006F44C0" w:rsidP="001A4310">
      <w:pPr>
        <w:pStyle w:val="Prrafodelista"/>
        <w:numPr>
          <w:ilvl w:val="0"/>
          <w:numId w:val="14"/>
        </w:numPr>
        <w:spacing w:before="360"/>
        <w:rPr>
          <w:i/>
          <w:iCs/>
          <w:szCs w:val="24"/>
        </w:rPr>
      </w:pPr>
      <w:r w:rsidRPr="0086059D">
        <w:rPr>
          <w:i/>
          <w:iCs/>
          <w:szCs w:val="24"/>
        </w:rPr>
        <w:t>Por la vía de la declaración judicial que puede producirse por medio de un incidente, el del art. 240.2 LOPJ</w:t>
      </w:r>
    </w:p>
    <w:p w14:paraId="0BDC1FCF" w14:textId="77777777" w:rsidR="006F44C0" w:rsidRDefault="006F44C0" w:rsidP="002B2B15">
      <w:pPr>
        <w:spacing w:after="240"/>
        <w:rPr>
          <w:szCs w:val="24"/>
        </w:rPr>
      </w:pPr>
      <w:r>
        <w:rPr>
          <w:szCs w:val="24"/>
        </w:rPr>
        <w:t>El segundo apartado de citado art. establece que, e</w:t>
      </w:r>
      <w:r w:rsidRPr="005E635A">
        <w:rPr>
          <w:szCs w:val="24"/>
        </w:rPr>
        <w:t>l juzgado o tribunal podrá, de oficio o a instancia de parte, en cualquier momento con anterioridad a la resolución que ponga fin al proceso</w:t>
      </w:r>
      <w:r>
        <w:rPr>
          <w:szCs w:val="24"/>
        </w:rPr>
        <w:t xml:space="preserve">, </w:t>
      </w:r>
      <w:r w:rsidRPr="005E635A">
        <w:rPr>
          <w:szCs w:val="24"/>
        </w:rPr>
        <w:t>siempre y cuando no proceda la subsanación, declarar, previa audiencia</w:t>
      </w:r>
      <w:r>
        <w:rPr>
          <w:szCs w:val="24"/>
        </w:rPr>
        <w:t xml:space="preserve"> </w:t>
      </w:r>
      <w:r w:rsidRPr="005E635A">
        <w:rPr>
          <w:szCs w:val="24"/>
        </w:rPr>
        <w:t>de las partes, la nulidad de todas las actuaciones o de alguna en particular</w:t>
      </w:r>
      <w:r>
        <w:rPr>
          <w:szCs w:val="24"/>
        </w:rPr>
        <w:t xml:space="preserve">, </w:t>
      </w:r>
      <w:r w:rsidRPr="00522A23">
        <w:rPr>
          <w:szCs w:val="24"/>
        </w:rPr>
        <w:t xml:space="preserve">lo que le diferencia del incidente excepcional de nulidad de actuaciones, que solo puede </w:t>
      </w:r>
      <w:r>
        <w:rPr>
          <w:szCs w:val="24"/>
        </w:rPr>
        <w:t xml:space="preserve">ser promovido por </w:t>
      </w:r>
      <w:r w:rsidRPr="00522A23">
        <w:rPr>
          <w:szCs w:val="24"/>
        </w:rPr>
        <w:t>la parte interesada</w:t>
      </w:r>
      <w:r>
        <w:rPr>
          <w:szCs w:val="24"/>
        </w:rPr>
        <w:t>. Distinguimos, por tanto:</w:t>
      </w:r>
    </w:p>
    <w:p w14:paraId="16BD03FF" w14:textId="77777777" w:rsidR="006F44C0" w:rsidRPr="002212FB" w:rsidRDefault="006F44C0" w:rsidP="002B2B15">
      <w:pPr>
        <w:spacing w:after="240"/>
        <w:rPr>
          <w:szCs w:val="24"/>
        </w:rPr>
      </w:pPr>
      <w:r w:rsidRPr="002212FB">
        <w:rPr>
          <w:szCs w:val="24"/>
        </w:rPr>
        <w:t xml:space="preserve">1º) De oficio: </w:t>
      </w:r>
      <w:r>
        <w:rPr>
          <w:szCs w:val="24"/>
        </w:rPr>
        <w:t>e</w:t>
      </w:r>
      <w:r w:rsidRPr="002212FB">
        <w:rPr>
          <w:szCs w:val="24"/>
        </w:rPr>
        <w:t>l tribunal que esté conociendo de un proceso, antes de que hubiere recaído la resolución que pone fin al mismo y siempre que no proceda la subsanación del defecto, debe declarar la nulidad de actuaciones, previa audiencia de las partes.</w:t>
      </w:r>
    </w:p>
    <w:p w14:paraId="6C4EFF29" w14:textId="77777777" w:rsidR="006F44C0" w:rsidRDefault="006F44C0" w:rsidP="002B2B15">
      <w:pPr>
        <w:spacing w:after="240"/>
        <w:rPr>
          <w:szCs w:val="24"/>
        </w:rPr>
      </w:pPr>
      <w:r w:rsidRPr="002212FB">
        <w:rPr>
          <w:szCs w:val="24"/>
        </w:rPr>
        <w:lastRenderedPageBreak/>
        <w:t xml:space="preserve">2º) A instancia de parte: </w:t>
      </w:r>
      <w:r>
        <w:rPr>
          <w:szCs w:val="24"/>
        </w:rPr>
        <w:t>e</w:t>
      </w:r>
      <w:r w:rsidRPr="002212FB">
        <w:rPr>
          <w:szCs w:val="24"/>
        </w:rPr>
        <w:t>n las mismas situaciones temporales y procesales la nulidad p</w:t>
      </w:r>
      <w:r>
        <w:rPr>
          <w:szCs w:val="24"/>
        </w:rPr>
        <w:t>odrá</w:t>
      </w:r>
      <w:r w:rsidRPr="002212FB">
        <w:rPr>
          <w:szCs w:val="24"/>
        </w:rPr>
        <w:t xml:space="preserve"> declararse a instancia de parte, se entiende oída la contraria. Esta posibilidad tiene que ser consecuencia de una regla procesal elemental, según la cual todo lo que un tribunal puede hacer de oficio ha de poder hacerlo también a petición de parte, lo que significa que la petición será siempre una facultad de las partes</w:t>
      </w:r>
      <w:r>
        <w:rPr>
          <w:rStyle w:val="Refdenotaalpie"/>
          <w:szCs w:val="24"/>
        </w:rPr>
        <w:footnoteReference w:id="205"/>
      </w:r>
      <w:r w:rsidRPr="002212FB">
        <w:rPr>
          <w:szCs w:val="24"/>
        </w:rPr>
        <w:t>.</w:t>
      </w:r>
    </w:p>
    <w:p w14:paraId="2D9FCA92" w14:textId="77777777" w:rsidR="006F44C0" w:rsidRPr="006F2F3A" w:rsidRDefault="006F44C0" w:rsidP="002B2B15">
      <w:pPr>
        <w:spacing w:after="240"/>
        <w:rPr>
          <w:szCs w:val="24"/>
        </w:rPr>
      </w:pPr>
      <w:r>
        <w:rPr>
          <w:szCs w:val="24"/>
        </w:rPr>
        <w:t>Es resaltable el hecho de que se permita al tribunal declarar la nulidad de todas las actuaciones tanto de oficio como a instancia de parte. La única limitación que se le impone es que, e</w:t>
      </w:r>
      <w:r w:rsidRPr="006F2F3A">
        <w:rPr>
          <w:szCs w:val="24"/>
        </w:rPr>
        <w:t>n ningún caso podrá el tribunal, con ocasión de un recurso, decretar de oficio una nulidad de las actuaciones que no haya sido solicitada en dicho recurso</w:t>
      </w:r>
      <w:r>
        <w:rPr>
          <w:szCs w:val="24"/>
        </w:rPr>
        <w:t xml:space="preserve">. La única excepción son los casos en que se pudiese apreciar </w:t>
      </w:r>
      <w:r w:rsidRPr="006F2F3A">
        <w:rPr>
          <w:szCs w:val="24"/>
        </w:rPr>
        <w:t xml:space="preserve">falta de jurisdicción o de competencia objetiva o funcional o </w:t>
      </w:r>
      <w:r>
        <w:rPr>
          <w:szCs w:val="24"/>
        </w:rPr>
        <w:t xml:space="preserve">en el caso de que </w:t>
      </w:r>
      <w:r w:rsidRPr="006F2F3A">
        <w:rPr>
          <w:szCs w:val="24"/>
        </w:rPr>
        <w:t>se hubiese producido violencia o intimidación que afecta</w:t>
      </w:r>
      <w:r>
        <w:rPr>
          <w:szCs w:val="24"/>
        </w:rPr>
        <w:t>s</w:t>
      </w:r>
      <w:r w:rsidRPr="006F2F3A">
        <w:rPr>
          <w:szCs w:val="24"/>
        </w:rPr>
        <w:t>e a ese tribunal.</w:t>
      </w:r>
    </w:p>
    <w:p w14:paraId="662B147C" w14:textId="77777777" w:rsidR="006F44C0" w:rsidRPr="006F2F3A" w:rsidRDefault="006F44C0" w:rsidP="002B2B15">
      <w:pPr>
        <w:spacing w:after="240"/>
        <w:rPr>
          <w:szCs w:val="24"/>
        </w:rPr>
      </w:pPr>
      <w:r>
        <w:rPr>
          <w:szCs w:val="24"/>
        </w:rPr>
        <w:t>La LOPJ dedica un art. propio, el 239, para los casos en los que el acto se hubiese producido</w:t>
      </w:r>
      <w:r w:rsidRPr="006F2F3A">
        <w:rPr>
          <w:szCs w:val="24"/>
        </w:rPr>
        <w:t xml:space="preserve"> bajo violencia o intimidación</w:t>
      </w:r>
      <w:r>
        <w:rPr>
          <w:szCs w:val="24"/>
        </w:rPr>
        <w:t>. De</w:t>
      </w:r>
      <w:r w:rsidRPr="006F2F3A">
        <w:rPr>
          <w:szCs w:val="24"/>
        </w:rPr>
        <w:t>pendiendo de si la misma h</w:t>
      </w:r>
      <w:r>
        <w:rPr>
          <w:szCs w:val="24"/>
        </w:rPr>
        <w:t>ubiera</w:t>
      </w:r>
      <w:r w:rsidRPr="006F2F3A">
        <w:rPr>
          <w:szCs w:val="24"/>
        </w:rPr>
        <w:t xml:space="preserve"> sido ejercida frente al Tribunal o frente alguna de las partes o intervinientes en el proceso, se procederá de diferente manera:</w:t>
      </w:r>
    </w:p>
    <w:p w14:paraId="1DBDC3E6" w14:textId="77777777" w:rsidR="006F44C0" w:rsidRPr="006F2F3A" w:rsidRDefault="006F44C0" w:rsidP="002B2B15">
      <w:pPr>
        <w:spacing w:after="240"/>
        <w:rPr>
          <w:szCs w:val="24"/>
        </w:rPr>
      </w:pPr>
      <w:r>
        <w:rPr>
          <w:szCs w:val="24"/>
        </w:rPr>
        <w:t xml:space="preserve">En los casos de que los tribunales hubieran actuado bajo </w:t>
      </w:r>
      <w:r w:rsidRPr="006F2F3A">
        <w:rPr>
          <w:szCs w:val="24"/>
        </w:rPr>
        <w:t xml:space="preserve">intimidación o violencia, </w:t>
      </w:r>
      <w:r>
        <w:rPr>
          <w:szCs w:val="24"/>
        </w:rPr>
        <w:t xml:space="preserve">declararán </w:t>
      </w:r>
      <w:r w:rsidRPr="006F2F3A">
        <w:rPr>
          <w:szCs w:val="24"/>
        </w:rPr>
        <w:t xml:space="preserve">nulo todo </w:t>
      </w:r>
      <w:r>
        <w:rPr>
          <w:szCs w:val="24"/>
        </w:rPr>
        <w:t>act</w:t>
      </w:r>
      <w:r w:rsidRPr="006F2F3A">
        <w:rPr>
          <w:szCs w:val="24"/>
        </w:rPr>
        <w:t xml:space="preserve">o practicado y promoverán la formación de causa contra los culpables, poniendo los hechos en conocimiento del Ministerio Fiscal. </w:t>
      </w:r>
    </w:p>
    <w:p w14:paraId="141102C8" w14:textId="77777777" w:rsidR="006F44C0" w:rsidRPr="006F2F3A" w:rsidRDefault="006F44C0" w:rsidP="002B2B15">
      <w:pPr>
        <w:spacing w:after="240"/>
        <w:rPr>
          <w:szCs w:val="24"/>
        </w:rPr>
      </w:pPr>
      <w:r>
        <w:rPr>
          <w:szCs w:val="24"/>
        </w:rPr>
        <w:t xml:space="preserve">Cuando hayan sido las partes o cualquier persona que intervenga en el proceso las que hayan realizado sus actos </w:t>
      </w:r>
      <w:r w:rsidRPr="006F2F3A">
        <w:rPr>
          <w:szCs w:val="24"/>
        </w:rPr>
        <w:t xml:space="preserve">bajo intimidación o violencia, </w:t>
      </w:r>
      <w:r>
        <w:rPr>
          <w:szCs w:val="24"/>
        </w:rPr>
        <w:t>podrán acreditar estos hechos para que los mismos sean declarados nulos. Destaca la LOPJ que l</w:t>
      </w:r>
      <w:r w:rsidRPr="00BC2E8C">
        <w:rPr>
          <w:szCs w:val="24"/>
        </w:rPr>
        <w:t>a nulidad de estos actos entrañará la de todos los demás relacionados con él o que pudieren haberse visto condicionados o influidos sustancialmente por el acto nulo</w:t>
      </w:r>
      <w:r>
        <w:rPr>
          <w:szCs w:val="24"/>
        </w:rPr>
        <w:t>.</w:t>
      </w:r>
    </w:p>
    <w:p w14:paraId="6BA47D48" w14:textId="77777777" w:rsidR="006F44C0" w:rsidRDefault="006F44C0" w:rsidP="002B2B15">
      <w:pPr>
        <w:pStyle w:val="Ttulo4"/>
      </w:pPr>
      <w:bookmarkStart w:id="460" w:name="_Toc37373870"/>
      <w:bookmarkStart w:id="461" w:name="_Toc49423670"/>
      <w:bookmarkStart w:id="462" w:name="_Toc49708602"/>
      <w:bookmarkStart w:id="463" w:name="_Toc49866542"/>
      <w:r>
        <w:lastRenderedPageBreak/>
        <w:t>La n</w:t>
      </w:r>
      <w:r w:rsidRPr="006F5129">
        <w:t>ulidad extraordinaria</w:t>
      </w:r>
      <w:bookmarkEnd w:id="460"/>
      <w:bookmarkEnd w:id="461"/>
      <w:bookmarkEnd w:id="462"/>
      <w:bookmarkEnd w:id="463"/>
    </w:p>
    <w:p w14:paraId="20673010" w14:textId="77777777" w:rsidR="006F44C0" w:rsidRDefault="006F44C0" w:rsidP="002B2B15">
      <w:pPr>
        <w:spacing w:after="240"/>
        <w:rPr>
          <w:szCs w:val="24"/>
        </w:rPr>
      </w:pPr>
      <w:r w:rsidRPr="006F5129">
        <w:rPr>
          <w:szCs w:val="24"/>
        </w:rPr>
        <w:t>Cuando el proceso ha finalizado</w:t>
      </w:r>
      <w:r>
        <w:rPr>
          <w:szCs w:val="24"/>
        </w:rPr>
        <w:t xml:space="preserve">, encontramos </w:t>
      </w:r>
      <w:r w:rsidRPr="006F5129">
        <w:rPr>
          <w:szCs w:val="24"/>
        </w:rPr>
        <w:t xml:space="preserve">una posibilidad extraordinaria </w:t>
      </w:r>
      <w:r>
        <w:rPr>
          <w:szCs w:val="24"/>
        </w:rPr>
        <w:t>de declarar la nulidad, el</w:t>
      </w:r>
      <w:r w:rsidRPr="006F5129">
        <w:rPr>
          <w:szCs w:val="24"/>
        </w:rPr>
        <w:t xml:space="preserve"> llamado</w:t>
      </w:r>
      <w:r>
        <w:rPr>
          <w:szCs w:val="24"/>
        </w:rPr>
        <w:t>,</w:t>
      </w:r>
      <w:r w:rsidRPr="006F5129">
        <w:rPr>
          <w:szCs w:val="24"/>
        </w:rPr>
        <w:t xml:space="preserve"> incorrectamente</w:t>
      </w:r>
      <w:r>
        <w:rPr>
          <w:szCs w:val="24"/>
        </w:rPr>
        <w:t>,</w:t>
      </w:r>
      <w:r w:rsidRPr="006F5129">
        <w:rPr>
          <w:szCs w:val="24"/>
        </w:rPr>
        <w:t xml:space="preserve"> incidente de nulidad de actuaciones, del art. 241 LOPJ.</w:t>
      </w:r>
      <w:r>
        <w:rPr>
          <w:szCs w:val="24"/>
        </w:rPr>
        <w:t xml:space="preserve"> Lo estudiaremos a continuación. </w:t>
      </w:r>
    </w:p>
    <w:p w14:paraId="215378CB" w14:textId="77777777" w:rsidR="006F44C0" w:rsidRPr="00E77A8B" w:rsidRDefault="006F44C0" w:rsidP="002B2B15">
      <w:pPr>
        <w:pStyle w:val="Ttulo2"/>
      </w:pPr>
      <w:bookmarkStart w:id="464" w:name="_Toc37373871"/>
      <w:bookmarkStart w:id="465" w:name="_Toc49423671"/>
      <w:bookmarkStart w:id="466" w:name="_Toc49708603"/>
      <w:bookmarkStart w:id="467" w:name="_Toc49790283"/>
      <w:bookmarkStart w:id="468" w:name="_Toc49866543"/>
      <w:bookmarkStart w:id="469" w:name="_Toc50373174"/>
      <w:r w:rsidRPr="00E77A8B">
        <w:t>El incidente “excepcional” de nulidad de actuaciones (art. 241 LOPJ)</w:t>
      </w:r>
      <w:bookmarkEnd w:id="464"/>
      <w:bookmarkEnd w:id="465"/>
      <w:bookmarkEnd w:id="466"/>
      <w:bookmarkEnd w:id="467"/>
      <w:bookmarkEnd w:id="468"/>
      <w:bookmarkEnd w:id="469"/>
    </w:p>
    <w:p w14:paraId="1A4DBD5E" w14:textId="77777777" w:rsidR="006F44C0" w:rsidRDefault="006F44C0" w:rsidP="002B2B15">
      <w:pPr>
        <w:spacing w:after="240"/>
      </w:pPr>
      <w:r>
        <w:t xml:space="preserve">Hemos hecho referencia hasta ahora a la nulidad de actuaciones en un sentido más genérico para así comprender en qué momento procesal nos encontramos cuando hablamos del </w:t>
      </w:r>
      <w:r w:rsidRPr="00AA2FA8">
        <w:t>incidente “excepcional</w:t>
      </w:r>
      <w:r>
        <w:t xml:space="preserve">” de nulidad de actuaciones, siendo esta la figura que nos interesa en nuestro estudio. </w:t>
      </w:r>
    </w:p>
    <w:p w14:paraId="50C92847" w14:textId="3F9B0286" w:rsidR="002B2B15" w:rsidRPr="002B2B15" w:rsidRDefault="002B2B15" w:rsidP="002B2B15">
      <w:pPr>
        <w:spacing w:after="240"/>
      </w:pPr>
      <w:r w:rsidRPr="002B2B15">
        <w:t>Primeramente</w:t>
      </w:r>
      <w:r w:rsidR="006F44C0" w:rsidRPr="002B2B15">
        <w:t xml:space="preserve">, debemos destacar que de ahora en adelante nos dedicaremos al estudio del incidente “excepcional” de nulidad de actuaciones. Debemos resaltar el término </w:t>
      </w:r>
      <w:r w:rsidR="006F44C0" w:rsidRPr="002B2B15">
        <w:rPr>
          <w:i/>
          <w:iCs/>
        </w:rPr>
        <w:t xml:space="preserve">excepcional </w:t>
      </w:r>
      <w:r>
        <w:t>por dos motivos</w:t>
      </w:r>
      <w:r w:rsidR="006F44C0" w:rsidRPr="002B2B15">
        <w:t xml:space="preserve">: el primero es para distinguirlo del incidente </w:t>
      </w:r>
      <w:r w:rsidR="006F44C0" w:rsidRPr="002B2B15">
        <w:rPr>
          <w:i/>
          <w:iCs/>
        </w:rPr>
        <w:t>común</w:t>
      </w:r>
      <w:r w:rsidR="006F44C0" w:rsidRPr="002B2B15">
        <w:t xml:space="preserve"> del art. 240.2 LOPJ; el segundo, para resaltar ese carácter “excepcional” que la propia LOPJ subraya. </w:t>
      </w:r>
    </w:p>
    <w:p w14:paraId="33668CC6" w14:textId="5C84EB33" w:rsidR="006F44C0" w:rsidRPr="00E77A8B" w:rsidRDefault="002B2B15" w:rsidP="002B2B15">
      <w:pPr>
        <w:spacing w:after="240"/>
      </w:pPr>
      <w:r w:rsidRPr="002B2B15">
        <w:t>E</w:t>
      </w:r>
      <w:r w:rsidR="006F44C0" w:rsidRPr="002B2B15">
        <w:t xml:space="preserve">s importante resaltar el hecho de que consideramos que la terminología no es del todo clara en este punto. Y es que hemos podido comprobar que las denominaciones de ambos incidentes </w:t>
      </w:r>
      <w:r w:rsidRPr="002B2B15">
        <w:t>inducen a</w:t>
      </w:r>
      <w:r w:rsidR="006F44C0" w:rsidRPr="002B2B15">
        <w:t xml:space="preserve"> error tras el estudio de las mismas. El incidente de nulidad de actuaciones del art. 240.2 LOPJ no suele </w:t>
      </w:r>
      <w:r w:rsidRPr="002B2B15">
        <w:t xml:space="preserve">ser </w:t>
      </w:r>
      <w:r w:rsidR="006F44C0" w:rsidRPr="002B2B15">
        <w:t>llamado con este nombre de manera generalizada. Por el contrario, el incidente “excepcional” de nulidad de actuaciones pocas veces es denominado como “excepcional” sino que suele ser llamado incidente de nulidad de actuaciones, sin más, induciendo al error con respecto al incidente del art. 240.2 LOPJ. Hecho que consideramos realmente importante ya que dificulta enormemente el estudio de ambas figuras. Es por este motivo, entre otros, por el que hemos considerado necesario el análisis de la nulidad de actuaciones antes de centrarnos en la figura del incidente “excepcional”. Asimismo, el estudio de ambas figuras permite apreciar coincidencias entre los principios que las rigen, las causas, etc., pues ambas tienen como objetivo evitar la vulneración de derechos o “</w:t>
      </w:r>
      <w:r w:rsidR="006F44C0" w:rsidRPr="002B2B15">
        <w:rPr>
          <w:i/>
          <w:iCs/>
        </w:rPr>
        <w:t xml:space="preserve">defectos de forma en los actos procesales que impliquen ausencia de los requisitos indispensables para alcanzar su fin o determinen efectiva </w:t>
      </w:r>
      <w:r w:rsidR="006F44C0" w:rsidRPr="002B2B15">
        <w:rPr>
          <w:i/>
          <w:iCs/>
        </w:rPr>
        <w:lastRenderedPageBreak/>
        <w:t>indefensión</w:t>
      </w:r>
      <w:r w:rsidR="006F44C0" w:rsidRPr="002B2B15">
        <w:t>”. De igual modo, ambos incidentes permiten la protección de los derechos fundamentales en la vía ordinaria (en el estudio de las causas de nulidad de pleno derecho hemos podido ver que muchas de ellas iban dirigidas a la protección de derechos fundamentales), hecho que no debemos olvidar ya que el incidente “excepcional”, aunque sea un medio específico para la protección de derechos fundamentales, no deja de ser un recurso extraordinario.</w:t>
      </w:r>
    </w:p>
    <w:p w14:paraId="003368AB" w14:textId="77777777" w:rsidR="006F44C0" w:rsidRDefault="006F44C0" w:rsidP="002B2B15">
      <w:pPr>
        <w:spacing w:after="240"/>
      </w:pPr>
      <w:r>
        <w:t>Nos centraremos principalmente en las consecuencias sobrevenidas tras la reforma de 2007. Y es que ésta causó una gran inseguridad jurídica, sobre todo, debido al desconocimiento acerca de cuál debía ser la</w:t>
      </w:r>
      <w:r w:rsidRPr="00A916D5">
        <w:t xml:space="preserve"> estrategia procesal efectiva para la defensa de los derechos fundamentales del justiciable</w:t>
      </w:r>
      <w:r>
        <w:t xml:space="preserve"> tras las modificaciones de estas dos figuras. Puede pensarse que esta duda está resuelta debido al tiempo transcurrido desde la reforma, pero la realidad es que aún a día de hoy, los operadores jurídicos siguen cometiendo errores debido a la falta de claridad en torno a los pasos a seguir en el proceso.</w:t>
      </w:r>
    </w:p>
    <w:p w14:paraId="4F430857" w14:textId="77777777" w:rsidR="006F44C0" w:rsidRDefault="006F44C0" w:rsidP="002B2B15">
      <w:pPr>
        <w:spacing w:after="240"/>
      </w:pPr>
      <w:r>
        <w:t xml:space="preserve">Es por ello que pretendemos arrojar luz sobre </w:t>
      </w:r>
      <w:r w:rsidRPr="00A916D5">
        <w:t xml:space="preserve">esa tarea de diseño de estrategias de litigio, </w:t>
      </w:r>
      <w:r>
        <w:t xml:space="preserve">intentando resolver aquellas </w:t>
      </w:r>
      <w:r w:rsidRPr="00A916D5">
        <w:t xml:space="preserve">cuestiones procesales </w:t>
      </w:r>
      <w:r>
        <w:t xml:space="preserve">referidas </w:t>
      </w:r>
      <w:r w:rsidRPr="00A916D5">
        <w:t xml:space="preserve">a la </w:t>
      </w:r>
      <w:r>
        <w:t xml:space="preserve">correcta </w:t>
      </w:r>
      <w:r w:rsidRPr="00A916D5">
        <w:t>interposición del incidente de nulidad</w:t>
      </w:r>
      <w:r>
        <w:t xml:space="preserve"> y</w:t>
      </w:r>
      <w:r w:rsidRPr="00A916D5">
        <w:t xml:space="preserve"> su instrumentalización para la restricción del acceso al Tribunal Constitucional por la vía del recurso de amparo. </w:t>
      </w:r>
      <w:r>
        <w:t xml:space="preserve">Intentaremos de este modo disminuir </w:t>
      </w:r>
      <w:r w:rsidRPr="00A916D5">
        <w:t>los riesgos de inadmisión del incidente de nulidad y</w:t>
      </w:r>
      <w:r>
        <w:t xml:space="preserve"> del posterior </w:t>
      </w:r>
      <w:r w:rsidRPr="00A916D5">
        <w:t>amparo constitucional.</w:t>
      </w:r>
    </w:p>
    <w:p w14:paraId="59A3CF7E" w14:textId="77777777" w:rsidR="006F44C0" w:rsidRDefault="006F44C0" w:rsidP="001A4310">
      <w:pPr>
        <w:pStyle w:val="Ttulo3"/>
        <w:numPr>
          <w:ilvl w:val="0"/>
          <w:numId w:val="57"/>
        </w:numPr>
      </w:pPr>
      <w:bookmarkStart w:id="470" w:name="_Toc37373872"/>
      <w:bookmarkStart w:id="471" w:name="_Toc49423672"/>
      <w:bookmarkStart w:id="472" w:name="_Toc49708604"/>
      <w:bookmarkStart w:id="473" w:name="_Toc49790284"/>
      <w:bookmarkStart w:id="474" w:name="_Toc49866544"/>
      <w:bookmarkStart w:id="475" w:name="_Toc50373175"/>
      <w:r>
        <w:t>Breve referencia a los antecedentes históricos</w:t>
      </w:r>
      <w:bookmarkEnd w:id="470"/>
      <w:bookmarkEnd w:id="471"/>
      <w:bookmarkEnd w:id="472"/>
      <w:bookmarkEnd w:id="473"/>
      <w:bookmarkEnd w:id="474"/>
      <w:bookmarkEnd w:id="475"/>
    </w:p>
    <w:p w14:paraId="7C5BED7C" w14:textId="77777777" w:rsidR="006F44C0" w:rsidRDefault="006F44C0" w:rsidP="002B2B15">
      <w:pPr>
        <w:spacing w:after="240"/>
      </w:pPr>
      <w:r w:rsidRPr="00985203">
        <w:t>La evolución normativa</w:t>
      </w:r>
      <w:r>
        <w:rPr>
          <w:rStyle w:val="Refdenotaalpie"/>
        </w:rPr>
        <w:footnoteReference w:id="206"/>
      </w:r>
      <w:r w:rsidRPr="00985203">
        <w:t xml:space="preserve"> del incidente </w:t>
      </w:r>
      <w:r>
        <w:t xml:space="preserve">es una muestra de las dudas que siempre ha suscitado esta figura. Se ha planteado en numerosas ocasiones la </w:t>
      </w:r>
      <w:r w:rsidRPr="00985203">
        <w:t>utilidad y la conveniencia de mantenerlo en el ordenamiento jurídico</w:t>
      </w:r>
      <w:r>
        <w:t xml:space="preserve">. Estas dudas </w:t>
      </w:r>
      <w:r w:rsidRPr="00985203">
        <w:t>han estado presentes casi desde que se incorporase a nuestro ordenamiento con la L</w:t>
      </w:r>
      <w:r>
        <w:t xml:space="preserve">EC </w:t>
      </w:r>
      <w:r w:rsidRPr="00985203">
        <w:t xml:space="preserve">1881. </w:t>
      </w:r>
    </w:p>
    <w:p w14:paraId="6DB2B0A5" w14:textId="77777777" w:rsidR="006F44C0" w:rsidRDefault="006F44C0" w:rsidP="002B2B15">
      <w:pPr>
        <w:spacing w:after="240"/>
      </w:pPr>
      <w:r>
        <w:t xml:space="preserve">Debido a su </w:t>
      </w:r>
      <w:r w:rsidRPr="00985203">
        <w:t xml:space="preserve">transformación jurisprudencial en un recurso extraordinario y </w:t>
      </w:r>
      <w:r>
        <w:t>al</w:t>
      </w:r>
      <w:r w:rsidRPr="00985203">
        <w:t xml:space="preserve"> abuso y utilización con efectos dilatorios</w:t>
      </w:r>
      <w:r>
        <w:t xml:space="preserve">, se produjo </w:t>
      </w:r>
      <w:r w:rsidRPr="00985203">
        <w:t xml:space="preserve">su supresión en 1984, subsumiéndose </w:t>
      </w:r>
      <w:r w:rsidRPr="00985203">
        <w:lastRenderedPageBreak/>
        <w:t>entonces en el sistema de recursos ordinarios todas las posibles nulidades</w:t>
      </w:r>
      <w:r>
        <w:t xml:space="preserve">. Fue de nuevo incorporado </w:t>
      </w:r>
      <w:r w:rsidRPr="00985203">
        <w:t>en la nueva redacción del art. 240 de la L</w:t>
      </w:r>
      <w:r>
        <w:t xml:space="preserve">O </w:t>
      </w:r>
      <w:r w:rsidRPr="00985203">
        <w:t>6/1985, de 1 de julio, del Poder Judicial</w:t>
      </w:r>
      <w:r>
        <w:t xml:space="preserve">. </w:t>
      </w:r>
    </w:p>
    <w:p w14:paraId="7B2F9ADB" w14:textId="77777777" w:rsidR="006F44C0" w:rsidRDefault="006F44C0" w:rsidP="002B2B15">
      <w:pPr>
        <w:spacing w:after="240"/>
      </w:pPr>
      <w:r>
        <w:t xml:space="preserve">Posteriormente, fue de nuevo modificado </w:t>
      </w:r>
      <w:r w:rsidRPr="009954F9">
        <w:t xml:space="preserve">mediante la LO 5/1997, como consecuencia de la doctrina sentada por el TC en la STC 185/1990, de 15 de noviembre. Esta sentencia manifestó la necesidad de que el poder legislativo regulara adecuadamente el incidente de nulidad introduciendo la posibilidad de que el propio Juez que hubiera dictado la sentencia definitiva o firme pudiera anularla en determinados casos muy excepcionales. De esta forma se remarcaba el carácter </w:t>
      </w:r>
      <w:r w:rsidRPr="00097136">
        <w:t>excepcional</w:t>
      </w:r>
      <w:r w:rsidRPr="009954F9">
        <w:t xml:space="preserve"> del recurso de amparo, </w:t>
      </w:r>
      <w:r>
        <w:t xml:space="preserve">así como su condición de recurso extraordinario y subsidiario. </w:t>
      </w:r>
      <w:r w:rsidRPr="009954F9">
        <w:t xml:space="preserve">Todo esto, con el objetivo de solventar el uso abusivo </w:t>
      </w:r>
      <w:r>
        <w:t>que se venía haciendo del mismo</w:t>
      </w:r>
      <w:r w:rsidRPr="009954F9">
        <w:t xml:space="preserve"> al haberse convertido en el ordinario cauce de declaración de nulidad de los defectos procesales.</w:t>
      </w:r>
    </w:p>
    <w:p w14:paraId="6C54B991" w14:textId="0D938CA3" w:rsidR="006F44C0" w:rsidRDefault="006F44C0" w:rsidP="002B2B15">
      <w:pPr>
        <w:spacing w:after="240"/>
      </w:pPr>
      <w:r>
        <w:t>L</w:t>
      </w:r>
      <w:r w:rsidRPr="00CD02F0">
        <w:t xml:space="preserve">a </w:t>
      </w:r>
      <w:r>
        <w:t xml:space="preserve">LEC </w:t>
      </w:r>
      <w:r w:rsidRPr="00CD02F0">
        <w:t xml:space="preserve">1/2000, de 7 de enero, lo incorporó en su art. 228, pero </w:t>
      </w:r>
      <w:r>
        <w:t>no incluyó</w:t>
      </w:r>
      <w:r w:rsidRPr="00CD02F0">
        <w:t xml:space="preserve"> la posibilidad de solicitar por esta vía la nulidad por incongruencia del fallo</w:t>
      </w:r>
      <w:r>
        <w:t xml:space="preserve">. Por su </w:t>
      </w:r>
      <w:r w:rsidR="002B2B15">
        <w:t xml:space="preserve">parte, </w:t>
      </w:r>
      <w:r w:rsidR="002B2B15" w:rsidRPr="00CD02F0">
        <w:t>la</w:t>
      </w:r>
      <w:r w:rsidRPr="00CD02F0">
        <w:t xml:space="preserve"> LO 19/2003, de 23 de diciembre, de modificación de la LOPJ</w:t>
      </w:r>
      <w:r>
        <w:t>, sí incluyó esta posibilidad. Lógicamente, esto supuso durante varios años un arduo</w:t>
      </w:r>
      <w:r w:rsidRPr="00C5737B">
        <w:t xml:space="preserve"> debate </w:t>
      </w:r>
      <w:r>
        <w:t xml:space="preserve">acerca de la regulación que debía ser aplicada. </w:t>
      </w:r>
    </w:p>
    <w:p w14:paraId="095FF32E" w14:textId="77777777" w:rsidR="006F44C0" w:rsidRDefault="006F44C0" w:rsidP="002B2B15">
      <w:pPr>
        <w:pStyle w:val="Ttulo3"/>
      </w:pPr>
      <w:bookmarkStart w:id="477" w:name="_Toc37373873"/>
      <w:bookmarkStart w:id="478" w:name="_Toc49423673"/>
      <w:bookmarkStart w:id="479" w:name="_Toc49708605"/>
      <w:bookmarkStart w:id="480" w:name="_Toc49790285"/>
      <w:bookmarkStart w:id="481" w:name="_Toc49866545"/>
      <w:bookmarkStart w:id="482" w:name="_Toc50373176"/>
      <w:r>
        <w:t>R</w:t>
      </w:r>
      <w:r w:rsidRPr="00AB0E59">
        <w:t>egulación legal actual del incidente "excepcional" de nulidad de actuaciones</w:t>
      </w:r>
      <w:bookmarkEnd w:id="477"/>
      <w:bookmarkEnd w:id="478"/>
      <w:bookmarkEnd w:id="479"/>
      <w:bookmarkEnd w:id="480"/>
      <w:bookmarkEnd w:id="481"/>
      <w:bookmarkEnd w:id="482"/>
    </w:p>
    <w:p w14:paraId="4100D6CC" w14:textId="77777777" w:rsidR="006F44C0" w:rsidRDefault="006F44C0" w:rsidP="002B2B15">
      <w:pPr>
        <w:spacing w:after="240"/>
      </w:pPr>
      <w:r>
        <w:t>E</w:t>
      </w:r>
      <w:r w:rsidRPr="009954F9">
        <w:t>l incidente excepcional de nulidad de actuaciones se regula actualmente en los artículos 228 de la LEC y 241 de la LOPJ con un contenido prácticamente idéntico</w:t>
      </w:r>
      <w:r>
        <w:rPr>
          <w:rStyle w:val="Refdenotaalpie"/>
        </w:rPr>
        <w:footnoteReference w:id="207"/>
      </w:r>
      <w:r>
        <w:t xml:space="preserve">, solventando así el problema anteriormente citado. </w:t>
      </w:r>
    </w:p>
    <w:p w14:paraId="583D1498" w14:textId="77777777" w:rsidR="006F44C0" w:rsidRDefault="006F44C0" w:rsidP="002B2B15">
      <w:pPr>
        <w:spacing w:after="240"/>
      </w:pPr>
      <w:r>
        <w:t>Tras todos estos vaivenes en su regulación legal, e</w:t>
      </w:r>
      <w:r w:rsidRPr="00C5737B">
        <w:t xml:space="preserve">l incidente se articuló </w:t>
      </w:r>
      <w:r>
        <w:t xml:space="preserve">finalmente </w:t>
      </w:r>
      <w:r w:rsidRPr="00C5737B">
        <w:t xml:space="preserve">como </w:t>
      </w:r>
      <w:r>
        <w:t>un “</w:t>
      </w:r>
      <w:r w:rsidRPr="007216CE">
        <w:rPr>
          <w:i/>
          <w:iCs/>
        </w:rPr>
        <w:t xml:space="preserve">cauce procesal destinado a posibilitar la subsanación de efectos procesales causantes de nulidad cuando ya no tuvieran cabida recursos ordinarios ni extraordinarios, y ello con independencia de la condición que se le quisiera atribuir como proceso o acción autónoma para la rescisión de sentencias firmes, incidente especial de </w:t>
      </w:r>
      <w:r w:rsidRPr="007216CE">
        <w:rPr>
          <w:i/>
          <w:iCs/>
        </w:rPr>
        <w:lastRenderedPageBreak/>
        <w:t>contenido constitucional o incidente en el sentido procesal más estricto, e incluso como recurso jurisdicciona</w:t>
      </w:r>
      <w:r w:rsidRPr="00C5737B">
        <w:t>l</w:t>
      </w:r>
      <w:r>
        <w:t>”</w:t>
      </w:r>
      <w:r>
        <w:rPr>
          <w:rStyle w:val="Refdenotaalpie"/>
        </w:rPr>
        <w:footnoteReference w:id="208"/>
      </w:r>
      <w:r>
        <w:t>.</w:t>
      </w:r>
    </w:p>
    <w:p w14:paraId="3A4BE5CF" w14:textId="78C67E12" w:rsidR="006F44C0" w:rsidRDefault="006F44C0" w:rsidP="002B2B15">
      <w:pPr>
        <w:spacing w:after="240"/>
      </w:pPr>
      <w:r>
        <w:t xml:space="preserve">Sin embargo, este entendimiento del incidente cambió con la ya citada reforma de 2007. Ésta </w:t>
      </w:r>
      <w:r w:rsidRPr="002C345F">
        <w:t>es la que ha dibujado el actual marco normativo sobre la nulidad en nuestro sistema procesal, con la modificación del párrafo 1.º del art. 241 LOPJ</w:t>
      </w:r>
      <w:r>
        <w:t xml:space="preserve"> </w:t>
      </w:r>
      <w:r w:rsidR="007B7556">
        <w:t>que amplió</w:t>
      </w:r>
      <w:r>
        <w:t xml:space="preserve"> </w:t>
      </w:r>
      <w:r w:rsidRPr="009954F9">
        <w:t xml:space="preserve">el ámbito del incidente excepcional de nulidad de actuaciones, al posibilitar que la nulidad pudiera fundamentarse no solo en situaciones de indefensión, sino en cualquier vulneración de un derecho fundamental de los referidos en el artículo 53.2 de la Constitución. </w:t>
      </w:r>
      <w:r>
        <w:t xml:space="preserve">De esta forma, </w:t>
      </w:r>
      <w:r w:rsidRPr="00ED3766">
        <w:t xml:space="preserve">el incidente “excepcional” de nulidad de actuaciones pasó a tener un mayor protagonismo en nuestro sistema. </w:t>
      </w:r>
    </w:p>
    <w:p w14:paraId="0CBC00D5" w14:textId="77777777" w:rsidR="006F44C0" w:rsidRDefault="006F44C0" w:rsidP="002B2B15">
      <w:pPr>
        <w:spacing w:after="240"/>
        <w:rPr>
          <w:i/>
          <w:iCs/>
        </w:rPr>
      </w:pPr>
      <w:r w:rsidRPr="00ED3766">
        <w:t xml:space="preserve">En palabras del propio TC en su </w:t>
      </w:r>
      <w:r w:rsidRPr="00097136">
        <w:t>sentencia</w:t>
      </w:r>
      <w:r w:rsidRPr="00ED3766">
        <w:t xml:space="preserve"> 187/2012, del 29 de </w:t>
      </w:r>
      <w:r>
        <w:t>o</w:t>
      </w:r>
      <w:r w:rsidRPr="00ED3766">
        <w:t>ctubre</w:t>
      </w:r>
      <w:r>
        <w:t xml:space="preserve">, FJ 9, </w:t>
      </w:r>
      <w:r w:rsidRPr="00ED3766">
        <w:t xml:space="preserve"> </w:t>
      </w:r>
      <w:r w:rsidRPr="00ED3766">
        <w:rPr>
          <w:i/>
          <w:iCs/>
        </w:rPr>
        <w:t>«tras la reforma operada en la regulación del citado incidente por la Ley Orgánica del Tribunal Constitucional 6/2007, de 24 de mayo, éste se incardina en el sistema de garantías de los derechos fundamentales ( STC 43/2010, de 26 de julio ), con la finalidad de agotar la vía jurisdiccional previa al recurso de amparo, dando ocasión al órgano judicial para reparar las vulneraciones de los derechos que se cometan en resoluciones frente a las que no quepa recurso, sin que de su inadmisión o desestimación se derive, por regla general, vulneración autónoma de los mismos ( SSTC 107/2011, de 20 de junio, FJ 1 ; y 25/2012, de 27 de febrero , FJ 5, y ATC 124/2010, de 4 de octubre , FJ 2).»</w:t>
      </w:r>
    </w:p>
    <w:p w14:paraId="23789B8F" w14:textId="56A9EA08" w:rsidR="006F44C0" w:rsidRDefault="002B2B15" w:rsidP="002B2B15">
      <w:pPr>
        <w:spacing w:after="240"/>
      </w:pPr>
      <w:r>
        <w:t>Asimismo, afirmó</w:t>
      </w:r>
      <w:r w:rsidR="006F44C0">
        <w:t xml:space="preserve"> en </w:t>
      </w:r>
      <w:r>
        <w:t>su STC</w:t>
      </w:r>
      <w:r w:rsidR="006F44C0">
        <w:t xml:space="preserve"> 153/2012, de 16 de julio, FJ 3, que </w:t>
      </w:r>
      <w:r w:rsidR="006F44C0" w:rsidRPr="00F40088">
        <w:rPr>
          <w:i/>
          <w:iCs/>
        </w:rPr>
        <w:t>“el incidente de nulidad de actuaciones asume, tras la configuración del nuevo amparo constitucional, una función esencial de tutela y defensa de los derechos fundamentales que puede y debe ser controlada por este Tribunal cuando las hipotéticas lesiones autónomas que en él se produzcan tengan “especial trascendencia constitucional”.</w:t>
      </w:r>
    </w:p>
    <w:p w14:paraId="64F48EEB" w14:textId="77777777" w:rsidR="006F44C0" w:rsidRDefault="006F44C0" w:rsidP="002B2B15">
      <w:pPr>
        <w:spacing w:after="240"/>
      </w:pPr>
      <w:r>
        <w:t xml:space="preserve">Parece, por tanto, que no debemos considerar al incidente excepcional de nulidad como un mero trámite formal previo al amparo constitucional sino que, por el contrario, debe ser tratado como un verdadero instrumento procesal que, en la vía de la jurisdicción ordinaria, podrá remediar aquellas lesiones de derechos fundamentales que no hayan </w:t>
      </w:r>
      <w:r w:rsidRPr="00F40088">
        <w:rPr>
          <w:i/>
          <w:iCs/>
        </w:rPr>
        <w:lastRenderedPageBreak/>
        <w:t>“podido denunciarse antes de recaer resolución que ponga fin al proceso y siempre que dicha resolución no sea susceptible de recurso ordinario ni extraordinario”</w:t>
      </w:r>
      <w:r>
        <w:t xml:space="preserve"> (art. 241.1 LOPJ). </w:t>
      </w:r>
    </w:p>
    <w:p w14:paraId="151BC2A3" w14:textId="77777777" w:rsidR="006F44C0" w:rsidRDefault="006F44C0" w:rsidP="002B2B15">
      <w:pPr>
        <w:spacing w:after="240"/>
      </w:pPr>
      <w:r>
        <w:t>Nuevamente, en palabras del TC en la citada Sentencia, “</w:t>
      </w:r>
      <w:r w:rsidRPr="00851377">
        <w:rPr>
          <w:i/>
          <w:iCs/>
        </w:rPr>
        <w:t>el incidente de nulidad de actuaciones sirve, como así ha querido el legislador orgánico, para reparar aquellas lesiones de cualquier derecho fundamental que no puedan serlo a través de los recursos ordinarios o extraordinarios previstos por la ley; su función en materia de tutela de derechos es, por tanto, la misma, en el ámbito de aplicación que le otorga el art. 241.1 LOPJ, que la realizada como consecuencia de la interposición de un recurso ordinario o extraordinario y como tal debe ser atendida por los órganos judiciales</w:t>
      </w:r>
      <w:r>
        <w:t>”</w:t>
      </w:r>
      <w:r w:rsidRPr="00851377">
        <w:t>.</w:t>
      </w:r>
    </w:p>
    <w:p w14:paraId="6506A4F4" w14:textId="77777777" w:rsidR="006F44C0" w:rsidRDefault="006F44C0" w:rsidP="002B2B15">
      <w:pPr>
        <w:spacing w:after="240"/>
      </w:pPr>
      <w:r>
        <w:t>Destacar dos cuestiones en este punto. Por una parte, pese a que esta figura haya intentado “equilibrar” las balanzas al dar un plus de protección a los derechos fundamentales en vía ordinaria dada la dificultad que conlleva acceder al amparo constitucional tras la reforma, sigue sucediendo que, una deficiente protección de los derechos denunciados por parte del órgano judicial los dejará sin ningún tipo de protección en aquellos casos en los que las vulneraciones en las que supuestamente incurriera la resolución impugnada, a través del incidente de nulidad de actuaciones, carecieran de trascendencia constitucional.</w:t>
      </w:r>
    </w:p>
    <w:p w14:paraId="4AF31841" w14:textId="77777777" w:rsidR="006F44C0" w:rsidRDefault="006F44C0" w:rsidP="002B2B15">
      <w:pPr>
        <w:spacing w:after="240"/>
      </w:pPr>
      <w:r>
        <w:t>Por otra parte, resulta curioso el hecho de que e</w:t>
      </w:r>
      <w:r w:rsidRPr="00625A8D">
        <w:t>l art</w:t>
      </w:r>
      <w:r>
        <w:t>.</w:t>
      </w:r>
      <w:r w:rsidRPr="00625A8D">
        <w:t xml:space="preserve"> 241 de la LOPJ </w:t>
      </w:r>
      <w:r>
        <w:t>declare</w:t>
      </w:r>
      <w:r w:rsidRPr="00625A8D">
        <w:t xml:space="preserve"> de manera tajante el carácter extraordinario </w:t>
      </w:r>
      <w:r>
        <w:t xml:space="preserve">y </w:t>
      </w:r>
      <w:r w:rsidRPr="00625A8D">
        <w:t>excepcional del incidente de nulidad de actuaciones, hasta tal punto que el legislador adviert</w:t>
      </w:r>
      <w:r>
        <w:t>a</w:t>
      </w:r>
      <w:r w:rsidRPr="00625A8D">
        <w:t xml:space="preserve"> que </w:t>
      </w:r>
      <w:r>
        <w:t xml:space="preserve">éstos </w:t>
      </w:r>
      <w:r w:rsidRPr="00625A8D">
        <w:t xml:space="preserve">no se admitirán con carácter general. </w:t>
      </w:r>
      <w:r>
        <w:t>Es decir, el legislador advierte como norma general su no admisión, pero el TC en su jurisprudencia y la propia Exposición de Motivos de la LO 6/2007 disponen que mediante esta nueva vía el incidente de excepcional de nulidad de actuaciones pasa a ser un elemento indispensable para la tutela de los derechos fundamentales.</w:t>
      </w:r>
    </w:p>
    <w:p w14:paraId="6AF659DD" w14:textId="77777777" w:rsidR="006F44C0" w:rsidRDefault="006F44C0" w:rsidP="002B2B15">
      <w:pPr>
        <w:pStyle w:val="Ttulo3"/>
      </w:pPr>
      <w:bookmarkStart w:id="484" w:name="_Toc22634789"/>
      <w:bookmarkStart w:id="485" w:name="_Toc24654138"/>
      <w:bookmarkStart w:id="486" w:name="_Toc37373874"/>
      <w:bookmarkStart w:id="487" w:name="_Toc49423674"/>
      <w:bookmarkStart w:id="488" w:name="_Toc49708606"/>
      <w:bookmarkStart w:id="489" w:name="_Toc49790286"/>
      <w:bookmarkStart w:id="490" w:name="_Toc49866546"/>
      <w:bookmarkStart w:id="491" w:name="_Toc50373177"/>
      <w:r>
        <w:t>Principios que rigen el incidente “excepcional” de nulidad de actuaciones</w:t>
      </w:r>
      <w:bookmarkEnd w:id="484"/>
      <w:bookmarkEnd w:id="485"/>
      <w:bookmarkEnd w:id="486"/>
      <w:bookmarkEnd w:id="487"/>
      <w:bookmarkEnd w:id="488"/>
      <w:bookmarkEnd w:id="489"/>
      <w:bookmarkEnd w:id="490"/>
      <w:bookmarkEnd w:id="491"/>
    </w:p>
    <w:p w14:paraId="07E274D7" w14:textId="77777777" w:rsidR="006F44C0" w:rsidRPr="00742AEE" w:rsidRDefault="006F44C0" w:rsidP="002B2B15">
      <w:pPr>
        <w:spacing w:after="240"/>
      </w:pPr>
      <w:r w:rsidRPr="00742AEE">
        <w:t>Los principios que inspiran la regulación del incidente excepcional de nulidad de actuaciones en la L</w:t>
      </w:r>
      <w:r>
        <w:t>OPJ y</w:t>
      </w:r>
      <w:r w:rsidRPr="00742AEE">
        <w:t xml:space="preserve"> en la L</w:t>
      </w:r>
      <w:r>
        <w:t xml:space="preserve">EC </w:t>
      </w:r>
      <w:r w:rsidRPr="00742AEE">
        <w:t>son los siguientes:</w:t>
      </w:r>
    </w:p>
    <w:p w14:paraId="15A911D5" w14:textId="77777777" w:rsidR="006F44C0" w:rsidRDefault="006F44C0" w:rsidP="001A4310">
      <w:pPr>
        <w:pStyle w:val="Ttulo4"/>
        <w:numPr>
          <w:ilvl w:val="0"/>
          <w:numId w:val="58"/>
        </w:numPr>
      </w:pPr>
      <w:bookmarkStart w:id="492" w:name="_Toc37373875"/>
      <w:bookmarkStart w:id="493" w:name="_Toc49423675"/>
      <w:bookmarkStart w:id="494" w:name="_Toc49708607"/>
      <w:bookmarkStart w:id="495" w:name="_Toc49866547"/>
      <w:r>
        <w:lastRenderedPageBreak/>
        <w:t>A</w:t>
      </w:r>
      <w:r w:rsidRPr="00742AEE">
        <w:t>bsorción de la nulidad de actuaciones en el sistema de recursos</w:t>
      </w:r>
      <w:bookmarkEnd w:id="492"/>
      <w:bookmarkEnd w:id="493"/>
      <w:bookmarkEnd w:id="494"/>
      <w:bookmarkEnd w:id="495"/>
    </w:p>
    <w:p w14:paraId="121DD4ED" w14:textId="77777777" w:rsidR="006F44C0" w:rsidRDefault="006F44C0" w:rsidP="002B2B15">
      <w:pPr>
        <w:spacing w:after="240"/>
      </w:pPr>
      <w:r w:rsidRPr="00742AEE">
        <w:t xml:space="preserve">Con la reforma de la LEC 1881 por la Ley 34/1984, se superó de manera definitiva el incidente de nulidad de actuaciones que venía regulado en el artículo 742 de la LEC de 1881, el cual había supuesto unas enormes consecuencias dilatorias en los pleitos civiles, debido a que su tramitación quedaba paralizada durante años mediante el planteamiento del incidente de nulidad, en ocasiones debido a su uso abusivo. Con la entrada en vigor de la LOPJ de 1985 se introdujo una novedosa regulación del incidente más simple, en lo que a trámites se refiere.  Un ejemplo de ello era la ausencia de obstaculización de la tramitación del procedimiento principal.  </w:t>
      </w:r>
    </w:p>
    <w:p w14:paraId="1D7E3296" w14:textId="77777777" w:rsidR="006F44C0" w:rsidRPr="002933C4" w:rsidRDefault="006F44C0" w:rsidP="002B2B15">
      <w:pPr>
        <w:spacing w:after="240"/>
      </w:pPr>
      <w:r w:rsidRPr="00742AEE">
        <w:t>No debemos olvidar que el incidente de nulidad es un recurso subsidiario ya que, según establecen los artículos 240.1 LOPJ y 227.1 de la LEC, “</w:t>
      </w:r>
      <w:r w:rsidRPr="006435E1">
        <w:rPr>
          <w:i/>
        </w:rPr>
        <w:t>la nulidad de los actos procesales debe hacerse valer siempre y en todo caso, sin excepciones, a través de los recursos legalmente establecidos o por los medios que establezcan las leyes procesales</w:t>
      </w:r>
      <w:r w:rsidRPr="00742AEE">
        <w:t>”, y “</w:t>
      </w:r>
      <w:r w:rsidRPr="006435E1">
        <w:rPr>
          <w:i/>
        </w:rPr>
        <w:t>solo cuando no sea posible, acceder a dichos medios de impugnación, a través del incidente de nulidad, que tiene carácter subsidiario, y del que a su vez es subsidiario el recurso de amparo</w:t>
      </w:r>
      <w:r w:rsidRPr="00742AEE">
        <w:t>”. Podemos ver (y así lo veremos en el siguiente apartado) cómo muchas sentencias de nuestro TC exigen el agotamiento previo del sistema de recursos o, en su defecto, el planteamiento previo del incidente de nulidad de actuaciones como requisito ineludible para acceder al recurso de amparo, dado su carácter subsidiario.</w:t>
      </w:r>
    </w:p>
    <w:p w14:paraId="0D675799" w14:textId="77777777" w:rsidR="006F44C0" w:rsidRDefault="006F44C0" w:rsidP="002B2B15">
      <w:pPr>
        <w:pStyle w:val="Ttulo4"/>
      </w:pPr>
      <w:bookmarkStart w:id="496" w:name="_Toc37373876"/>
      <w:bookmarkStart w:id="497" w:name="_Toc49423676"/>
      <w:bookmarkStart w:id="498" w:name="_Toc49708608"/>
      <w:bookmarkStart w:id="499" w:name="_Toc49866548"/>
      <w:r>
        <w:t>N</w:t>
      </w:r>
      <w:r w:rsidRPr="002933C4">
        <w:t>ecesidad de que el vicio o defecto procesal tenga relevancia constitucional</w:t>
      </w:r>
      <w:bookmarkEnd w:id="496"/>
      <w:bookmarkEnd w:id="497"/>
      <w:bookmarkEnd w:id="498"/>
      <w:bookmarkEnd w:id="499"/>
    </w:p>
    <w:p w14:paraId="50983769" w14:textId="77777777" w:rsidR="006F44C0" w:rsidRPr="007E2311" w:rsidRDefault="006F44C0" w:rsidP="002B2B15">
      <w:pPr>
        <w:spacing w:after="240"/>
        <w:rPr>
          <w:color w:val="FF0000"/>
        </w:rPr>
      </w:pPr>
      <w:r w:rsidRPr="002933C4">
        <w:t xml:space="preserve">Es importante en este punto el hecho de que la regulación del incidente de nulidad de actuaciones sigue la reiterada doctrina del TC en esta materia. Esta doctrina mantiene que, para que se pueda declarar la nulidad, es necesario que el defecto genere indefensión. Para que esta indefensión tenga validez es necesario que sea material, es decir, real o </w:t>
      </w:r>
      <w:r w:rsidRPr="00742AEE">
        <w:t xml:space="preserve">efectiva, por lo que no serviría la meramente formal. Debe tratarse, por tanto, de un perjuicio real y efectivo en las posibilidades de defensa y no de una mera irregularidad procesal formal, con consecuencias tan sólo potenciales o abstractas (SSTC 86/1997, 118/1997, 26/1999, 53/2003). No habría indefensión real o efectiva en los casos en que el interesado tenga conocimiento extraprocesal del asunto y, por su propia falta de diligencia, no se persone en la causa (STC 116/2000, de 5 de mayo; 300/2000, de 11 de </w:t>
      </w:r>
      <w:r w:rsidRPr="00742AEE">
        <w:lastRenderedPageBreak/>
        <w:t>diciembre; 161/2001, de 5 de julio). Esta exigencia de indefensión como presupuesto de la declaración de nulidad se declara expresamente en los artículos 238.3, 240.1 y 241.1 LOPJ, aunque este último, tras la reforma de 2007, se refiere genéricamente a los derechos fundamentales referidos en el artículo 53.2 CE; y sus homólogos artículos 227.1 y 228.1 de la LEC.</w:t>
      </w:r>
    </w:p>
    <w:p w14:paraId="7A92A523" w14:textId="77777777" w:rsidR="006F44C0" w:rsidRDefault="006F44C0" w:rsidP="002B2B15">
      <w:pPr>
        <w:pStyle w:val="Ttulo4"/>
      </w:pPr>
      <w:bookmarkStart w:id="500" w:name="_Toc37373877"/>
      <w:bookmarkStart w:id="501" w:name="_Toc49423677"/>
      <w:bookmarkStart w:id="502" w:name="_Toc49708609"/>
      <w:bookmarkStart w:id="503" w:name="_Toc49866549"/>
      <w:r>
        <w:t>E</w:t>
      </w:r>
      <w:r w:rsidRPr="00742AEE">
        <w:t>conomía procesal</w:t>
      </w:r>
      <w:bookmarkEnd w:id="500"/>
      <w:bookmarkEnd w:id="501"/>
      <w:bookmarkEnd w:id="502"/>
      <w:bookmarkEnd w:id="503"/>
    </w:p>
    <w:p w14:paraId="66D6226E" w14:textId="77777777" w:rsidR="006F44C0" w:rsidRDefault="006F44C0" w:rsidP="002B2B15">
      <w:pPr>
        <w:spacing w:after="240"/>
      </w:pPr>
      <w:r>
        <w:t>E</w:t>
      </w:r>
      <w:r w:rsidRPr="00742AEE">
        <w:t xml:space="preserve">s otro de los principios que inspiran esta figura. Se divide en dos aspectos. Por un lado, la necesidad de proceder siempre a la subsanación del defecto, si existe la posibilidad, antes de acudir al incidente </w:t>
      </w:r>
      <w:r>
        <w:t xml:space="preserve">extraordinario </w:t>
      </w:r>
      <w:r w:rsidRPr="00742AEE">
        <w:t>de nulidad</w:t>
      </w:r>
      <w:r>
        <w:t xml:space="preserve"> de actuaciones</w:t>
      </w:r>
      <w:r w:rsidRPr="00742AEE">
        <w:t xml:space="preserve">; y, por otro lado, la conservación de los actos procesales ya realizados que no se vean afectados por el acto nulo. </w:t>
      </w:r>
      <w:r>
        <w:t>De estos principios ya hemos hablado anteriormente al hablar de la nulidad de actuaciones.</w:t>
      </w:r>
    </w:p>
    <w:p w14:paraId="3FF3B366" w14:textId="77777777" w:rsidR="006F44C0" w:rsidRDefault="006F44C0" w:rsidP="002B2B15">
      <w:pPr>
        <w:spacing w:after="240"/>
      </w:pPr>
      <w:r>
        <w:t xml:space="preserve">Es necesario mencionar en este punto la STC 43/2010, de 26 de julio, la cual dispuso que es absolutamente injustificable que un tribunal de la jurisdicción ordinaria inadmita a trámite o desestime un incidente de nulidad de actuaciones invocando el principio de economía procesal o la posibilidad de acudir a un posterior proceso declarativo ordinario para conseguir el resarcimiento por la vulneración de un derecho fundamental. Coincidimos en este punto con </w:t>
      </w:r>
      <w:r w:rsidRPr="00787C0C">
        <w:t>CHOZAS ALONSO</w:t>
      </w:r>
      <w:r>
        <w:t xml:space="preserve"> ya que nos parece muy correcta y clara la exigencia constitucional de una aplicación más amplia del incidente por parte de los órganos jurisdiccionales («amparo ordinario»), los cuales deben ser más flexibles tanto en la admisión como en la estimación de los mismos, para evitar así que los justiciables se vean obligados a acudir innecesariamente al recurso de amparo ante el TC</w:t>
      </w:r>
      <w:r>
        <w:rPr>
          <w:rStyle w:val="Refdenotaalpie"/>
        </w:rPr>
        <w:footnoteReference w:id="209"/>
      </w:r>
      <w:r>
        <w:t>.</w:t>
      </w:r>
    </w:p>
    <w:p w14:paraId="033616F1" w14:textId="77777777" w:rsidR="006F44C0" w:rsidRDefault="006F44C0" w:rsidP="002B2B15">
      <w:pPr>
        <w:pStyle w:val="Ttulo4"/>
      </w:pPr>
      <w:bookmarkStart w:id="504" w:name="_Toc37373878"/>
      <w:bookmarkStart w:id="505" w:name="_Toc49423678"/>
      <w:bookmarkStart w:id="506" w:name="_Toc49708610"/>
      <w:bookmarkStart w:id="507" w:name="_Toc49866550"/>
      <w:r>
        <w:t>Interposición de oficio y a instancia de parte del incidente</w:t>
      </w:r>
      <w:bookmarkEnd w:id="504"/>
      <w:bookmarkEnd w:id="505"/>
      <w:bookmarkEnd w:id="506"/>
      <w:bookmarkEnd w:id="507"/>
    </w:p>
    <w:p w14:paraId="4D1AC895" w14:textId="77777777" w:rsidR="006F44C0" w:rsidRPr="00742AEE" w:rsidRDefault="006F44C0" w:rsidP="002B2B15">
      <w:pPr>
        <w:spacing w:after="240"/>
      </w:pPr>
      <w:r w:rsidRPr="00742AEE">
        <w:t xml:space="preserve">La regulación de la LEC y la LOPJ ha pretendido potenciar el control por parte del Juez de la regularidad de los actos procesales posibilitando el planteamiento, incluso de oficio, </w:t>
      </w:r>
      <w:r w:rsidRPr="00742AEE">
        <w:lastRenderedPageBreak/>
        <w:t>del incidente de nulidad de actuaciones (arts. 227 LEC y 240.2 LOPJ). Sin embargo, se reserva la exclusividad a las partes (o a quienes hubieran debido serlo) de la iniciación del incidente excepcional de nulidad de actuaciones (art. 241 LOPJ y su 228 LEC), aunque en este caso cabría la posibilidad de que el Juez rechazara “a limine”, mediante simple providencia sucintamente motivada, contra la que no cabría recurso, cualquier incidente en el que se pretendiese suscitar otras cuestiones. Vemos, por tanto, un reforzamiento del protagonismo del Juez en cuanto al control de la validez de los actos procesales.</w:t>
      </w:r>
    </w:p>
    <w:p w14:paraId="178DDC58" w14:textId="77777777" w:rsidR="006F44C0" w:rsidRDefault="006F44C0" w:rsidP="002B2B15">
      <w:pPr>
        <w:pStyle w:val="Ttulo4"/>
      </w:pPr>
      <w:bookmarkStart w:id="508" w:name="_Toc37373879"/>
      <w:bookmarkStart w:id="509" w:name="_Toc49423679"/>
      <w:bookmarkStart w:id="510" w:name="_Toc49708611"/>
      <w:bookmarkStart w:id="511" w:name="_Toc49866551"/>
      <w:r>
        <w:t>Si</w:t>
      </w:r>
      <w:r w:rsidRPr="00742AEE">
        <w:t>mplicidad procedimental y la limitación del sistema de recursos</w:t>
      </w:r>
      <w:bookmarkEnd w:id="508"/>
      <w:bookmarkEnd w:id="509"/>
      <w:bookmarkEnd w:id="510"/>
      <w:bookmarkEnd w:id="511"/>
    </w:p>
    <w:p w14:paraId="384AC8C7" w14:textId="77777777" w:rsidR="006F44C0" w:rsidRPr="00742AEE" w:rsidRDefault="006F44C0" w:rsidP="002B2B15">
      <w:pPr>
        <w:spacing w:after="240"/>
      </w:pPr>
      <w:r w:rsidRPr="00742AEE">
        <w:t>El legislador siempre ha pretendido, especialmente en los últimos años, que la subsanación de los vicios o defectos procesales se lleve a cabo con la mayor celeridad posible y sin entorpecer la tramitación del procedimiento. Es por ello que el incidente tiene una regulación bastante sencilla (</w:t>
      </w:r>
      <w:r>
        <w:t>salvo</w:t>
      </w:r>
      <w:r w:rsidRPr="00742AEE">
        <w:t xml:space="preserve"> para algunos aspectos, como el relativo a la posibilidad de práctica de prueba) que se limita a un simple traslado a las partes y la resolución del Juez mediante un auto contra el que no cabe recurso alguno, sin perjuicio de la posibilidad de interponer recurso de amparo contra la sentencia o auto definitivos. Por otra parte, el incidente no suele suponer generalmente la suspensión de los autos, hecho que ni siquiera se menciona en la regulación del incidente dada en los arts. 240 LOPJ y 227 LEC. Además, ni siquiera en el incidente excepcional de nulidad de actuaciones cabe decretar dicha suspensión con carácter general, sólo de manera excepcional y de forma expresa si el Tribunal lo estima conveniente para así evitar que el incidente pueda perder su finalidad (arts. 228.2 LEC y 241.2 LOPJ).</w:t>
      </w:r>
    </w:p>
    <w:p w14:paraId="28054599" w14:textId="77777777" w:rsidR="006F44C0" w:rsidRDefault="006F44C0" w:rsidP="002B2B15">
      <w:pPr>
        <w:pStyle w:val="Ttulo3"/>
      </w:pPr>
      <w:bookmarkStart w:id="512" w:name="_Toc37373880"/>
      <w:bookmarkStart w:id="513" w:name="_Toc49423680"/>
      <w:bookmarkStart w:id="514" w:name="_Toc49708612"/>
      <w:bookmarkStart w:id="515" w:name="_Toc49790287"/>
      <w:bookmarkStart w:id="516" w:name="_Toc49866552"/>
      <w:bookmarkStart w:id="517" w:name="_Toc50373178"/>
      <w:r>
        <w:t>Naturaleza jurídica y causas por las que procede el incidente</w:t>
      </w:r>
      <w:bookmarkEnd w:id="512"/>
      <w:bookmarkEnd w:id="513"/>
      <w:bookmarkEnd w:id="514"/>
      <w:bookmarkEnd w:id="515"/>
      <w:bookmarkEnd w:id="516"/>
      <w:bookmarkEnd w:id="517"/>
    </w:p>
    <w:p w14:paraId="6D4BC71C" w14:textId="77777777" w:rsidR="006F44C0" w:rsidRDefault="006F44C0" w:rsidP="002B2B15">
      <w:pPr>
        <w:spacing w:after="240"/>
      </w:pPr>
      <w:r>
        <w:t xml:space="preserve">La naturaleza de este instrumento no ha sido una cuestión pacífica. Es muy común la posición que mantiene que no se trata de un verdadero incidente, ya que no se inscribe en el marco de un proceso pendiente, sino que la posibilidad de instarlo se abre, </w:t>
      </w:r>
      <w:r>
        <w:lastRenderedPageBreak/>
        <w:t>precisamente, cuando el proceso se ha cerrado mediante resolución frente a la que no cabe instar otro tipo de recurso o remedio procesal</w:t>
      </w:r>
      <w:r>
        <w:rPr>
          <w:rStyle w:val="Refdenotaalpie"/>
        </w:rPr>
        <w:footnoteReference w:id="210"/>
      </w:r>
      <w:r>
        <w:t>.</w:t>
      </w:r>
    </w:p>
    <w:p w14:paraId="0F2276C9" w14:textId="77777777" w:rsidR="006F44C0" w:rsidRDefault="006F44C0" w:rsidP="002B2B15">
      <w:pPr>
        <w:spacing w:after="240"/>
      </w:pPr>
      <w:r>
        <w:t xml:space="preserve">También es muy dada la postura de considerarlo como un remedio extraordinario, de la misma naturaleza que los demás medios de rescisión de sentencias firmes. De hecho, nuestro TC optó por considerarlo como un </w:t>
      </w:r>
      <w:r w:rsidRPr="00250616">
        <w:rPr>
          <w:i/>
          <w:iCs/>
        </w:rPr>
        <w:t>«remedio procesal, expresamente calificado como excepcional»</w:t>
      </w:r>
      <w:r>
        <w:t xml:space="preserve"> (STC 35/2003, FJ 3). </w:t>
      </w:r>
    </w:p>
    <w:p w14:paraId="3833A901" w14:textId="77777777" w:rsidR="006F44C0" w:rsidRDefault="006F44C0" w:rsidP="002B2B15">
      <w:pPr>
        <w:spacing w:after="240"/>
      </w:pPr>
      <w:r>
        <w:t xml:space="preserve">Posteriormente, el TC volvió a pronunciarse al respecto en el ATC 42/2010, de 12 de abril, estableciendo que: </w:t>
      </w:r>
      <w:r w:rsidRPr="0082665F">
        <w:rPr>
          <w:i/>
          <w:iCs/>
        </w:rPr>
        <w:t>«con arreglo a lo dispuesto en el párrafo primero del art. 241.1 LOPJ, el incidente de nulidad de actuaciones no es un recurso más, sino un remedio al que se puede acudir “excepcionalmente” para reparar la vulneración de un derecho fundamental de los referidos en el art. 53.2 CE, siempre que no haya podido denunciarse antes de recaer resolución que ponga fin al proceso y siempre que dicha resolución no sea susceptible de recurso ordinario ni extraordinario».</w:t>
      </w:r>
    </w:p>
    <w:p w14:paraId="30E756BE" w14:textId="77777777" w:rsidR="006F44C0" w:rsidRDefault="006F44C0" w:rsidP="002B2B15">
      <w:pPr>
        <w:spacing w:after="240"/>
      </w:pPr>
      <w:r>
        <w:t>S</w:t>
      </w:r>
      <w:r w:rsidRPr="00625A8D">
        <w:t xml:space="preserve">ólo </w:t>
      </w:r>
      <w:r>
        <w:t xml:space="preserve">podrá, por tanto, ser invocada </w:t>
      </w:r>
      <w:r w:rsidRPr="00625A8D">
        <w:t xml:space="preserve">la violación de alguno de los derechos fundamentales comprendidos en el art. 53.2 de la CE que no </w:t>
      </w:r>
      <w:r>
        <w:t xml:space="preserve">se </w:t>
      </w:r>
      <w:r w:rsidRPr="00625A8D">
        <w:t>haya podido denunciar antes de que recaiga resolución que ponga fin a al proceso, es decir, resolución firme (si tuvo oportunidad de alegar el defecto no podrá hacerlo después a través de este incidente), y siempre que contra la referida resolución no quepa recurso ordinario alguno, ni extraordinario.</w:t>
      </w:r>
      <w:r w:rsidRPr="00317EAF">
        <w:rPr>
          <w:rStyle w:val="Refdenotaalpie"/>
        </w:rPr>
        <w:t xml:space="preserve"> </w:t>
      </w:r>
      <w:r>
        <w:rPr>
          <w:rStyle w:val="Refdenotaalpie"/>
        </w:rPr>
        <w:footnoteReference w:id="211"/>
      </w:r>
      <w:r>
        <w:t xml:space="preserve"> </w:t>
      </w:r>
    </w:p>
    <w:p w14:paraId="35F78686" w14:textId="77777777" w:rsidR="006F44C0" w:rsidRPr="004F2995" w:rsidRDefault="006F44C0" w:rsidP="002B2B15">
      <w:pPr>
        <w:spacing w:after="240"/>
        <w:rPr>
          <w:i/>
          <w:color w:val="E36C0A" w:themeColor="accent6" w:themeShade="BF"/>
        </w:rPr>
      </w:pPr>
      <w:r>
        <w:t>D</w:t>
      </w:r>
      <w:r w:rsidRPr="003246F1">
        <w:t xml:space="preserve">ebemos matizar la amplitud teórica del objeto del incidente, ya que la lesión susceptible de ser invocada ha de ser imputable a la resolución que pone fin al procedimiento. No podrán articularse pues a través de este incidente las violaciones de derechos y libertades imputables a órganos administrativos o a particulares, debido a que en estos casos habrá que solicitar la tutela de los tribunales competentes ejerciendo las acciones procedentes, por lo que operaría la exclusión contenida en el art. 241.1 LOPJ: </w:t>
      </w:r>
      <w:r w:rsidRPr="003246F1">
        <w:rPr>
          <w:i/>
        </w:rPr>
        <w:t>“siempre que no haya podido denunciarse antes de recaer resolución que ponga fin al proceso”.</w:t>
      </w:r>
    </w:p>
    <w:p w14:paraId="73F091CD" w14:textId="77777777" w:rsidR="006F44C0" w:rsidRDefault="006F44C0" w:rsidP="002B2B15">
      <w:pPr>
        <w:spacing w:after="240"/>
        <w:rPr>
          <w:color w:val="000000" w:themeColor="text1"/>
        </w:rPr>
      </w:pPr>
      <w:r>
        <w:rPr>
          <w:color w:val="000000" w:themeColor="text1"/>
        </w:rPr>
        <w:lastRenderedPageBreak/>
        <w:t xml:space="preserve">Sin embargo, pese a la claridad aparente en este punto, la práctica jurídica </w:t>
      </w:r>
      <w:r w:rsidRPr="00D144F3">
        <w:rPr>
          <w:color w:val="000000" w:themeColor="text1"/>
        </w:rPr>
        <w:t>y la</w:t>
      </w:r>
      <w:r>
        <w:rPr>
          <w:color w:val="000000" w:themeColor="text1"/>
        </w:rPr>
        <w:t xml:space="preserve"> prohibición de </w:t>
      </w:r>
      <w:r w:rsidRPr="00D144F3">
        <w:rPr>
          <w:color w:val="000000" w:themeColor="text1"/>
        </w:rPr>
        <w:t>invocar por esta vía la vulneración de derechos que hubieran</w:t>
      </w:r>
      <w:r>
        <w:rPr>
          <w:color w:val="000000" w:themeColor="text1"/>
        </w:rPr>
        <w:t xml:space="preserve"> </w:t>
      </w:r>
      <w:r w:rsidRPr="00D144F3">
        <w:rPr>
          <w:color w:val="000000" w:themeColor="text1"/>
        </w:rPr>
        <w:t>podido denunciarse antes de recaer resolución que ponga fin al proceso,</w:t>
      </w:r>
      <w:r>
        <w:rPr>
          <w:color w:val="000000" w:themeColor="text1"/>
        </w:rPr>
        <w:t xml:space="preserve"> han demostrado que el art. principalmente invocado como objeto del incidente es el</w:t>
      </w:r>
      <w:r w:rsidRPr="00D144F3">
        <w:rPr>
          <w:color w:val="000000" w:themeColor="text1"/>
        </w:rPr>
        <w:t xml:space="preserve"> 24 CE</w:t>
      </w:r>
      <w:r>
        <w:rPr>
          <w:color w:val="000000" w:themeColor="text1"/>
        </w:rPr>
        <w:t xml:space="preserve">. </w:t>
      </w:r>
      <w:r w:rsidRPr="00D144F3">
        <w:rPr>
          <w:color w:val="000000" w:themeColor="text1"/>
        </w:rPr>
        <w:t xml:space="preserve"> </w:t>
      </w:r>
      <w:r>
        <w:rPr>
          <w:color w:val="000000" w:themeColor="text1"/>
        </w:rPr>
        <w:t xml:space="preserve">Es decir,  </w:t>
      </w:r>
      <w:r w:rsidRPr="00D144F3">
        <w:rPr>
          <w:color w:val="000000" w:themeColor="text1"/>
        </w:rPr>
        <w:t xml:space="preserve">la práctica ha demostrado que, en </w:t>
      </w:r>
      <w:r>
        <w:rPr>
          <w:color w:val="000000" w:themeColor="text1"/>
        </w:rPr>
        <w:t xml:space="preserve">la gran mayoría de los casos, </w:t>
      </w:r>
      <w:r w:rsidRPr="00D144F3">
        <w:rPr>
          <w:color w:val="000000" w:themeColor="text1"/>
        </w:rPr>
        <w:t>el planteamiento del incidente responde a una presunta</w:t>
      </w:r>
      <w:r>
        <w:rPr>
          <w:color w:val="000000" w:themeColor="text1"/>
        </w:rPr>
        <w:t xml:space="preserve"> </w:t>
      </w:r>
      <w:r w:rsidRPr="00D144F3">
        <w:rPr>
          <w:color w:val="000000" w:themeColor="text1"/>
        </w:rPr>
        <w:t>vulneración del art. 24 CE en alguna de sus múltiples vertientes</w:t>
      </w:r>
      <w:r>
        <w:rPr>
          <w:rStyle w:val="Refdenotaalpie"/>
          <w:color w:val="000000" w:themeColor="text1"/>
        </w:rPr>
        <w:footnoteReference w:id="212"/>
      </w:r>
      <w:r w:rsidRPr="00D144F3">
        <w:rPr>
          <w:color w:val="000000" w:themeColor="text1"/>
        </w:rPr>
        <w:t xml:space="preserve">, </w:t>
      </w:r>
      <w:r>
        <w:rPr>
          <w:color w:val="000000" w:themeColor="text1"/>
        </w:rPr>
        <w:t xml:space="preserve">incluyéndose también </w:t>
      </w:r>
      <w:r w:rsidRPr="00D144F3">
        <w:rPr>
          <w:color w:val="000000" w:themeColor="text1"/>
        </w:rPr>
        <w:t>las que preveía el art. 241 LOPJ antes de la reforma</w:t>
      </w:r>
      <w:r>
        <w:rPr>
          <w:color w:val="000000" w:themeColor="text1"/>
        </w:rPr>
        <w:t xml:space="preserve"> (</w:t>
      </w:r>
      <w:r w:rsidRPr="00D144F3">
        <w:rPr>
          <w:color w:val="000000" w:themeColor="text1"/>
        </w:rPr>
        <w:t>indefensión causada por vicios procesales y la incongruencia omisiva</w:t>
      </w:r>
      <w:r>
        <w:rPr>
          <w:color w:val="000000" w:themeColor="text1"/>
        </w:rPr>
        <w:t xml:space="preserve">, un ejemplo de ello es la </w:t>
      </w:r>
      <w:r w:rsidRPr="00D144F3">
        <w:rPr>
          <w:color w:val="000000" w:themeColor="text1"/>
        </w:rPr>
        <w:t>STC 9/2014</w:t>
      </w:r>
      <w:r>
        <w:rPr>
          <w:color w:val="000000" w:themeColor="text1"/>
        </w:rPr>
        <w:t>).</w:t>
      </w:r>
    </w:p>
    <w:p w14:paraId="6F165E7B" w14:textId="77777777" w:rsidR="006F44C0" w:rsidRPr="00097136" w:rsidRDefault="006F44C0" w:rsidP="002B2B15">
      <w:pPr>
        <w:spacing w:after="240"/>
        <w:rPr>
          <w:color w:val="FF0000"/>
        </w:rPr>
      </w:pPr>
      <w:r w:rsidRPr="006422AB">
        <w:rPr>
          <w:color w:val="000000" w:themeColor="text1"/>
        </w:rPr>
        <w:t>Y es que, pese a que la redacción dada al art. 241 LOPJ tras la reforma de 2007 sea bastante clara al respecto, ampliándose el objeto del incidente a la invocación de cualquier derecho fundamental de los referidos en el art. 53.2 CE, la dinámica de funcionamiento del incidente demuestra que esta ampliación no es real. Esto es debido a la imposibilidad de invocar por esta vía la vulneración de derechos que hubieran podido denunciarse antes de recaer resolución que ponga fin al proceso. Por consiguiente, al tener cerrada esta vía, dada la propia naturaleza de esta figura, nuestro espectro queda reducido a vulneraciones cometidas en el propio seno de la resolución, de ahí que, en la inmensa mayoría de las ocasiones, nos encontremos con la invocación del art. 24 CE a la hora de plantear la nulidad, con excepciones restringidas a supuestos relativos, por ejemplo, a la igualdad en aplicación de la ley (art. 14 CE) o el principio de legalidad penal (art. 25 CE)</w:t>
      </w:r>
      <w:r>
        <w:rPr>
          <w:rStyle w:val="Refdenotaalpie"/>
          <w:color w:val="000000" w:themeColor="text1"/>
        </w:rPr>
        <w:footnoteReference w:id="213"/>
      </w:r>
      <w:r w:rsidRPr="006422AB">
        <w:rPr>
          <w:color w:val="000000" w:themeColor="text1"/>
        </w:rPr>
        <w:t>.</w:t>
      </w:r>
      <w:r>
        <w:rPr>
          <w:color w:val="000000" w:themeColor="text1"/>
        </w:rPr>
        <w:t xml:space="preserve"> </w:t>
      </w:r>
    </w:p>
    <w:p w14:paraId="48337C02" w14:textId="77777777" w:rsidR="006F44C0" w:rsidRDefault="006F44C0" w:rsidP="002B2B15">
      <w:pPr>
        <w:pStyle w:val="Ttulo3"/>
      </w:pPr>
      <w:bookmarkStart w:id="519" w:name="_Toc37373881"/>
      <w:bookmarkStart w:id="520" w:name="_Toc49423681"/>
      <w:bookmarkStart w:id="521" w:name="_Toc49708613"/>
      <w:bookmarkStart w:id="522" w:name="_Toc49790288"/>
      <w:bookmarkStart w:id="523" w:name="_Toc49866553"/>
      <w:bookmarkStart w:id="524" w:name="_Toc50373179"/>
      <w:r>
        <w:t>Configuración procesal del incidente “excepcional” de nulidad de actuaciones</w:t>
      </w:r>
      <w:r>
        <w:rPr>
          <w:rStyle w:val="Refdenotaalpie"/>
        </w:rPr>
        <w:footnoteReference w:id="214"/>
      </w:r>
      <w:bookmarkEnd w:id="519"/>
      <w:bookmarkEnd w:id="520"/>
      <w:bookmarkEnd w:id="521"/>
      <w:bookmarkEnd w:id="522"/>
      <w:bookmarkEnd w:id="523"/>
      <w:bookmarkEnd w:id="524"/>
    </w:p>
    <w:p w14:paraId="7A294525" w14:textId="77777777" w:rsidR="006F44C0" w:rsidRPr="008F495D" w:rsidRDefault="006F44C0" w:rsidP="001A4310">
      <w:pPr>
        <w:pStyle w:val="Ttulo4"/>
        <w:numPr>
          <w:ilvl w:val="0"/>
          <w:numId w:val="59"/>
        </w:numPr>
      </w:pPr>
      <w:bookmarkStart w:id="525" w:name="_Toc37373882"/>
      <w:bookmarkStart w:id="526" w:name="_Toc49423682"/>
      <w:bookmarkStart w:id="527" w:name="_Toc49708614"/>
      <w:bookmarkStart w:id="528" w:name="_Toc49866554"/>
      <w:r w:rsidRPr="008F495D">
        <w:t>Competencia y legitimación</w:t>
      </w:r>
      <w:bookmarkEnd w:id="525"/>
      <w:bookmarkEnd w:id="526"/>
      <w:bookmarkEnd w:id="527"/>
      <w:bookmarkEnd w:id="528"/>
    </w:p>
    <w:p w14:paraId="1C4E9647" w14:textId="00AE6158" w:rsidR="006F44C0" w:rsidRDefault="006F44C0" w:rsidP="002B2B15">
      <w:pPr>
        <w:spacing w:after="240"/>
      </w:pPr>
      <w:r w:rsidRPr="00E8297F">
        <w:t xml:space="preserve">La competencia para tramitar el incidente corresponderá al órgano judicial que haya dictado la resolución firme, es </w:t>
      </w:r>
      <w:r w:rsidR="002B2B15" w:rsidRPr="00E8297F">
        <w:t>decir, que</w:t>
      </w:r>
      <w:r w:rsidRPr="00E8297F">
        <w:t xml:space="preserve"> haya conocido del procedimiento en el que se </w:t>
      </w:r>
      <w:r w:rsidRPr="00E8297F">
        <w:lastRenderedPageBreak/>
        <w:t>ha vulnerado el derecho en cuestión.</w:t>
      </w:r>
      <w:r>
        <w:t xml:space="preserve"> Esto se debe, principalmente, a la búsqueda del legislador de </w:t>
      </w:r>
      <w:r w:rsidRPr="00E8297F">
        <w:t xml:space="preserve">otorgar al órgano judicial la ocasión de revertir una situación en la que </w:t>
      </w:r>
      <w:r>
        <w:t xml:space="preserve">el propio órgano judicial </w:t>
      </w:r>
      <w:r w:rsidRPr="00E8297F">
        <w:t>ha sido el sujeto activo de la lesión denunciada,</w:t>
      </w:r>
      <w:r>
        <w:t xml:space="preserve"> especialmente desde la reforma de 2007</w:t>
      </w:r>
      <w:r>
        <w:rPr>
          <w:rStyle w:val="Refdenotaalpie"/>
        </w:rPr>
        <w:footnoteReference w:id="215"/>
      </w:r>
      <w:r>
        <w:t>.</w:t>
      </w:r>
    </w:p>
    <w:p w14:paraId="0DE7E2C2" w14:textId="77777777" w:rsidR="006F44C0" w:rsidRDefault="006F44C0" w:rsidP="002B2B15">
      <w:pPr>
        <w:spacing w:after="240"/>
        <w:rPr>
          <w:color w:val="E36C0A" w:themeColor="accent6" w:themeShade="BF"/>
          <w:highlight w:val="yellow"/>
        </w:rPr>
      </w:pPr>
      <w:r w:rsidRPr="00E8297F">
        <w:t xml:space="preserve">Respecto a la legitimación, ésta es abordada en el art. 241.1 LOPJ, que la reconoce a </w:t>
      </w:r>
      <w:r w:rsidRPr="00E8297F">
        <w:rPr>
          <w:i/>
        </w:rPr>
        <w:t>“…quienes sean parte legítima o hubieran debido serlo…”</w:t>
      </w:r>
      <w:r w:rsidRPr="00E8297F">
        <w:t>.  La literalidad de la norma incluye pues, no solo a las partes procesales, sino también a quienes debieron haberlo sido en el proceso judicial y no fueron llamadas ni tuvieron conocimiento de su existencia.</w:t>
      </w:r>
      <w:r w:rsidRPr="00E8297F">
        <w:rPr>
          <w:color w:val="E36C0A" w:themeColor="accent6" w:themeShade="BF"/>
          <w:highlight w:val="yellow"/>
        </w:rPr>
        <w:t xml:space="preserve"> </w:t>
      </w:r>
    </w:p>
    <w:p w14:paraId="13F2F276" w14:textId="77777777" w:rsidR="006F44C0" w:rsidRPr="00D56A14" w:rsidRDefault="006F44C0" w:rsidP="002B2B15">
      <w:pPr>
        <w:spacing w:after="240"/>
      </w:pPr>
      <w:r w:rsidRPr="00D56A14">
        <w:t xml:space="preserve">La falta de emplazamiento de quienes, pese a tener un interés legítimo, no han sido convocados al proceso, que acarrea la lesión de un derecho fundamental adjetivo, es un supuesto en el que con frecuencia el TC ha venido pronunciándose desautorizando, en un gran número de ocasiones, el rechazo por parte de los órganos de la jurisdicción de incidentes de nulidad formulados como consecuencia de la alegada defectuosa conclusión de actos de comunicación procesal. En todo caso debe recordarse que, dado el carácter excepcional del incidente de nulidad, dicha falta de emplazamiento puede subsanarse por otros medios más eficaces, como la personación y retroacción del procedimiento, caso de </w:t>
      </w:r>
      <w:r w:rsidRPr="00D56A14">
        <w:lastRenderedPageBreak/>
        <w:t>ser factible, o la propia audiencia al rebelde, por lo que el incidente sólo  procederá cuando el proceso haya terminado y no sea posible acudir a estos remedios procesales</w:t>
      </w:r>
      <w:r w:rsidRPr="00D56A14">
        <w:rPr>
          <w:rStyle w:val="Refdenotaalpie"/>
        </w:rPr>
        <w:footnoteReference w:id="216"/>
      </w:r>
      <w:r w:rsidRPr="00D56A14">
        <w:t>.</w:t>
      </w:r>
    </w:p>
    <w:p w14:paraId="6A4C655E" w14:textId="77777777" w:rsidR="006F44C0" w:rsidRPr="00D56A14" w:rsidRDefault="006F44C0" w:rsidP="002B2B15">
      <w:pPr>
        <w:spacing w:after="240"/>
      </w:pPr>
      <w:r w:rsidRPr="00D56A14">
        <w:t>Respecto al Ministerio Fiscal, éste no siempre va a tener legitimación para plantear el incidente‍‍, pero podrá actuar como promotor o intervenir cuando hubiera sido parte en el proceso en que recayó la resolución que da pie a la interposición del incidente, o cuando debiera haber sido parte y sin embargo no intervino.</w:t>
      </w:r>
    </w:p>
    <w:p w14:paraId="0FD9B273" w14:textId="77777777" w:rsidR="006F44C0" w:rsidRPr="00F81198" w:rsidRDefault="006F44C0" w:rsidP="002B2B15">
      <w:pPr>
        <w:spacing w:after="240"/>
      </w:pPr>
      <w:r w:rsidRPr="00F81198">
        <w:t>El papel del Fiscal en la tramitación de estos incidentes debe analizarse partiendo de la función que la Constitución le asigna en defensa de los derechos de los ciudadanos.</w:t>
      </w:r>
      <w:r w:rsidRPr="00F81198">
        <w:rPr>
          <w:rStyle w:val="Refdenotaalpie"/>
        </w:rPr>
        <w:t xml:space="preserve"> </w:t>
      </w:r>
      <w:r w:rsidRPr="00F81198">
        <w:rPr>
          <w:rStyle w:val="Refdenotaalpie"/>
        </w:rPr>
        <w:footnoteReference w:id="217"/>
      </w:r>
    </w:p>
    <w:p w14:paraId="2D9F9D73" w14:textId="77777777" w:rsidR="006F44C0" w:rsidRPr="00F81198" w:rsidRDefault="006F44C0" w:rsidP="002B2B15">
      <w:pPr>
        <w:spacing w:after="240"/>
      </w:pPr>
      <w:r w:rsidRPr="00F81198">
        <w:t xml:space="preserve">Si el Fiscal no ha sido ni ha debido ser parte en el proceso subyacente, carecerá de legitimación para promover el incidente. El ATC 36/2011, de 11 de abril subraya que </w:t>
      </w:r>
      <w:r w:rsidRPr="00F81198">
        <w:rPr>
          <w:i/>
        </w:rPr>
        <w:t>“…es clara e indubitada la específica limitación de la legitimación activa de este incidente a quienes hubieran sido parte legítima o hubieran debido serlo, lo que imposibilitaba al Ministerio Fiscal la promoción de dicho incidente, pues, como es obvio, ni fue parte en el procedimiento ni tampoco debiera haberlo sido, al tratarse de un procedimiento ordinario en que no está prevista legalmente su participación”</w:t>
      </w:r>
      <w:r w:rsidRPr="00F81198">
        <w:t>.</w:t>
      </w:r>
    </w:p>
    <w:p w14:paraId="5F681D0B" w14:textId="037B639C" w:rsidR="006F44C0" w:rsidRPr="00F81198" w:rsidRDefault="006F44C0" w:rsidP="002B2B15">
      <w:pPr>
        <w:spacing w:after="240"/>
      </w:pPr>
      <w:r w:rsidRPr="00F81198">
        <w:t xml:space="preserve">Debemos plantear, en primer lugar, qué posición debe adoptar el Fiscal en los supuestos en los que ha promovido el incidente la parte legitimada, no siendo el Fiscal parte en el proceso subyacente, pero el órgano jurisdiccional ha dado traslado al Ministerio Público, debido a que se introduce una cuestión que afecta a derechos fundamentales. Esta situación se planteará básicamente en los procesos civiles, contenciosos y sociales </w:t>
      </w:r>
      <w:r w:rsidR="007B7556" w:rsidRPr="00F81198">
        <w:t>en los que el Fiscal no</w:t>
      </w:r>
      <w:r w:rsidRPr="00F81198">
        <w:t xml:space="preserve"> tenga intervención.</w:t>
      </w:r>
    </w:p>
    <w:p w14:paraId="382F07C9" w14:textId="77777777" w:rsidR="006F44C0" w:rsidRPr="00F81198" w:rsidRDefault="006F44C0" w:rsidP="002B2B15">
      <w:pPr>
        <w:spacing w:after="240"/>
      </w:pPr>
      <w:r w:rsidRPr="00F81198">
        <w:t xml:space="preserve">La complejidad de esta cuestión radica en el silencio que la Ley guarda al respecto y en la inexistencia de pronunciamientos de los Tribunales sobre la materia. </w:t>
      </w:r>
    </w:p>
    <w:p w14:paraId="7F4A8D39" w14:textId="77777777" w:rsidR="006F44C0" w:rsidRDefault="006F44C0" w:rsidP="002B2B15">
      <w:pPr>
        <w:spacing w:after="240"/>
        <w:rPr>
          <w:color w:val="E36C0A" w:themeColor="accent6" w:themeShade="BF"/>
        </w:rPr>
      </w:pPr>
      <w:r w:rsidRPr="00F81198">
        <w:t>Podríamos entender, en principio, que el Fiscal no tiene reconocida una legitimación general para actuar siempre en estos procesos incidentales y que</w:t>
      </w:r>
      <w:r>
        <w:t xml:space="preserve">, consiguientemente, </w:t>
      </w:r>
      <w:r w:rsidRPr="00F81198">
        <w:t xml:space="preserve">sólo intervendría si hubiera sido parte en el proceso subyacente en el que se alega la violación </w:t>
      </w:r>
      <w:r w:rsidRPr="00F81198">
        <w:lastRenderedPageBreak/>
        <w:t>del derecho fundamental.</w:t>
      </w:r>
      <w:r>
        <w:t xml:space="preserve"> Sin embargo, </w:t>
      </w:r>
      <w:r w:rsidRPr="00D56A14">
        <w:t>e</w:t>
      </w:r>
      <w:r>
        <w:t xml:space="preserve">ste </w:t>
      </w:r>
      <w:r w:rsidRPr="00D56A14">
        <w:t>limitado alcance de su legitimidad para la interposición del incidente</w:t>
      </w:r>
      <w:r>
        <w:t xml:space="preserve"> sería cuestionable teniendo en cuenta </w:t>
      </w:r>
      <w:r w:rsidRPr="00D56A14">
        <w:t>la amplia legitimación (objetiva) de la que goza el Ministerio Fiscal para el planteamiento del amparo constitucional</w:t>
      </w:r>
      <w:r>
        <w:t>.</w:t>
      </w:r>
    </w:p>
    <w:p w14:paraId="6A18B06D" w14:textId="77777777" w:rsidR="006F44C0" w:rsidRPr="00F81198" w:rsidRDefault="006F44C0" w:rsidP="002B2B15">
      <w:pPr>
        <w:spacing w:after="240"/>
      </w:pPr>
      <w:r>
        <w:t>De hech</w:t>
      </w:r>
      <w:r w:rsidRPr="00F81198">
        <w:t>o, existen fundamentos de peso para defender que siempre que se</w:t>
      </w:r>
      <w:r>
        <w:t xml:space="preserve"> dé traslado al Fiscal para que </w:t>
      </w:r>
      <w:r w:rsidRPr="00F81198">
        <w:t xml:space="preserve">informe en el incidente de nulidad sobre violación de derechos fundamentales, éste intervenga. </w:t>
      </w:r>
      <w:r w:rsidRPr="00F81198">
        <w:rPr>
          <w:i/>
        </w:rPr>
        <w:t xml:space="preserve">“En efecto, si se parte de que el Fiscal siempre interviene en las  cuestiones  de inconstitucionalidad, sea o no  parte en el  proceso subyacente,  y  que igualmente siempre interviene en la tramitación del  recurso de amparo  (art. 3.11 EOMF), concurriría la </w:t>
      </w:r>
      <w:r>
        <w:rPr>
          <w:i/>
        </w:rPr>
        <w:t>“</w:t>
      </w:r>
      <w:proofErr w:type="spellStart"/>
      <w:r w:rsidRPr="002A4A34">
        <w:rPr>
          <w:color w:val="000000" w:themeColor="text1"/>
        </w:rPr>
        <w:t>eadem</w:t>
      </w:r>
      <w:proofErr w:type="spellEnd"/>
      <w:r w:rsidRPr="002A4A34">
        <w:rPr>
          <w:color w:val="000000" w:themeColor="text1"/>
        </w:rPr>
        <w:t xml:space="preserve"> ratio </w:t>
      </w:r>
      <w:proofErr w:type="spellStart"/>
      <w:r w:rsidRPr="002A4A34">
        <w:rPr>
          <w:color w:val="000000" w:themeColor="text1"/>
        </w:rPr>
        <w:t>decidendi</w:t>
      </w:r>
      <w:proofErr w:type="spellEnd"/>
      <w:r w:rsidRPr="002A4A34">
        <w:rPr>
          <w:color w:val="000000" w:themeColor="text1"/>
        </w:rPr>
        <w:t>”</w:t>
      </w:r>
      <w:r w:rsidRPr="006A054E">
        <w:rPr>
          <w:i/>
          <w:color w:val="FF0000"/>
        </w:rPr>
        <w:t xml:space="preserve"> </w:t>
      </w:r>
      <w:r w:rsidRPr="00F81198">
        <w:rPr>
          <w:i/>
        </w:rPr>
        <w:t>que llevaría a afirmar  la legitimación para  intervenir  en estos incidentes  de nulidad, posición que por lo demás  es  coherente con la asignación contenida en el  apartado 3 del art. 3 EOMF: velar por el respeto… de los derechos fundamentales y libertades públicas con cuantas actuaciones exija su defensa”</w:t>
      </w:r>
      <w:r w:rsidRPr="00F81198">
        <w:rPr>
          <w:rStyle w:val="Refdenotaalpie"/>
          <w:i/>
        </w:rPr>
        <w:footnoteReference w:id="218"/>
      </w:r>
      <w:r w:rsidRPr="00F81198">
        <w:rPr>
          <w:i/>
        </w:rPr>
        <w:t>.</w:t>
      </w:r>
    </w:p>
    <w:p w14:paraId="50353504" w14:textId="77777777" w:rsidR="006F44C0" w:rsidRPr="00F81198" w:rsidRDefault="006F44C0" w:rsidP="002B2B15">
      <w:pPr>
        <w:spacing w:after="240"/>
      </w:pPr>
      <w:r w:rsidRPr="00F81198">
        <w:t xml:space="preserve">Al respecto podemos citar la doctrina ya asentada desde la STC 86/1985, de 10 de julio. El TC afirmó que la legitimación institucional del Ministerio Fiscal para interponer el recurso de amparo, reconocida en los arts. 162.1 b) CE y 46.1 b) LOTC </w:t>
      </w:r>
      <w:r w:rsidRPr="00F81198">
        <w:rPr>
          <w:i/>
        </w:rPr>
        <w:t>“…no queda en ningún caso condicionada a la exigencia de haber actuado como parte en el proceso judicial antecedente”.</w:t>
      </w:r>
    </w:p>
    <w:p w14:paraId="243FB81E" w14:textId="77777777" w:rsidR="006F44C0" w:rsidRPr="00F81198" w:rsidRDefault="006F44C0" w:rsidP="002B2B15">
      <w:pPr>
        <w:spacing w:after="240"/>
      </w:pPr>
      <w:r w:rsidRPr="00F81198">
        <w:t>Debemos recordar, no obstante, que en los procesos civiles, sociales o contenciosos sin intervención del Fiscal en los que se promueva el incidente y se dé traslado al Ministerio Público, el informe habrá de versar exclusivamente sobre lo relativo a la lesión de derechos fundamentales, sin entrar en puntos carentes de relevancia constitucional.</w:t>
      </w:r>
    </w:p>
    <w:p w14:paraId="3B870C53" w14:textId="614113DD" w:rsidR="006F44C0" w:rsidRDefault="006F44C0" w:rsidP="002B2B15">
      <w:pPr>
        <w:spacing w:after="240"/>
        <w:rPr>
          <w:i/>
        </w:rPr>
      </w:pPr>
      <w:r w:rsidRPr="006A15C9">
        <w:t xml:space="preserve">En relación con los </w:t>
      </w:r>
      <w:r w:rsidR="007B7556" w:rsidRPr="006A15C9">
        <w:t>procesos en</w:t>
      </w:r>
      <w:r w:rsidRPr="006A15C9">
        <w:t xml:space="preserve"> </w:t>
      </w:r>
      <w:r w:rsidR="007B7556" w:rsidRPr="006A15C9">
        <w:t>los que</w:t>
      </w:r>
      <w:r w:rsidRPr="006A15C9">
        <w:t xml:space="preserve"> </w:t>
      </w:r>
      <w:r w:rsidR="007B7556" w:rsidRPr="006A15C9">
        <w:t>el Fiscal</w:t>
      </w:r>
      <w:r w:rsidRPr="006A15C9">
        <w:t xml:space="preserve"> no haya sido </w:t>
      </w:r>
      <w:r w:rsidR="007B7556" w:rsidRPr="006A15C9">
        <w:t>parte, pese</w:t>
      </w:r>
      <w:r w:rsidRPr="006A15C9">
        <w:t xml:space="preserve"> a que hubiera debido serlo conforme a la Ley, </w:t>
      </w:r>
      <w:r w:rsidRPr="006A15C9">
        <w:rPr>
          <w:i/>
        </w:rPr>
        <w:t xml:space="preserve">“no sólo habrá de dársele traslado del escrito de promoción del incidente planteado por las partes del proceso, sino que además estará </w:t>
      </w:r>
      <w:r w:rsidRPr="008F495D">
        <w:rPr>
          <w:i/>
        </w:rPr>
        <w:t xml:space="preserve">legitimado para su interposición, pudiendo fundamentarlo precisamente en la preterición sufrida, siempre y cuando ello haya causado una indefensión material. Antes de hacer los  Sres. Fiscales uso de esta facultad deberán evaluar los perjuicios que para las partes </w:t>
      </w:r>
      <w:r w:rsidRPr="008F495D">
        <w:rPr>
          <w:i/>
        </w:rPr>
        <w:lastRenderedPageBreak/>
        <w:t>del proceso pudiera suponer la estimación del incidente y la mayor o menor relevancia de la omisión del trámite  en  el  resultado  final  del proceso”.</w:t>
      </w:r>
      <w:r w:rsidRPr="008F495D">
        <w:rPr>
          <w:rStyle w:val="Refdenotaalpie"/>
          <w:i/>
        </w:rPr>
        <w:footnoteReference w:id="219"/>
      </w:r>
    </w:p>
    <w:p w14:paraId="164B5369" w14:textId="6F410DB1" w:rsidR="006F44C0" w:rsidRDefault="006F44C0" w:rsidP="002B2B15">
      <w:pPr>
        <w:spacing w:after="240"/>
        <w:rPr>
          <w:i/>
          <w:color w:val="FF0000"/>
        </w:rPr>
      </w:pPr>
      <w:r w:rsidRPr="00DF0D77">
        <w:rPr>
          <w:iCs/>
        </w:rPr>
        <w:t>Respecto a este punto, entendemos que viene referido a procesos en los que los Fiscales pueden ser parte (aunque no hubieran intervenido previamente a pesar de poder hacerlo) en el recurso. Atendiendo a la Ley, éstos tendrán que “</w:t>
      </w:r>
      <w:r w:rsidRPr="00DF0D77">
        <w:rPr>
          <w:i/>
        </w:rPr>
        <w:t xml:space="preserve">evaluar los perjuicios que para las partes del proceso pudiera suponer la estimación del incidente y la mayor o menor relevancia de la omisión del </w:t>
      </w:r>
      <w:r w:rsidR="007B7556" w:rsidRPr="00DF0D77">
        <w:rPr>
          <w:i/>
        </w:rPr>
        <w:t>trámite en el resultado final del</w:t>
      </w:r>
      <w:r w:rsidRPr="00DF0D77">
        <w:rPr>
          <w:i/>
        </w:rPr>
        <w:t xml:space="preserve"> proceso</w:t>
      </w:r>
      <w:r w:rsidRPr="00DF0D77">
        <w:rPr>
          <w:iCs/>
        </w:rPr>
        <w:t xml:space="preserve">”. Es decir, el Fiscal no deberá comparecer si ello supusiese un perjuicio para las </w:t>
      </w:r>
      <w:r w:rsidR="007B7556" w:rsidRPr="00DF0D77">
        <w:rPr>
          <w:iCs/>
        </w:rPr>
        <w:t>partes, así</w:t>
      </w:r>
      <w:r w:rsidRPr="00DF0D77">
        <w:rPr>
          <w:iCs/>
        </w:rPr>
        <w:t xml:space="preserve"> como deberá evaluar la mayor o menor relevancia de la omisión del </w:t>
      </w:r>
      <w:r w:rsidR="007B7556" w:rsidRPr="00DF0D77">
        <w:rPr>
          <w:iCs/>
        </w:rPr>
        <w:t>trámite en el resultado final del</w:t>
      </w:r>
      <w:r w:rsidRPr="00DF0D77">
        <w:rPr>
          <w:iCs/>
        </w:rPr>
        <w:t xml:space="preserve"> proceso.</w:t>
      </w:r>
    </w:p>
    <w:p w14:paraId="62CB94BF" w14:textId="4F2BE6CB" w:rsidR="006F44C0" w:rsidRPr="00DF0D77" w:rsidRDefault="006F44C0" w:rsidP="002B2B15">
      <w:pPr>
        <w:spacing w:after="240"/>
        <w:rPr>
          <w:iCs/>
        </w:rPr>
      </w:pPr>
      <w:r w:rsidRPr="00DF0D77">
        <w:rPr>
          <w:iCs/>
        </w:rPr>
        <w:t xml:space="preserve">Esto nos plantea algunas cuestiones. Por una parte, nos hace pensar si lo importante es el resultado final (sentencia o ejecución) o, por el contrario, el propio derecho fundamental; o si los derechos fundamentales deben ser defendidos por su importancia intrínseca o por su incidencia en un proceso. Este planteamiento se mantiene en relación con los derechos procesales ya que </w:t>
      </w:r>
      <w:r w:rsidR="007B7556" w:rsidRPr="00DF0D77">
        <w:rPr>
          <w:iCs/>
        </w:rPr>
        <w:t>su finalidad</w:t>
      </w:r>
      <w:r w:rsidRPr="00DF0D77">
        <w:rPr>
          <w:iCs/>
        </w:rPr>
        <w:t xml:space="preserve"> es obtener un proceso objetivo y equilibrado. Sin embargo, no sería válido para el resto de derechos </w:t>
      </w:r>
      <w:r w:rsidR="007B7556" w:rsidRPr="00DF0D77">
        <w:rPr>
          <w:iCs/>
        </w:rPr>
        <w:t>fundamentales,</w:t>
      </w:r>
      <w:r w:rsidRPr="00DF0D77">
        <w:rPr>
          <w:iCs/>
        </w:rPr>
        <w:t xml:space="preserve"> en cuanto su existencia y respeto son la base del ordenamiento jurídico.</w:t>
      </w:r>
    </w:p>
    <w:p w14:paraId="371646AB" w14:textId="77777777" w:rsidR="006F44C0" w:rsidRPr="0019694A" w:rsidRDefault="006F44C0" w:rsidP="002B2B15">
      <w:pPr>
        <w:spacing w:after="240"/>
        <w:rPr>
          <w:iCs/>
        </w:rPr>
      </w:pPr>
      <w:r w:rsidRPr="00DF0D77">
        <w:rPr>
          <w:iCs/>
        </w:rPr>
        <w:t>Desde este punto de vista, la posición del Ministerio Fiscal es la de seguir entendiendo el recurso de amparo como un recurso subjetivo, donde es más importante el resultado que el derecho fundamental en sí mismo; se observaría así una visión alejada de la posición del Ministerio Fiscal de la pretendida reforma, cuya tendencia es la de la objetivación del recurso de amparo.</w:t>
      </w:r>
    </w:p>
    <w:p w14:paraId="6CA1DB72" w14:textId="77777777" w:rsidR="006F44C0" w:rsidRDefault="006F44C0" w:rsidP="002B2B15">
      <w:pPr>
        <w:spacing w:after="240"/>
      </w:pPr>
      <w:r w:rsidRPr="00F81198">
        <w:t>Respecto a los procesos en los que el Fiscal ha</w:t>
      </w:r>
      <w:r>
        <w:t>ya</w:t>
      </w:r>
      <w:r w:rsidRPr="00F81198">
        <w:t xml:space="preserve"> sido parte, en estos casos el Fiscal estará legitimado para su promoción e intervendrá en el incidente de nulidad de actuaciones, aunque no haya sido el promotor.</w:t>
      </w:r>
    </w:p>
    <w:p w14:paraId="186C8FA4" w14:textId="77777777" w:rsidR="006F44C0" w:rsidRDefault="006F44C0" w:rsidP="002B2B15">
      <w:pPr>
        <w:spacing w:after="240"/>
      </w:pPr>
      <w:r>
        <w:t xml:space="preserve">Como vemos, el Ministerio Fiscal no siempre va a tener legitimación para plantear el incidente, pero podrá actuar como promotor o intervenir cuando hubiera sido parte en el </w:t>
      </w:r>
      <w:r>
        <w:lastRenderedPageBreak/>
        <w:t xml:space="preserve">proceso en que recayó la resolución que da pie a la interposición del incidente, o cuando debiera haber sido parte y sin embargo no intervino. </w:t>
      </w:r>
    </w:p>
    <w:p w14:paraId="17CF375C" w14:textId="77777777" w:rsidR="006F44C0" w:rsidRPr="003C611A" w:rsidRDefault="006F44C0" w:rsidP="002B2B15">
      <w:pPr>
        <w:spacing w:after="240"/>
        <w:rPr>
          <w:color w:val="FF0000"/>
        </w:rPr>
      </w:pPr>
      <w:r>
        <w:t>Cabe destacar la limitada legitimación por parte del Fiscal para la interposición del incidente si tenemos en cuenta la amplia legitimación (objetiva) de la que goza para el planteamiento del amparo constitucional. En nuestra opinión, teniendo en cuenta los objetivos perseguidos en la reforma de 2007 de esta figura, la legitimación del Ministerio Fiscal debería equiparse a la que tiene para interponer el recurso de amparo.</w:t>
      </w:r>
    </w:p>
    <w:p w14:paraId="038B816B" w14:textId="77777777" w:rsidR="006F44C0" w:rsidRPr="00D57F95" w:rsidRDefault="006F44C0" w:rsidP="00DF0D77">
      <w:pPr>
        <w:pStyle w:val="Ttulo4"/>
      </w:pPr>
      <w:bookmarkStart w:id="530" w:name="_Toc37373883"/>
      <w:bookmarkStart w:id="531" w:name="_Toc49423683"/>
      <w:bookmarkStart w:id="532" w:name="_Toc49708615"/>
      <w:bookmarkStart w:id="533" w:name="_Toc49866555"/>
      <w:r w:rsidRPr="00D57F95">
        <w:t>Plazos</w:t>
      </w:r>
      <w:bookmarkEnd w:id="530"/>
      <w:bookmarkEnd w:id="531"/>
      <w:bookmarkEnd w:id="532"/>
      <w:bookmarkEnd w:id="533"/>
    </w:p>
    <w:p w14:paraId="19F093CE" w14:textId="77777777" w:rsidR="006F44C0" w:rsidRDefault="006F44C0" w:rsidP="002B2B15">
      <w:pPr>
        <w:spacing w:after="240"/>
      </w:pPr>
      <w:r w:rsidRPr="009D2408">
        <w:t>El plazo para la presentación es de 20 días desde la notificación de las resolucione</w:t>
      </w:r>
      <w:r w:rsidRPr="00D1459B">
        <w:t>s,</w:t>
      </w:r>
      <w:r w:rsidRPr="009D2408">
        <w:t xml:space="preserve"> o desde que se tuvo conocimiento de la causa de indefensión, con un máximo de cinco años como plazo de caducidad a los efectos de poder interponer el incidente, contados desde la notificación de la resolución.</w:t>
      </w:r>
    </w:p>
    <w:p w14:paraId="3D630693" w14:textId="77777777" w:rsidR="006F44C0" w:rsidRDefault="006F44C0" w:rsidP="002B2B15">
      <w:pPr>
        <w:spacing w:after="240"/>
      </w:pPr>
      <w:r>
        <w:t xml:space="preserve">Estos dos plazos juegan conjuntamente y su cómputo habrá de realizarse excluyendo los días inhábiles (STC 157/2009, FJ 3). </w:t>
      </w:r>
    </w:p>
    <w:p w14:paraId="1B000CD9" w14:textId="77777777" w:rsidR="006F44C0" w:rsidRDefault="006F44C0" w:rsidP="002B2B15">
      <w:pPr>
        <w:spacing w:after="240"/>
        <w:rPr>
          <w:color w:val="FF0000"/>
        </w:rPr>
      </w:pPr>
      <w:r>
        <w:t xml:space="preserve">Transcurrido el plazo absoluto de cinco años, el legislador da por sanado cualquier vicio causante de nulidad. </w:t>
      </w:r>
    </w:p>
    <w:p w14:paraId="6BF99355" w14:textId="711B8CDE" w:rsidR="006F44C0" w:rsidRPr="00DF0D77" w:rsidRDefault="006F44C0" w:rsidP="002B2B15">
      <w:pPr>
        <w:spacing w:after="240"/>
      </w:pPr>
      <w:r w:rsidRPr="00DF0D77">
        <w:t xml:space="preserve">En este sentido </w:t>
      </w:r>
      <w:r w:rsidR="00DF0D77" w:rsidRPr="00DF0D77">
        <w:t xml:space="preserve">es necesario atender a lo </w:t>
      </w:r>
      <w:r w:rsidRPr="00DF0D77">
        <w:t xml:space="preserve">qué sucederá en los casos en que no exista comunicación efectiva de la resolución que pone fin al proceso y, por tanto, se desconozca el </w:t>
      </w:r>
      <w:proofErr w:type="spellStart"/>
      <w:r w:rsidRPr="00DF0D77">
        <w:rPr>
          <w:i/>
          <w:iCs/>
        </w:rPr>
        <w:t>dies</w:t>
      </w:r>
      <w:proofErr w:type="spellEnd"/>
      <w:r w:rsidRPr="00DF0D77">
        <w:rPr>
          <w:i/>
          <w:iCs/>
        </w:rPr>
        <w:t xml:space="preserve"> a quo</w:t>
      </w:r>
      <w:r w:rsidRPr="00DF0D77">
        <w:t xml:space="preserve"> establecido como tal por la Ley. En dichos casos el TC </w:t>
      </w:r>
      <w:r w:rsidR="00DF0D77" w:rsidRPr="00DF0D77">
        <w:t>declaró</w:t>
      </w:r>
      <w:r w:rsidRPr="00DF0D77">
        <w:t xml:space="preserve"> que se debe computar el plazo desde que la parte recurrente tuvo conocimiento suficiente y fehaciente de la resolución, dándose por informada de su alcance material, como establece en su Sentencia 248/2006 de 24 de julio, cuando fij</w:t>
      </w:r>
      <w:r w:rsidR="00B86E49">
        <w:t>ó</w:t>
      </w:r>
      <w:r w:rsidRPr="00DF0D77">
        <w:t xml:space="preserve"> que:</w:t>
      </w:r>
    </w:p>
    <w:p w14:paraId="60960E0D" w14:textId="77777777" w:rsidR="006F44C0" w:rsidRPr="00DF0D77" w:rsidRDefault="006F44C0" w:rsidP="002B2B15">
      <w:pPr>
        <w:spacing w:after="240"/>
        <w:rPr>
          <w:i/>
          <w:iCs/>
        </w:rPr>
      </w:pPr>
      <w:r w:rsidRPr="00DF0D77">
        <w:rPr>
          <w:i/>
          <w:iCs/>
        </w:rPr>
        <w:t xml:space="preserve">«La singularidad de este tipo de demandas de amparo suscita una dificultad, como ya apuntamos en la STC 72/1990, de 23 de abril ( RTC 1990, 72) , F. 2, consistente en la necesidad de precisar el plazo en el que la solicitud de amparo debe ser formulada ante este Tribunal Constitucional, por cuanto quien no es parte en el proceso judicial previo y no tiene, por tanto, intervención en el mismo, no es objeto de notificación alguna que le proporcione noticia de la Sentencia dictada, con lo que, en principio, no puede ser de directa aplicación, dada su propia literalidad, la regla fijada en el art. 44.2 LOTC, en </w:t>
      </w:r>
      <w:r w:rsidRPr="00DF0D77">
        <w:rPr>
          <w:i/>
          <w:iCs/>
        </w:rPr>
        <w:lastRenderedPageBreak/>
        <w:t>virtud de la cual el plazo de veinte días para interponer el recurso de amparo se contará «a partir de la notificación de la resolución recaída en el proceso judicial.</w:t>
      </w:r>
    </w:p>
    <w:p w14:paraId="77A5F165" w14:textId="77777777" w:rsidR="006F44C0" w:rsidRPr="00DF0D77" w:rsidRDefault="006F44C0" w:rsidP="002B2B15">
      <w:pPr>
        <w:spacing w:after="240"/>
        <w:rPr>
          <w:i/>
          <w:iCs/>
        </w:rPr>
      </w:pPr>
      <w:r w:rsidRPr="00DF0D77">
        <w:rPr>
          <w:i/>
          <w:iCs/>
        </w:rPr>
        <w:t>Pues bien, como indicamos en la propia STC 72/1990, de 23 de abril, F. 2, antes citada, «conviene recordar que la cuestión fue ya resuelta por este Tribunal Constitucional en su ATC 421/1983 ( RTC 1983, 421 AUTO) , manteniendo desde ese momento, en reiterada doctrina (por todos, ATC 642/1984 [ RTC 1984, 642 AUTO] y STC 92/1984 [ RTC 1984, 92] ), que para suplir el vacío legal debe ser aplicado analógicamente lo dispuesto en el referido art. 44.2 LOTC, si bien "computando el plazo desde que la parte recurrente en amparo tuvo conocimiento suficiente y fehaciente de la Sentencia dictada por el órgano judicial, dándose por informada de su alcance material, puesto que esta noticia es equivalente por su contenido a la proveniente de la notificación procesal, debiendo por ello entablar recurso de amparo dentro del plazo de veinte días, y sin poder extender sus límites temporales más allá de su alcance, dejando a su arbitrio la extensión, con ilimitado ejercicio del derecho a iniciar el proceso constitucional" (ATC 642/1984, F. 2)».</w:t>
      </w:r>
    </w:p>
    <w:p w14:paraId="342AA661" w14:textId="3DE4FF7E" w:rsidR="006F44C0" w:rsidRPr="005E0DA1" w:rsidRDefault="006F44C0" w:rsidP="002B2B15">
      <w:pPr>
        <w:spacing w:after="240"/>
      </w:pPr>
      <w:r w:rsidRPr="00DF0D77">
        <w:t>De este modo, como afirma FERNÁNDEZ CABALLERO</w:t>
      </w:r>
      <w:r w:rsidRPr="00DF0D77">
        <w:rPr>
          <w:rStyle w:val="Refdenotaalpie"/>
        </w:rPr>
        <w:footnoteReference w:id="220"/>
      </w:r>
      <w:r w:rsidRPr="00DF0D77">
        <w:t xml:space="preserve">, entendemos que habrá que determinar si los solicitantes de amparo tuvieron conocimiento material de la Sentencia dictada en el proceso al que no fueron emplazados en un momento anterior al que formalmente reconocieron como tal, porque, si así fuese, la demanda de amparo necesariamente incurriría en extemporaneidad y, por tanto, habría de ser rechazada. Al hilo de esto, es necesario aclarar que deberá ser el actor del incidente de nulidad el que acredite el momento en que tuvo conocimiento de la resolución que pretende impugnar. De este </w:t>
      </w:r>
      <w:r w:rsidR="007B7556" w:rsidRPr="00DF0D77">
        <w:t>modo, será</w:t>
      </w:r>
      <w:r w:rsidRPr="00DF0D77">
        <w:t xml:space="preserve"> el </w:t>
      </w:r>
      <w:r w:rsidR="00DF0D77">
        <w:t>T</w:t>
      </w:r>
      <w:r w:rsidRPr="00DF0D77">
        <w:t>ribunal el que resuelv</w:t>
      </w:r>
      <w:r w:rsidR="00DF0D77">
        <w:t>a</w:t>
      </w:r>
      <w:r w:rsidRPr="00DF0D77">
        <w:t xml:space="preserve"> esta cuestión, en atención a las alegaciones presentadas, motivando en todo caso la inadmisión del incidente de nulidad cuando considere que se ha interpuesto fuera de plazo.</w:t>
      </w:r>
    </w:p>
    <w:p w14:paraId="633DA649" w14:textId="77777777" w:rsidR="006F44C0" w:rsidRPr="00FE2226" w:rsidRDefault="006F44C0" w:rsidP="00B86E49">
      <w:pPr>
        <w:pStyle w:val="Ttulo4"/>
      </w:pPr>
      <w:bookmarkStart w:id="534" w:name="_Toc37373884"/>
      <w:bookmarkStart w:id="535" w:name="_Toc49423684"/>
      <w:bookmarkStart w:id="536" w:name="_Toc49708616"/>
      <w:bookmarkStart w:id="537" w:name="_Toc49866556"/>
      <w:r w:rsidRPr="00FE2226">
        <w:lastRenderedPageBreak/>
        <w:t>Procedimiento</w:t>
      </w:r>
      <w:bookmarkEnd w:id="534"/>
      <w:bookmarkEnd w:id="535"/>
      <w:bookmarkEnd w:id="536"/>
      <w:bookmarkEnd w:id="537"/>
    </w:p>
    <w:p w14:paraId="4F21308F" w14:textId="77777777" w:rsidR="006F44C0" w:rsidRDefault="006F44C0" w:rsidP="002B2B15">
      <w:pPr>
        <w:spacing w:after="240"/>
      </w:pPr>
      <w:r>
        <w:t>El incidente se inicia mediante un escrito, en forma de demanda, al que se acompañan los documentos justificativos de la presunta vulneración de derechos. El trámite de admisión se recoge en los arts. 241 LOPJ y 228 LEC, que parten de la premisa de que no se admitirán con carácter general incidentes de nulidad de actuaciones. Esta premisa justifica los amplios poderes de los que goza el juez para inadmitir la tramitación de la nulidad, presentándose como regla general la inadmisión.</w:t>
      </w:r>
    </w:p>
    <w:p w14:paraId="4750C952" w14:textId="77777777" w:rsidR="006F44C0" w:rsidRPr="00F01F60" w:rsidRDefault="006F44C0" w:rsidP="002B2B15">
      <w:pPr>
        <w:spacing w:after="240"/>
        <w:rPr>
          <w:color w:val="FF0000"/>
        </w:rPr>
      </w:pPr>
      <w:r>
        <w:t xml:space="preserve">Este escrito irá acompañado de los documentos que acrediten la vulneración del derecho fundamental lesionado que justifica la apertura del incidente. </w:t>
      </w:r>
      <w:r>
        <w:rPr>
          <w:color w:val="000000" w:themeColor="text1"/>
        </w:rPr>
        <w:t>H</w:t>
      </w:r>
      <w:r w:rsidRPr="003F6449">
        <w:rPr>
          <w:color w:val="000000" w:themeColor="text1"/>
        </w:rPr>
        <w:t>ay que señalar, en primer lugar, que sólo puede iniciarse el incidente a instancia de parte, nunca de oficio</w:t>
      </w:r>
      <w:r>
        <w:rPr>
          <w:color w:val="000000" w:themeColor="text1"/>
        </w:rPr>
        <w:t>. Este hecho es llamativo si tenemos en cuenta que l</w:t>
      </w:r>
      <w:r w:rsidRPr="00122F45">
        <w:rPr>
          <w:color w:val="000000" w:themeColor="text1"/>
        </w:rPr>
        <w:t>a regulación de la L</w:t>
      </w:r>
      <w:r>
        <w:rPr>
          <w:color w:val="000000" w:themeColor="text1"/>
        </w:rPr>
        <w:t xml:space="preserve">OPJ </w:t>
      </w:r>
      <w:r w:rsidRPr="00122F45">
        <w:rPr>
          <w:color w:val="000000" w:themeColor="text1"/>
        </w:rPr>
        <w:t>y de la L</w:t>
      </w:r>
      <w:r>
        <w:rPr>
          <w:color w:val="000000" w:themeColor="text1"/>
        </w:rPr>
        <w:t>EC</w:t>
      </w:r>
      <w:r w:rsidRPr="00122F45">
        <w:rPr>
          <w:color w:val="000000" w:themeColor="text1"/>
        </w:rPr>
        <w:t xml:space="preserve"> evidencian que el legislador</w:t>
      </w:r>
      <w:r>
        <w:rPr>
          <w:color w:val="000000" w:themeColor="text1"/>
        </w:rPr>
        <w:t xml:space="preserve"> quiso</w:t>
      </w:r>
      <w:r w:rsidRPr="00122F45">
        <w:rPr>
          <w:color w:val="000000" w:themeColor="text1"/>
        </w:rPr>
        <w:t xml:space="preserve"> potenciar el control por parte del Juez de la regularidad de los actos procesales posibilitando el planteamiento, incluso de oficio,</w:t>
      </w:r>
      <w:r>
        <w:rPr>
          <w:color w:val="000000" w:themeColor="text1"/>
        </w:rPr>
        <w:t xml:space="preserve"> del incidente de nulidad ordinario. </w:t>
      </w:r>
    </w:p>
    <w:p w14:paraId="014833CC" w14:textId="77777777" w:rsidR="006F44C0" w:rsidRDefault="006F44C0" w:rsidP="002B2B15">
      <w:pPr>
        <w:spacing w:after="240"/>
      </w:pPr>
      <w:r>
        <w:t>A la hora de plantear el incidente excepcional, debemos recordar, en primer lugar, que el fin último de éste es reparar la vulneración de un derecho o libertad fundamental por la resolución que puso fin al proceso. También es frecuente el caso de la reparación de una vulneración acaecida dentro del proceso, pero que no haya podido ser denunciada en su momento. Por este motivo, y en el caso en que el incidente se funde en una indefensión, el escrito que insta el incidente debe razonar sobre ambos extremos, es decir, sobre la existencia de un vicio que ha determinado indefensió</w:t>
      </w:r>
      <w:r w:rsidRPr="00FE2226">
        <w:t>n</w:t>
      </w:r>
      <w:r>
        <w:t xml:space="preserve"> </w:t>
      </w:r>
      <w:r w:rsidRPr="00FE2226">
        <w:t>y</w:t>
      </w:r>
      <w:r>
        <w:t xml:space="preserve"> sobre el hecho que la misma no pudo ser denunciada en el curso del proceso. Si el defecto causante de indefensión se conociese con posterioridad, deberán exponerse las circunstancias y momento en que se tuvo conocimiento del mismo, pudiendo acompañarse en todo caso los documentos justificativos de las pretensiones de la parte</w:t>
      </w:r>
      <w:r>
        <w:rPr>
          <w:rStyle w:val="Refdenotaalpie"/>
        </w:rPr>
        <w:footnoteReference w:id="221"/>
      </w:r>
      <w:r>
        <w:t>.</w:t>
      </w:r>
    </w:p>
    <w:p w14:paraId="49F7C6E4" w14:textId="77777777" w:rsidR="006F44C0" w:rsidRDefault="006F44C0" w:rsidP="002B2B15">
      <w:pPr>
        <w:spacing w:after="240"/>
      </w:pPr>
      <w:r>
        <w:t xml:space="preserve">El juez admitirá a trámite el escrito si se dan todos los requisitos, dando traslado a las demás </w:t>
      </w:r>
      <w:r w:rsidRPr="003F6449">
        <w:rPr>
          <w:color w:val="000000" w:themeColor="text1"/>
        </w:rPr>
        <w:t>por término de cinco días junto con los documentos aportados. Las partes pueden formular alegaciones y aportar documentos en dicho plazo</w:t>
      </w:r>
      <w:r>
        <w:rPr>
          <w:color w:val="000000" w:themeColor="text1"/>
        </w:rPr>
        <w:t xml:space="preserve">. </w:t>
      </w:r>
      <w:r>
        <w:t xml:space="preserve">De este modo, el juez controlará que se alegan defectos de forma que lesionen derechos fundamentales y que se </w:t>
      </w:r>
      <w:r>
        <w:lastRenderedPageBreak/>
        <w:t>presenta en el plazo. En caso de que no se cumpliesen todos los requisitos, el juez lo inadmitirá por providencia sucintamente motivada e irrecurrible</w:t>
      </w:r>
      <w:r>
        <w:rPr>
          <w:rStyle w:val="Refdenotaalpie"/>
        </w:rPr>
        <w:footnoteReference w:id="222"/>
      </w:r>
      <w:r>
        <w:t>.</w:t>
      </w:r>
    </w:p>
    <w:p w14:paraId="4195F1FF" w14:textId="65F355BE" w:rsidR="006F44C0" w:rsidRDefault="006F44C0" w:rsidP="002B2B15">
      <w:pPr>
        <w:spacing w:after="240"/>
      </w:pPr>
      <w:r>
        <w:t>La decisión del legislador de resolver la inadmisión de este incidente a través de providencia sucintamente motivada, a pesar de descansar en razones probablemente de agilidad, no ha estado exenta de críticas por la doctrina que considera que lo adecuado hubiera sido resolver a través de auto motivado y recurrible, extendiendo la misma lógica para la resolución de admisión</w:t>
      </w:r>
      <w:r>
        <w:rPr>
          <w:rStyle w:val="Refdenotaalpie"/>
        </w:rPr>
        <w:footnoteReference w:id="223"/>
      </w:r>
      <w:r>
        <w:t xml:space="preserve">. Por su parte, otros autores como ÁLVAREZ SÁNCHEZ DE MOVELLÁN, mantienen que es la literalidad de la ley lo que debe primar, más cuando la cuestión de la forma de las resoluciones es de legalidad ordinaria y por tanto no se puede “exigir constitucionalmente” una u otra. Añade el autor a este respecto que, el hecho de que para la inadmisión del incidente se prevea una providencia sucintamente motivada </w:t>
      </w:r>
      <w:r w:rsidRPr="00EF3270">
        <w:rPr>
          <w:i/>
          <w:iCs/>
        </w:rPr>
        <w:t xml:space="preserve">“no debe causar extrañeza ninguna ya que el art. 208 de la LEC dispone que las providencias puedan incluir </w:t>
      </w:r>
      <w:r w:rsidR="007B7556" w:rsidRPr="00EF3270">
        <w:rPr>
          <w:i/>
          <w:iCs/>
        </w:rPr>
        <w:t>una” sucinta</w:t>
      </w:r>
      <w:r w:rsidRPr="00EF3270">
        <w:rPr>
          <w:i/>
          <w:iCs/>
        </w:rPr>
        <w:t xml:space="preserve"> motivación” cuando así lo disponga la ley o quien haya de dictarlas lo estime conveniente. Por tanto, entre la previsión genérica del art. 208 LEC y la disposición expresa del 241 LOPJ no parece que haya duda sobre la resolución que inadmita el incidente. Y partiendo de aquí, la lógica sistemática es que la admisión del incidente a trámite se resuelva también mediante providencia, pues no se puede pedir una forma más exigente y mayor motivación para la providencia de inadmisión, está pidiendo un plus para una resolución que, caso de ser admisión, no exigiría de tal motivación”</w:t>
      </w:r>
      <w:r>
        <w:rPr>
          <w:rStyle w:val="Refdenotaalpie"/>
          <w:i/>
          <w:iCs/>
        </w:rPr>
        <w:footnoteReference w:id="224"/>
      </w:r>
      <w:r w:rsidRPr="00EF3270">
        <w:rPr>
          <w:i/>
          <w:iCs/>
        </w:rPr>
        <w:t>.</w:t>
      </w:r>
    </w:p>
    <w:p w14:paraId="3071886C" w14:textId="77777777" w:rsidR="006F44C0" w:rsidRDefault="006F44C0" w:rsidP="002B2B15">
      <w:pPr>
        <w:spacing w:after="240"/>
      </w:pPr>
      <w:r>
        <w:t xml:space="preserve">En nuestra opinión, más allá del hecho es sí del uso de un auto o de una providencia, la importancia de esta cuestión radica en la efectiva motivación de esa providencia (o auto), teniendo en cuenta que es irrecurrible, pues en la práctica muchas providencias no se motivan o se hacen insuficientemente. Prueba de ello es la </w:t>
      </w:r>
      <w:r w:rsidRPr="00FE2226">
        <w:t>STC 135/2017</w:t>
      </w:r>
      <w:r w:rsidRPr="006971F0">
        <w:t>, de 27 de noviembre</w:t>
      </w:r>
      <w:r>
        <w:t xml:space="preserve">, en la que el </w:t>
      </w:r>
      <w:r w:rsidRPr="00FE2226">
        <w:t>T</w:t>
      </w:r>
      <w:r>
        <w:t>ribunal otorga el amparo por la inadmisión</w:t>
      </w:r>
      <w:r w:rsidRPr="00FE2226">
        <w:t xml:space="preserve"> </w:t>
      </w:r>
      <w:r>
        <w:t xml:space="preserve">de un incidente de </w:t>
      </w:r>
      <w:r>
        <w:lastRenderedPageBreak/>
        <w:t xml:space="preserve">nulidad por parte de un Tribunal Superior de Justicia. En esa providencia de inadmisión el Tribunal superior </w:t>
      </w:r>
      <w:r w:rsidRPr="000D4EC8">
        <w:t>tan solo expresa como razón que la cuestión “</w:t>
      </w:r>
      <w:r w:rsidRPr="000D4EC8">
        <w:rPr>
          <w:i/>
          <w:iCs/>
        </w:rPr>
        <w:t>se sitúa fuera del campo de un incidente de nulidad de actuaciones”</w:t>
      </w:r>
      <w:r>
        <w:t xml:space="preserve">. Tal motivación es rechazada por el TC, el cual sostiene que tras la reforma de 2007 el órgano judicial debe realizar una interpretación no restrictiva de los motivos de inadmisión, tramitar el incidente y motivar, en cualquier caso, suficientemente su decisión. En el presente caso, al TC le resultó imposible conocer las razones por las que se inadmitió el incidente de nulidad. Por ello, en la sentencia se fundamenta, literalmente, que </w:t>
      </w:r>
      <w:r w:rsidRPr="006971F0">
        <w:rPr>
          <w:i/>
          <w:iCs/>
        </w:rPr>
        <w:t>“mal se puede realizar un control –ni siquiera externo– de lo que carece de un razonamiento expreso”.</w:t>
      </w:r>
      <w:r>
        <w:t xml:space="preserve"> Consecuentemente, se consideró vulnerado el derecho a la tutela judicial en su vertiente del derecho de acceso al recurso, por haberse inadmitido, mediante providencia inmotivada, el incidente de nulidad de actuaciones, ordenando retrotraer las actuaciones hasta el momento anterior a la producción de la lesión constitucional.</w:t>
      </w:r>
    </w:p>
    <w:p w14:paraId="0E8B6756" w14:textId="53CB0A3E" w:rsidR="006F44C0" w:rsidRDefault="006F44C0" w:rsidP="002B2B15">
      <w:pPr>
        <w:spacing w:after="240"/>
      </w:pPr>
      <w:r>
        <w:t xml:space="preserve">La admisión </w:t>
      </w:r>
      <w:r w:rsidRPr="00630C62">
        <w:t xml:space="preserve">a trámite </w:t>
      </w:r>
      <w:r>
        <w:t>d</w:t>
      </w:r>
      <w:r w:rsidRPr="00630C62">
        <w:t>el escrito en que se pid</w:t>
      </w:r>
      <w:r>
        <w:t>e</w:t>
      </w:r>
      <w:r w:rsidRPr="00630C62">
        <w:t xml:space="preserve"> la nulidad </w:t>
      </w:r>
      <w:r>
        <w:t xml:space="preserve">no conlleva que quede </w:t>
      </w:r>
      <w:r w:rsidR="007B7556">
        <w:t xml:space="preserve">en </w:t>
      </w:r>
      <w:r w:rsidR="007B7556" w:rsidRPr="00630C62">
        <w:t>suspenso</w:t>
      </w:r>
      <w:r w:rsidRPr="00630C62">
        <w:t xml:space="preserve"> la ejecución y eficacia de la sentencia o resolución irrecurribles, salvo que se acuerde de forma expresa la suspensión para evitar que el incidente pudiera perder su finalidad</w:t>
      </w:r>
      <w:r>
        <w:t>. Al tratarse de un supuesto excepcional, recae sobre el solicitante la carga de pedir razonadamente la suspensión y de acreditar suficientemente el perjuicio que se le ocasiona con la ejecución.</w:t>
      </w:r>
    </w:p>
    <w:p w14:paraId="15080864" w14:textId="77777777" w:rsidR="006F44C0" w:rsidRDefault="006F44C0" w:rsidP="002B2B15">
      <w:pPr>
        <w:spacing w:after="240"/>
        <w:rPr>
          <w:color w:val="000000" w:themeColor="text1"/>
        </w:rPr>
      </w:pPr>
      <w:r>
        <w:t xml:space="preserve">El incidente termina con un auto contra el que no cabe recurso, evitando así el uso dilatorio del mismo. </w:t>
      </w:r>
      <w:r w:rsidRPr="003F6449">
        <w:rPr>
          <w:color w:val="000000" w:themeColor="text1"/>
        </w:rPr>
        <w:t>Por lo que se refiere a los efectos de la resolución que se dicte</w:t>
      </w:r>
      <w:r>
        <w:rPr>
          <w:color w:val="000000" w:themeColor="text1"/>
        </w:rPr>
        <w:t xml:space="preserve">, si </w:t>
      </w:r>
      <w:r w:rsidRPr="00630C62">
        <w:rPr>
          <w:color w:val="000000" w:themeColor="text1"/>
        </w:rPr>
        <w:t xml:space="preserve">se estimara la nulidad, se repondrán las actuaciones al estado inmediatamente anterior al defecto que la haya originado y se seguirá el procedimiento legalmente establecido. </w:t>
      </w:r>
      <w:r>
        <w:rPr>
          <w:color w:val="000000" w:themeColor="text1"/>
        </w:rPr>
        <w:t>Por el contrario, s</w:t>
      </w:r>
      <w:r w:rsidRPr="00630C62">
        <w:rPr>
          <w:color w:val="000000" w:themeColor="text1"/>
        </w:rPr>
        <w:t>i se desestimara la solicitud de nulidad, se condenará, por medio de auto, al solicitante en todas las costas del incidente y, en caso de que el juzgado o tribunal entienda que se promovió con temeridad, le impondrá, además, una multa de 90 a 600 euros.</w:t>
      </w:r>
    </w:p>
    <w:p w14:paraId="70369601" w14:textId="77777777" w:rsidR="006F44C0" w:rsidRPr="00B86E49" w:rsidRDefault="006F44C0" w:rsidP="002B2B15">
      <w:pPr>
        <w:spacing w:after="240"/>
      </w:pPr>
      <w:r w:rsidRPr="00B86E49">
        <w:t>En nuestra opinión, apreciamos un “doble rasero” a este respecto. Por una parte, no nos parece oportuno que una herramienta, como es el incidente, necesaria para el agotamiento de la vía judicial previa al amparo conlleve en caso de desestimación una condena en costas más, en caso, una multa. Recordemos que su no interposición implicará la inadmisión del recurso de amparo en caso de que ésta hubiera sido preceptiva.</w:t>
      </w:r>
    </w:p>
    <w:p w14:paraId="79258E9C" w14:textId="07C36C65" w:rsidR="006F44C0" w:rsidRPr="00B86E49" w:rsidRDefault="006F44C0" w:rsidP="002B2B15">
      <w:pPr>
        <w:spacing w:after="240"/>
      </w:pPr>
      <w:r w:rsidRPr="00B86E49">
        <w:lastRenderedPageBreak/>
        <w:t xml:space="preserve">Sin embargo, entendemos que la raíz del problema no está en el hecho en sí de condenar en costas al solicitante del incidente desestimado o castigarlo con una multa en caso de su interposición con ánimo dilatorio. El problema radica, a nuestro entender, en la dificultad para las partes a la hora de conocer cuándo </w:t>
      </w:r>
      <w:r w:rsidR="007B7556" w:rsidRPr="00B86E49">
        <w:t>procederá el</w:t>
      </w:r>
      <w:r w:rsidRPr="00B86E49">
        <w:t xml:space="preserve"> incidente. Es decir, es evidente que en ocasiones éste será interpuesto con ánimo dilatorio, caso en el que la multa será del todo procedente. Sin embargo, consideramos que en muchas ocasiones él incidente habrá sido presentado ante el desconocimiento de si es preceptivo o no y ante el “miedo” de que su posterior recurso de amparo pueda ser rechazado por prematuro.</w:t>
      </w:r>
    </w:p>
    <w:p w14:paraId="30DCE664" w14:textId="77777777" w:rsidR="006F44C0" w:rsidRPr="00635573" w:rsidRDefault="006F44C0" w:rsidP="002B2B15">
      <w:pPr>
        <w:spacing w:after="240"/>
      </w:pPr>
      <w:r w:rsidRPr="00B86E49">
        <w:t>La cuestión será distinguir en qué casos el ánimo era dilatorio, por lo que el solicitante merece ser castigado, y en qué casos el solicitante lo ha interpuesto considerando que era procedente y necesario para un posible y posterior recurso de amparo.</w:t>
      </w:r>
    </w:p>
    <w:p w14:paraId="257F5D93" w14:textId="77777777" w:rsidR="006F44C0" w:rsidRDefault="006F44C0" w:rsidP="00B86E49">
      <w:pPr>
        <w:pStyle w:val="Ttulo2"/>
      </w:pPr>
      <w:bookmarkStart w:id="538" w:name="_Toc29367738"/>
      <w:bookmarkStart w:id="539" w:name="_Toc37373885"/>
      <w:bookmarkStart w:id="540" w:name="_Toc49423685"/>
      <w:bookmarkStart w:id="541" w:name="_Toc49708617"/>
      <w:bookmarkStart w:id="542" w:name="_Toc49790289"/>
      <w:bookmarkStart w:id="543" w:name="_Toc49866557"/>
      <w:bookmarkStart w:id="544" w:name="_Toc50373180"/>
      <w:r>
        <w:t>La relación entre e</w:t>
      </w:r>
      <w:r w:rsidRPr="00AC3E9E">
        <w:t xml:space="preserve">l incidente “excepcional” de nulidad de actuaciones y </w:t>
      </w:r>
      <w:r>
        <w:t xml:space="preserve">el </w:t>
      </w:r>
      <w:r w:rsidRPr="00AC3E9E">
        <w:t>recurso de amparo constitucional</w:t>
      </w:r>
      <w:bookmarkEnd w:id="538"/>
      <w:bookmarkEnd w:id="539"/>
      <w:bookmarkEnd w:id="540"/>
      <w:bookmarkEnd w:id="541"/>
      <w:bookmarkEnd w:id="542"/>
      <w:bookmarkEnd w:id="543"/>
      <w:bookmarkEnd w:id="544"/>
    </w:p>
    <w:p w14:paraId="2235A2AD" w14:textId="77777777" w:rsidR="006F44C0" w:rsidRPr="0071303A" w:rsidRDefault="006F44C0" w:rsidP="002B2B15">
      <w:pPr>
        <w:spacing w:after="240"/>
      </w:pPr>
      <w:r>
        <w:t xml:space="preserve">Una vez estudiada la figura del incidente “excepcional” de nulidad de actuaciones, resulta necesario al objeto de nuestro trabajo conocer su relación, así como las posibles “fricciones” que pueden darse entre esta figura y el recurso de amparo constitucional, especialmente tras la introducción de éste como medio necesario para el agotamiento de la vía judicial previa al recurso de amparo tras la reforma de 2007. </w:t>
      </w:r>
    </w:p>
    <w:p w14:paraId="7EAE8B41" w14:textId="77777777" w:rsidR="006F44C0" w:rsidRDefault="006F44C0" w:rsidP="001A4310">
      <w:pPr>
        <w:pStyle w:val="Ttulo3"/>
        <w:numPr>
          <w:ilvl w:val="0"/>
          <w:numId w:val="60"/>
        </w:numPr>
      </w:pPr>
      <w:bookmarkStart w:id="545" w:name="_Toc37373886"/>
      <w:bookmarkStart w:id="546" w:name="_Toc49423686"/>
      <w:bookmarkStart w:id="547" w:name="_Toc49708618"/>
      <w:bookmarkStart w:id="548" w:name="_Toc49790290"/>
      <w:bookmarkStart w:id="549" w:name="_Toc49866558"/>
      <w:bookmarkStart w:id="550" w:name="_Toc50373181"/>
      <w:r>
        <w:t xml:space="preserve">El incidente excepcional de nulidad de actuaciones como </w:t>
      </w:r>
      <w:r w:rsidRPr="00D971C8">
        <w:t xml:space="preserve">instrumento procesal </w:t>
      </w:r>
      <w:r>
        <w:t>para</w:t>
      </w:r>
      <w:r w:rsidRPr="00D971C8">
        <w:t xml:space="preserve"> remediar lesiones de derechos fundamentales</w:t>
      </w:r>
      <w:bookmarkEnd w:id="545"/>
      <w:bookmarkEnd w:id="546"/>
      <w:bookmarkEnd w:id="547"/>
      <w:bookmarkEnd w:id="548"/>
      <w:bookmarkEnd w:id="549"/>
      <w:bookmarkEnd w:id="550"/>
    </w:p>
    <w:p w14:paraId="0921369A" w14:textId="77777777" w:rsidR="006F44C0" w:rsidRPr="00D971C8" w:rsidRDefault="006F44C0" w:rsidP="002B2B15">
      <w:pPr>
        <w:spacing w:after="240"/>
      </w:pPr>
      <w:r w:rsidRPr="00D971C8">
        <w:t>La subsidiariedad del recurso de amparo viene establecida, como sabemos, por la LOTC</w:t>
      </w:r>
      <w:r>
        <w:t xml:space="preserve"> y la propia CE</w:t>
      </w:r>
      <w:r w:rsidRPr="00D971C8">
        <w:t xml:space="preserve">. Por ello, es necesario el agotamiento de «la vía judicial procedente», cuando se recurre en amparo frente a actos de la Administración o del Gobierno (art. 43 LOTC) o, en su caso, que </w:t>
      </w:r>
      <w:r w:rsidRPr="004453CA">
        <w:t>«</w:t>
      </w:r>
      <w:r w:rsidRPr="004453CA">
        <w:rPr>
          <w:i/>
        </w:rPr>
        <w:t>se hayan agotado todos los medios de impugnación previstos por las normas procesales para el caso concreto dentro de la vía judicial</w:t>
      </w:r>
      <w:r w:rsidRPr="004453CA">
        <w:t>»</w:t>
      </w:r>
      <w:r w:rsidRPr="00D971C8">
        <w:t xml:space="preserve"> cuando el recurso de amparo pretenda interponerse frente a violaciones de los derechos y libertades </w:t>
      </w:r>
      <w:r w:rsidRPr="00D971C8">
        <w:lastRenderedPageBreak/>
        <w:t>susceptibles de amparo constitucional, que tuvieran su origen inmediato y directo en un acto u omisión de un órgano judicial (art. 44.1 a).</w:t>
      </w:r>
      <w:r w:rsidRPr="00D971C8">
        <w:rPr>
          <w:rStyle w:val="Refdenotaalpie"/>
        </w:rPr>
        <w:t xml:space="preserve"> </w:t>
      </w:r>
      <w:r w:rsidRPr="00D971C8">
        <w:rPr>
          <w:rStyle w:val="Refdenotaalpie"/>
        </w:rPr>
        <w:footnoteReference w:id="225"/>
      </w:r>
    </w:p>
    <w:p w14:paraId="5A385A55" w14:textId="77777777" w:rsidR="006F44C0" w:rsidRPr="00D971C8" w:rsidRDefault="006F44C0" w:rsidP="002B2B15">
      <w:pPr>
        <w:spacing w:after="240"/>
      </w:pPr>
      <w:r w:rsidRPr="00D971C8">
        <w:t>En el segundo supuesto, recurso de amparo frente a resoluciones judiciales, la jurisprudencia constitucional ha interpretado de forma rigurosa la exigencia del agotamiento de la vía judicial previa. Se han incluido dentro de los medios de impugnación necesarios algunos que, no siendo recursos en sentido estricto, han sido considerados adecuados para la reparación de la lesión del derecho fundamental, tal es el caso de la revisión de sentencias o, en lo que ahora interesa, el incidente de nulidad de actuaciones.</w:t>
      </w:r>
    </w:p>
    <w:p w14:paraId="3EEE450C" w14:textId="77777777" w:rsidR="006F44C0" w:rsidRPr="00D971C8" w:rsidRDefault="006F44C0" w:rsidP="002B2B15">
      <w:pPr>
        <w:spacing w:after="240"/>
      </w:pPr>
      <w:r w:rsidRPr="00D971C8">
        <w:t>Esta interpretación del Alto Tribunal se vio cristalizada en la LO 6/2007, de 24 de mayo, pues en ella se amplió el ámbito de aplicación del incidente de nulidad de actuaciones, al admitir la invocación en él de cualquier derecho fundamental recurrible en amparo (recordemos que antes únicamente se admitía frente a infracciones del art. 24). Esta reforma sustituyó la expresión «recursos utilizables en la vía judicial» que es preciso agotar con carácter previo al amparo constitucional, por la de «medios de impugnación previstos en las leyes procesales», para que no hubiese duda de que debería acudirse a él cuando se diera el supuesto de hecho previsto en el art. 241.1 LOPJ.</w:t>
      </w:r>
    </w:p>
    <w:p w14:paraId="55DBB2DA" w14:textId="77777777" w:rsidR="006F44C0" w:rsidRPr="00D971C8" w:rsidRDefault="006F44C0" w:rsidP="002B2B15">
      <w:pPr>
        <w:spacing w:after="240"/>
      </w:pPr>
      <w:r w:rsidRPr="00D971C8">
        <w:lastRenderedPageBreak/>
        <w:t>El incidente de nulidad de actuaciones pretende corregir una vulneración de uno o varios derechos fundamentales invalidando lo actuado y dejando sin efecto la sentencia en cuestión.</w:t>
      </w:r>
      <w:r>
        <w:t xml:space="preserve"> </w:t>
      </w:r>
      <w:r w:rsidRPr="00D971C8">
        <w:t>Ello, siempre que no se haya podido denunciar antes de que recaiga una resolución que ponga fin al proceso y siempre que dicha resolución no sea ya susceptible de recurso de apelación ni de casación.</w:t>
      </w:r>
    </w:p>
    <w:p w14:paraId="686938B3" w14:textId="5A8DF276" w:rsidR="006F44C0" w:rsidRPr="00D971C8" w:rsidRDefault="006F44C0" w:rsidP="002B2B15">
      <w:pPr>
        <w:spacing w:after="240"/>
      </w:pPr>
      <w:r w:rsidRPr="00D971C8">
        <w:t xml:space="preserve">La STC 155/2009, de 25 de junio, interrelacionó el recurso de amparo con el nuevo incidente de nulidad de actuaciones, perfilando los respectivos papeles a distribuir entre la jurisdicción ordinaria y la constitucional. Como ya sabemos, se introdujo como elemento más novedoso el requisito sustantivo o de fondo </w:t>
      </w:r>
      <w:r w:rsidR="007B7556" w:rsidRPr="00D971C8">
        <w:t>de la</w:t>
      </w:r>
      <w:r w:rsidRPr="00D971C8">
        <w:t xml:space="preserve"> «especial trascendencia constitucional» que impuso el art. 50.1 b) de la LO 2/1979, de 3 </w:t>
      </w:r>
      <w:r w:rsidR="007B7556" w:rsidRPr="00D971C8">
        <w:t>de octubre</w:t>
      </w:r>
      <w:r w:rsidRPr="00D971C8">
        <w:t>, para la admisión del recurso de amparo.  Con tal nuevo requisito, ya no sería suficiente la mera lesión de un derecho fundamental o libertad pública para articular el recurso de amparo.</w:t>
      </w:r>
    </w:p>
    <w:p w14:paraId="27B10D43" w14:textId="77777777" w:rsidR="006F44C0" w:rsidRPr="00D971C8" w:rsidRDefault="006F44C0" w:rsidP="002B2B15">
      <w:pPr>
        <w:spacing w:after="240"/>
      </w:pPr>
      <w:r w:rsidRPr="00D971C8">
        <w:t xml:space="preserve">Sin perjuicio de que  el  recurso de amparo siguiera siendo un recurso de tutela de derechos  fundamentales (hecho discutible como ya mencionamos en el anterior capítulo de este trabajo), lo que hizo el legislador fue configurar </w:t>
      </w:r>
      <w:r>
        <w:t xml:space="preserve">un </w:t>
      </w:r>
      <w:r w:rsidRPr="00D971C8">
        <w:t xml:space="preserve">sistema de garantías  de los  derechos  fundamentales  encomendando a los Jueces y Tribunales de la jurisdicción ordinaria el papel de naturales y primeros </w:t>
      </w:r>
      <w:r>
        <w:t xml:space="preserve">garantes </w:t>
      </w:r>
      <w:r w:rsidRPr="00D971C8">
        <w:t xml:space="preserve">de dichos  derechos, a los que confirió un mayor protagonismo en su protección con la ampliación del incidente de nulidad de actuaciones. </w:t>
      </w:r>
      <w:r>
        <w:t>Pero no sólo esto, con la nueva regulación del incidente, además de subrayar esta posición de la jurisdicción ordinario como garante principal, se permite a los Jueces y Tribunales la posibilidad de rectificar su posición en aquellos supuestos en los que presuntamente han vulnerado un derecho fundamental. Por tanto, podemos apreciar una doble mejora (en principio) para la jurisdicción ordinaria: el fortalecimiento de la posición de los Jueces y Tribunales de la jurisdicción ordinaria como principales garantes de los derechos y la posibilidad de rectificación en caso de error sin necesidad de acudir al amparo constitucional. De este modo</w:t>
      </w:r>
      <w:r w:rsidRPr="00D971C8">
        <w:t xml:space="preserve">, se remarcó </w:t>
      </w:r>
      <w:r>
        <w:t xml:space="preserve">asimismo </w:t>
      </w:r>
      <w:r w:rsidRPr="00D971C8">
        <w:t>el carácter extraordinario y subsidiario del TC con la nueva regulación del recurso de amparo otorgando al TC el papel de garante último y máximo intérprete de la CE.</w:t>
      </w:r>
    </w:p>
    <w:p w14:paraId="4E567BD6" w14:textId="77777777" w:rsidR="006F44C0" w:rsidRPr="00D971C8" w:rsidRDefault="006F44C0" w:rsidP="002B2B15">
      <w:pPr>
        <w:spacing w:after="240"/>
      </w:pPr>
      <w:r w:rsidRPr="00D971C8">
        <w:t xml:space="preserve">Aunque en el siguiente punto haremos un mayor hincapié en la doctrina constitucional relacionada con este tema, destacar que la STC 107/2011, de 20 de junio, </w:t>
      </w:r>
      <w:r>
        <w:t xml:space="preserve">FJ 5, </w:t>
      </w:r>
      <w:r w:rsidRPr="00D971C8">
        <w:t xml:space="preserve">mencionó el protagonismo otorgado por la reforma 6/2007 a los </w:t>
      </w:r>
      <w:r>
        <w:t>t</w:t>
      </w:r>
      <w:r w:rsidRPr="00D971C8">
        <w:t xml:space="preserve">ribunales ordinarios acentuando su función como primeros garantes  de los  derechos  fundamentales,  afirmando, al igual </w:t>
      </w:r>
      <w:r w:rsidRPr="00D971C8">
        <w:lastRenderedPageBreak/>
        <w:t xml:space="preserve">que lo hiciera en la STC 43/2010, de 26 de julio, </w:t>
      </w:r>
      <w:r>
        <w:t xml:space="preserve">FJ 5, </w:t>
      </w:r>
      <w:r w:rsidRPr="00D971C8">
        <w:t>que el incidente de nulidad de actuaciones es un instrumento idóneo para la tutela de los derechos fundamentales,  y  que su resolución debe  tener presente que</w:t>
      </w:r>
      <w:r>
        <w:t>,</w:t>
      </w:r>
      <w:r w:rsidRPr="00D971C8">
        <w:t xml:space="preserve"> </w:t>
      </w:r>
      <w:r w:rsidRPr="00D971C8">
        <w:softHyphen/>
        <w:t>de no tener el caso trascendencia constitucional</w:t>
      </w:r>
      <w:r>
        <w:t>,</w:t>
      </w:r>
      <w:r w:rsidRPr="00D971C8">
        <w:softHyphen/>
        <w:t xml:space="preserve"> se tratará de la última vía que permita la reparación de la vulneración denunciada.</w:t>
      </w:r>
    </w:p>
    <w:p w14:paraId="66D998EE" w14:textId="77777777" w:rsidR="006F44C0" w:rsidRPr="00D971C8" w:rsidRDefault="006F44C0" w:rsidP="002B2B15">
      <w:pPr>
        <w:spacing w:after="240"/>
      </w:pPr>
      <w:r w:rsidRPr="00D971C8">
        <w:t xml:space="preserve">La STC 153/2012, de 16 de julio, </w:t>
      </w:r>
      <w:r>
        <w:t xml:space="preserve">FJ 3, </w:t>
      </w:r>
      <w:r w:rsidRPr="00D971C8">
        <w:t xml:space="preserve">también reiteró la idea de que la mera lesión de un derecho fundamental o libertad pública tutelable en amparo ya no será por sí sola suficiente para admitir el recurso. En ella el Alto Tribunal que afirmó que </w:t>
      </w:r>
      <w:r w:rsidRPr="00D971C8">
        <w:rPr>
          <w:i/>
        </w:rPr>
        <w:t>“el incidente de nulidad de actuaciones asume, tras la configuración del nuevo amparo constitucional, una función esencial de tutela y defensa de los derechos fundamentales que puede y debe ser controlada por este Tribunal cuando las hipotéticas lesiones autónomas</w:t>
      </w:r>
      <w:r>
        <w:rPr>
          <w:i/>
        </w:rPr>
        <w:t xml:space="preserve"> que en él se produzcan tengan </w:t>
      </w:r>
      <w:r w:rsidRPr="00BC642E">
        <w:rPr>
          <w:rFonts w:ascii="Calibri" w:hAnsi="Calibri" w:cs="Calibri"/>
          <w:i/>
        </w:rPr>
        <w:t>«</w:t>
      </w:r>
      <w:r w:rsidRPr="00D971C8">
        <w:rPr>
          <w:i/>
        </w:rPr>
        <w:t>especial trascendencia constitucional</w:t>
      </w:r>
      <w:r w:rsidRPr="00BC642E">
        <w:rPr>
          <w:rFonts w:ascii="Calibri" w:hAnsi="Calibri" w:cs="Calibri"/>
          <w:i/>
        </w:rPr>
        <w:t>»</w:t>
      </w:r>
      <w:r w:rsidRPr="00D971C8">
        <w:rPr>
          <w:i/>
        </w:rPr>
        <w:t>”</w:t>
      </w:r>
      <w:r w:rsidRPr="00D971C8">
        <w:t>.</w:t>
      </w:r>
    </w:p>
    <w:p w14:paraId="44CCDAA5" w14:textId="77777777" w:rsidR="006F44C0" w:rsidRPr="00D971C8" w:rsidRDefault="006F44C0" w:rsidP="002B2B15">
      <w:pPr>
        <w:spacing w:after="240"/>
      </w:pPr>
      <w:r w:rsidRPr="00D971C8">
        <w:t xml:space="preserve">No podemos pues considerar, al menos a priori, que el incidente de nulidad de actuaciones sea un mero trámite formal previo al amparo constitucional, sino que se trata o, al menos, pretende ser un verdadero instrumento procesal que, en la vía de la jurisdicción ordinaria, pueda remediar aquellas lesiones de derechos fundamentales que no hayan </w:t>
      </w:r>
      <w:r w:rsidRPr="00AC3E9E">
        <w:rPr>
          <w:i/>
          <w:iCs/>
        </w:rPr>
        <w:t>“podido denunciarse antes de recaer resolución que ponga fin al proceso y siempre que dicha resolución no sea susceptible de recurso ordinario ni extraordinario”</w:t>
      </w:r>
      <w:r w:rsidRPr="00D971C8">
        <w:t xml:space="preserve"> (art. 241.1 LOPJ).</w:t>
      </w:r>
    </w:p>
    <w:p w14:paraId="01ECD346" w14:textId="77777777" w:rsidR="006F44C0" w:rsidRDefault="006F44C0" w:rsidP="00B86E49">
      <w:pPr>
        <w:pStyle w:val="Ttulo3"/>
      </w:pPr>
      <w:bookmarkStart w:id="552" w:name="_Toc37373887"/>
      <w:bookmarkStart w:id="553" w:name="_Toc49423687"/>
      <w:bookmarkStart w:id="554" w:name="_Toc49708619"/>
      <w:bookmarkStart w:id="555" w:name="_Toc49790291"/>
      <w:bookmarkStart w:id="556" w:name="_Toc49866559"/>
      <w:bookmarkStart w:id="557" w:name="_Toc50373182"/>
      <w:bookmarkStart w:id="558" w:name="_Toc5987782"/>
      <w:bookmarkStart w:id="559" w:name="_Toc15987588"/>
      <w:bookmarkStart w:id="560" w:name="_Toc15987917"/>
      <w:bookmarkStart w:id="561" w:name="_Toc29335930"/>
      <w:bookmarkStart w:id="562" w:name="_Toc29367740"/>
      <w:r w:rsidRPr="00D971C8">
        <w:t xml:space="preserve">El incidente </w:t>
      </w:r>
      <w:r>
        <w:t xml:space="preserve">“excepcional” </w:t>
      </w:r>
      <w:r w:rsidRPr="00D971C8">
        <w:t xml:space="preserve">de nulidad </w:t>
      </w:r>
      <w:r>
        <w:t xml:space="preserve">de actuaciones </w:t>
      </w:r>
      <w:r w:rsidRPr="00D971C8">
        <w:t xml:space="preserve">como </w:t>
      </w:r>
      <w:r>
        <w:t>medio de acceso al recurso de amparo</w:t>
      </w:r>
      <w:bookmarkEnd w:id="552"/>
      <w:bookmarkEnd w:id="553"/>
      <w:bookmarkEnd w:id="554"/>
      <w:bookmarkEnd w:id="555"/>
      <w:bookmarkEnd w:id="556"/>
      <w:bookmarkEnd w:id="557"/>
    </w:p>
    <w:bookmarkEnd w:id="558"/>
    <w:bookmarkEnd w:id="559"/>
    <w:bookmarkEnd w:id="560"/>
    <w:bookmarkEnd w:id="561"/>
    <w:bookmarkEnd w:id="562"/>
    <w:p w14:paraId="7571C40C" w14:textId="100E1E47" w:rsidR="006F44C0" w:rsidRPr="00D971C8" w:rsidRDefault="006F44C0" w:rsidP="002B2B15">
      <w:pPr>
        <w:spacing w:after="240"/>
      </w:pPr>
      <w:r w:rsidRPr="00D971C8">
        <w:t xml:space="preserve">Los arts. 43, 44 y 49 LOTC comprenden el conjunto de requisitos exigibles </w:t>
      </w:r>
      <w:r w:rsidR="007B7556" w:rsidRPr="00D971C8">
        <w:t>para que</w:t>
      </w:r>
      <w:r w:rsidRPr="00D971C8">
        <w:t xml:space="preserve"> una demanda de amparo pueda ser admitida a </w:t>
      </w:r>
      <w:r w:rsidR="007B7556" w:rsidRPr="00D971C8">
        <w:t>trámite y</w:t>
      </w:r>
      <w:r w:rsidRPr="00D971C8">
        <w:t xml:space="preserve"> para que, tras ello, sea posible que </w:t>
      </w:r>
      <w:r w:rsidR="007B7556" w:rsidRPr="00D971C8">
        <w:t>el TC</w:t>
      </w:r>
      <w:r w:rsidRPr="00D971C8">
        <w:t xml:space="preserve"> entre a resolver el fondo de la pretensión deducida.</w:t>
      </w:r>
    </w:p>
    <w:p w14:paraId="287AF33B" w14:textId="77777777" w:rsidR="006F44C0" w:rsidRDefault="006F44C0" w:rsidP="002B2B15">
      <w:pPr>
        <w:spacing w:after="240"/>
      </w:pPr>
      <w:r w:rsidRPr="00D971C8">
        <w:t>Dentro de las exigencias procesales más relevantes que contempla la norma, se encuentra</w:t>
      </w:r>
      <w:r>
        <w:t>n las siguientes:</w:t>
      </w:r>
    </w:p>
    <w:p w14:paraId="0FD1D403" w14:textId="77777777" w:rsidR="006F44C0" w:rsidRDefault="006F44C0" w:rsidP="001A4310">
      <w:pPr>
        <w:pStyle w:val="Prrafodelista"/>
        <w:numPr>
          <w:ilvl w:val="0"/>
          <w:numId w:val="14"/>
        </w:numPr>
        <w:spacing w:before="360"/>
      </w:pPr>
      <w:r>
        <w:t>L</w:t>
      </w:r>
      <w:r w:rsidRPr="00D971C8">
        <w:t>a interposición temporánea</w:t>
      </w:r>
    </w:p>
    <w:p w14:paraId="7FBF25B1" w14:textId="77777777" w:rsidR="006F44C0" w:rsidRDefault="006F44C0" w:rsidP="001A4310">
      <w:pPr>
        <w:pStyle w:val="Prrafodelista"/>
        <w:numPr>
          <w:ilvl w:val="0"/>
          <w:numId w:val="14"/>
        </w:numPr>
        <w:spacing w:before="360"/>
      </w:pPr>
      <w:r>
        <w:t>E</w:t>
      </w:r>
      <w:r w:rsidRPr="00D971C8">
        <w:t>l correcto agotamiento de la vía judicial</w:t>
      </w:r>
      <w:r>
        <w:t xml:space="preserve"> </w:t>
      </w:r>
    </w:p>
    <w:p w14:paraId="6315F6C1" w14:textId="77777777" w:rsidR="006F44C0" w:rsidRDefault="006F44C0" w:rsidP="001A4310">
      <w:pPr>
        <w:pStyle w:val="Prrafodelista"/>
        <w:numPr>
          <w:ilvl w:val="0"/>
          <w:numId w:val="14"/>
        </w:numPr>
        <w:spacing w:before="360"/>
      </w:pPr>
      <w:r>
        <w:lastRenderedPageBreak/>
        <w:t>L</w:t>
      </w:r>
      <w:r w:rsidRPr="00D971C8">
        <w:t>a formal y previa invocación en sede jurisdiccional ordinaria del derecho o derechos fundamentales pretendidamente vulnerados</w:t>
      </w:r>
      <w:r>
        <w:t>.</w:t>
      </w:r>
    </w:p>
    <w:p w14:paraId="5CA822E7" w14:textId="77777777" w:rsidR="006F44C0" w:rsidRPr="00D971C8" w:rsidRDefault="006F44C0" w:rsidP="002B2B15">
      <w:pPr>
        <w:spacing w:after="240"/>
      </w:pPr>
      <w:r>
        <w:t>E</w:t>
      </w:r>
      <w:r w:rsidRPr="00D971C8">
        <w:t xml:space="preserve">n base a esta última, se posibilita la reparación de la alegada quiebra constitucional por parte de la jurisdicción ordinaria sin tener que acudir directamente al TC, objetivo que perseguía la reforma de 2007. </w:t>
      </w:r>
    </w:p>
    <w:p w14:paraId="394FDB20" w14:textId="77777777" w:rsidR="006F44C0" w:rsidRDefault="006F44C0" w:rsidP="002B2B15">
      <w:pPr>
        <w:spacing w:after="240"/>
      </w:pPr>
      <w:r w:rsidRPr="00D971C8">
        <w:t>De los citados requisitos, los dos primeros son los que mayores problemas aplicativos han suscitado, convirtiéndose ambos en una fuente inagotable de conflictos para el intérprete, por ello, nos centraremos en ellos.</w:t>
      </w:r>
    </w:p>
    <w:p w14:paraId="479620FC" w14:textId="77777777" w:rsidR="006F44C0" w:rsidRPr="008E2FF9" w:rsidRDefault="006F44C0" w:rsidP="001A4310">
      <w:pPr>
        <w:pStyle w:val="Ttulo4"/>
        <w:numPr>
          <w:ilvl w:val="0"/>
          <w:numId w:val="61"/>
        </w:numPr>
      </w:pPr>
      <w:bookmarkStart w:id="563" w:name="_Toc37373888"/>
      <w:bookmarkStart w:id="564" w:name="_Toc49423688"/>
      <w:bookmarkStart w:id="565" w:name="_Toc49708620"/>
      <w:bookmarkStart w:id="566" w:name="_Toc49866560"/>
      <w:r w:rsidRPr="008E2FF9">
        <w:t>La interposición extemporánea</w:t>
      </w:r>
      <w:bookmarkEnd w:id="563"/>
      <w:bookmarkEnd w:id="564"/>
      <w:bookmarkEnd w:id="565"/>
      <w:bookmarkEnd w:id="566"/>
    </w:p>
    <w:p w14:paraId="657C2C86" w14:textId="016CEB0B" w:rsidR="006F44C0" w:rsidRPr="00D971C8" w:rsidRDefault="006F44C0" w:rsidP="002B2B15">
      <w:pPr>
        <w:spacing w:after="240"/>
      </w:pPr>
      <w:r w:rsidRPr="00D971C8">
        <w:t xml:space="preserve">Debemos precisar que el art. 44 LOTC, al exigir que se hayan agotado todos los medios de impugnación previstos por las normas procesales </w:t>
      </w:r>
      <w:r w:rsidR="007B7556" w:rsidRPr="00D971C8">
        <w:t>para el caso</w:t>
      </w:r>
      <w:r w:rsidRPr="00D971C8">
        <w:t xml:space="preserve"> concreto </w:t>
      </w:r>
      <w:r w:rsidR="007B7556" w:rsidRPr="00D971C8">
        <w:t>dentro de</w:t>
      </w:r>
      <w:r w:rsidRPr="00D971C8">
        <w:t xml:space="preserve"> la vía </w:t>
      </w:r>
      <w:r w:rsidR="007B7556" w:rsidRPr="00D971C8">
        <w:t>judicial, incluye</w:t>
      </w:r>
      <w:r w:rsidRPr="00D971C8">
        <w:t xml:space="preserve"> tanto los recursos como el incidente de nulidad de actuaciones.</w:t>
      </w:r>
    </w:p>
    <w:p w14:paraId="67C50DBC" w14:textId="6CA23AD7" w:rsidR="006F44C0" w:rsidRPr="00D971C8" w:rsidRDefault="007B7556" w:rsidP="002B2B15">
      <w:pPr>
        <w:spacing w:after="240"/>
      </w:pPr>
      <w:r w:rsidRPr="00D971C8">
        <w:t>El incidente</w:t>
      </w:r>
      <w:r w:rsidR="006F44C0" w:rsidRPr="00D971C8">
        <w:t xml:space="preserve"> de nulidad se configura como un requisito procesal de necesario agotamiento previo, basándose para esto en la subsidiariedad del amparo, más aún desde la reforma de 2007 (STC 62/2008, de 26 de mayo).   No cabría duda, por tanto, de la necesidad de acudir al incidente de nulidad de actuaciones para agotar la vía judicial previa en los casos en que la lesión del derecho se impute a la última de las </w:t>
      </w:r>
      <w:r w:rsidRPr="00D971C8">
        <w:t>resoluciones judiciales frente</w:t>
      </w:r>
      <w:r w:rsidR="006F44C0" w:rsidRPr="00D971C8">
        <w:t xml:space="preserve"> a la que no quepa recurso alguno (STC 89/2011, de 6 de junio).</w:t>
      </w:r>
    </w:p>
    <w:p w14:paraId="0DACC535" w14:textId="017A4705" w:rsidR="006F44C0" w:rsidRPr="00D971C8" w:rsidRDefault="006F44C0" w:rsidP="002B2B15">
      <w:pPr>
        <w:spacing w:after="240"/>
      </w:pPr>
      <w:r w:rsidRPr="00D971C8">
        <w:t xml:space="preserve">Por otra parte, debemos tener presente que la interposición de un recurso manifiestamente improcedente suspende el plazo legalmente establecido para acudir en amparo ante el TC (SSTC 30/1982, de 1 junio; 50/1984, de 5 abril, 210/1994, de 11 julio). Por ello, la presentación no justificada de </w:t>
      </w:r>
      <w:r w:rsidR="007B7556" w:rsidRPr="00D971C8">
        <w:t>un incidente</w:t>
      </w:r>
      <w:r w:rsidRPr="00D971C8">
        <w:t xml:space="preserve"> </w:t>
      </w:r>
      <w:r w:rsidR="007B7556" w:rsidRPr="00D971C8">
        <w:t>de nulidad</w:t>
      </w:r>
      <w:r w:rsidRPr="00D971C8">
        <w:t xml:space="preserve"> podría frustrar la posible reparación en sede constitucional del derecho fundamental </w:t>
      </w:r>
      <w:r w:rsidR="007B7556" w:rsidRPr="00D971C8">
        <w:t xml:space="preserve">lesionado, ya que el </w:t>
      </w:r>
      <w:proofErr w:type="spellStart"/>
      <w:r w:rsidR="007B7556" w:rsidRPr="00D971C8">
        <w:t>inexigido</w:t>
      </w:r>
      <w:proofErr w:type="spellEnd"/>
      <w:r w:rsidRPr="00D971C8">
        <w:t xml:space="preserve"> planteamiento convertiría al incidente en un recurso </w:t>
      </w:r>
      <w:r w:rsidR="007B7556" w:rsidRPr="00D971C8">
        <w:t>improcedente, y</w:t>
      </w:r>
      <w:r w:rsidRPr="00D971C8">
        <w:t>, por ende, en un modo de alargamiento artificial de la vía judicial, que no impediría el inicio del cómputo del plazo para interponer el recurso de amparo, y que por tanto abocaría a la desestimación de éste por extemporaneidad.</w:t>
      </w:r>
    </w:p>
    <w:p w14:paraId="381648E9" w14:textId="77777777" w:rsidR="006F44C0" w:rsidRPr="00D971C8" w:rsidRDefault="006F44C0" w:rsidP="002B2B15">
      <w:pPr>
        <w:spacing w:after="240"/>
      </w:pPr>
      <w:r w:rsidRPr="00D971C8">
        <w:t xml:space="preserve">Un ejemplo de esto son las SSTC 17/2012, de 13 de febrero y 23/2012, de 27 de febrero, en las cuales se inadmite por extemporaneidad el recurso de amparo formulado, ya que </w:t>
      </w:r>
      <w:r w:rsidRPr="00D971C8">
        <w:lastRenderedPageBreak/>
        <w:t xml:space="preserve">en ambos supuestos la supuesta lesión del derecho fundamental no surgió en la última de las resoluciones sino en la primera sentencia dictada en la instancia, cuyo fallo es posteriormente confirmado en apelación y más tarde en casación. Por tanto, las mencionadas sentencias mantienen en su argumentación que </w:t>
      </w:r>
      <w:r w:rsidRPr="00D971C8">
        <w:rPr>
          <w:i/>
        </w:rPr>
        <w:t>“la formulación del incidente de nulidad frente a la  Sentencia de casación era manifiestamente improcedente, dado que en el  incidente se denunció  por  la recurrente la lesión de un  derecho fundamental  (el garantizado  por el  art. 20.1 CE) que no  derivaba originariamente de dicha Sentencia, sino de las Sentencias anteriores de primera instancia y  apelación,  pues  en las dos instancias ya se había planteado la posible vulneración del citado derecho. No se trata, así, de una supuesta lesión de un derecho fundamental “que no haya podido denunciarse antes de recaer resolución que ponga fin al proceso”</w:t>
      </w:r>
      <w:r w:rsidRPr="00D971C8">
        <w:t>.</w:t>
      </w:r>
    </w:p>
    <w:p w14:paraId="49F7F77F" w14:textId="77777777" w:rsidR="006F44C0" w:rsidRDefault="006F44C0" w:rsidP="002B2B15">
      <w:pPr>
        <w:spacing w:after="240"/>
        <w:rPr>
          <w:i/>
        </w:rPr>
      </w:pPr>
      <w:r w:rsidRPr="00D971C8">
        <w:t xml:space="preserve">De la incertidumbre en esta materia es consciente incluso el propio TC,  como reconoce en la STC  13/2011,  de 28 de febrero, cuando admite que </w:t>
      </w:r>
      <w:r w:rsidRPr="00D971C8">
        <w:rPr>
          <w:i/>
        </w:rPr>
        <w:t xml:space="preserve">“se sitúa al justiciable ante una delicada disyuntiva sobre el  modo en que  debe dar adecuada satisfacción al referido requisito procesal que franquea el acceso al amparo, puesto que una actitud medrosa o, por el contrario, arriesgada en el  cálculo de la estrategia procesal  pertinente puede conducir a un incumplimiento por defecto o por exceso que dé lugar a la producción del referido  óbice procesal,  haciendo  que la demanda de amparo resulte extemporánea”. </w:t>
      </w:r>
    </w:p>
    <w:p w14:paraId="48DEAFB5" w14:textId="77777777" w:rsidR="006F44C0" w:rsidRDefault="006F44C0" w:rsidP="002B2B15">
      <w:pPr>
        <w:spacing w:after="240"/>
      </w:pPr>
      <w:r w:rsidRPr="00D971C8">
        <w:t>Esta misma resolución introdujo un nuevo matiz ya que estableció que no cabrá calificar como extemporánea la demanda de amparo en caso de que venga precedida de un agotamiento no plenamente exigible en la vía judicial, si es que en ello no se aprecia “ánimo dilatorio”.</w:t>
      </w:r>
      <w:r>
        <w:t xml:space="preserve"> Este punto es sumamente importante ya que, en caso contrario, cualquier recurso interpuesto con ánimo dilatorio hará que el recurso de amparo no pueda ser admitido. Así lo estableció el TC en su STC 200/2012, FJ 3:</w:t>
      </w:r>
    </w:p>
    <w:p w14:paraId="2207942A" w14:textId="77777777" w:rsidR="006F44C0" w:rsidRDefault="006F44C0" w:rsidP="002B2B15">
      <w:pPr>
        <w:spacing w:after="240"/>
        <w:rPr>
          <w:i/>
          <w:iCs/>
        </w:rPr>
      </w:pPr>
      <w:r w:rsidRPr="00AD3562">
        <w:rPr>
          <w:i/>
          <w:iCs/>
        </w:rPr>
        <w:t xml:space="preserve">«El art. 43.2 LOTC exige que el recurso de amparo se interponga en el plazo de los veinte días siguientes a la notificación de la resolución recaída en el previo proceso judicial. Pues bien, tal y como señalamos, entre otros, en el fundamento jurídico 1 del ATC 177/2010, de 24 de noviembre, este plazo es de caducidad, improrrogable, no susceptible de suspensión y en modo alguno puede quedar al arbitrio de las partes. Por ello no cabe su alargamiento o suspensión mediante la prolongación artificial de la vía judicial previa al recurso de amparo a través de la interposición de recursos manifiestamente </w:t>
      </w:r>
      <w:r w:rsidRPr="00AD3562">
        <w:rPr>
          <w:i/>
          <w:iCs/>
        </w:rPr>
        <w:lastRenderedPageBreak/>
        <w:t xml:space="preserve">improcedentes, de modo que “‘el tiempo invertido en la resolución de esos medios de impugnación manifiestamente improcedentes, cuando exceda del plazo establecido para presentar el recurso de amparo, determinará la extemporaneidad de éste’ (por todas, SSTC 72/1991, de 8 de abril, FJ 2; 78/2000, de 27 de marzo, FJ 2; 185/2004, de 2 de noviembre, FJ 3; y 323/2006, de 20 de noviembre, FJ 2).” (ATC 42/2010, de 12 de abril, FJ 2).(…) Y en el mismo Auto que acabamos de citar (FJ 2) declarábamos “que, con arreglo a lo dispuesto en el párrafo primero del art. 241.1 LOPJ (en la redacción que le ha dado la Ley Orgánica 6/2007, de 24 de mayo), el incidente de nulidad de actuaciones no es un recurso más, sino un remedio al que se puede acudir ‘excepcionalmente’ para reparar la vulneración de un derecho fundamental de los referidos en el art. 53.2 CE, ‘siempre que no haya podido denunciarse antes de recaer resolución que ponga fin al proceso y siempre que dicha resolución no sea susceptible de recurso ordinario ni extraordinario’.(…) En el proceso que nos ocupa, la vulneración del principio non bis in </w:t>
      </w:r>
      <w:proofErr w:type="spellStart"/>
      <w:r w:rsidRPr="00AD3562">
        <w:rPr>
          <w:i/>
          <w:iCs/>
        </w:rPr>
        <w:t>idem</w:t>
      </w:r>
      <w:proofErr w:type="spellEnd"/>
      <w:r w:rsidRPr="00AD3562">
        <w:rPr>
          <w:i/>
          <w:iCs/>
        </w:rPr>
        <w:t xml:space="preserve">, recogido implícitamente en el art. 25.1 CE, ha constituido el objeto central de su reclamación en vía administrativa, de modo que la vulneración de este derecho fue denunciada antes del incidente de nulidad de actuaciones(…). De una manera similar fue articulada la demanda contencioso-administrativa, invocando en el mismo sentido la vulneración del principio non bis in </w:t>
      </w:r>
      <w:proofErr w:type="spellStart"/>
      <w:r w:rsidRPr="00AD3562">
        <w:rPr>
          <w:i/>
          <w:iCs/>
        </w:rPr>
        <w:t>idem</w:t>
      </w:r>
      <w:proofErr w:type="spellEnd"/>
      <w:r w:rsidRPr="00AD3562">
        <w:rPr>
          <w:i/>
          <w:iCs/>
        </w:rPr>
        <w:t>, con cita de la STC 276/2000, de 16 de noviembre. Y en estos motivos fundamenta también el demandante de amparo, con reiteración de los argumentos esgrimidos en las sucesivas instancias, el incidente de nulidad de actuaciones.»</w:t>
      </w:r>
    </w:p>
    <w:p w14:paraId="17CBC7D5" w14:textId="77777777" w:rsidR="006F44C0" w:rsidRPr="0039447F" w:rsidRDefault="006F44C0" w:rsidP="002B2B15">
      <w:pPr>
        <w:spacing w:after="240"/>
      </w:pPr>
      <w:r w:rsidRPr="0039447F">
        <w:t xml:space="preserve">Teniendo </w:t>
      </w:r>
      <w:r>
        <w:t>en cuenta esta argumentación, el TC inadmitió el recurso de amparo por considerarlo extemporáneo al excederse el plazo para su interposición como consecuencia de la indebida interposición de un incidente de nulidad de actuaciones.</w:t>
      </w:r>
    </w:p>
    <w:p w14:paraId="7FBDEF2C" w14:textId="77777777" w:rsidR="006F44C0" w:rsidRDefault="006F44C0" w:rsidP="002B2B15">
      <w:pPr>
        <w:spacing w:after="240"/>
      </w:pPr>
      <w:r>
        <w:t>En conclusión, la interposición de recursos manifiestamente improcedentes determinará la extemporaneidad del recurso de amparo debido, principalmente, al entendimiento de la interposición de estos con un ánimo dilatorio.</w:t>
      </w:r>
    </w:p>
    <w:p w14:paraId="348D5F0D" w14:textId="77777777" w:rsidR="006F44C0" w:rsidRDefault="006F44C0" w:rsidP="00B86E49">
      <w:pPr>
        <w:pStyle w:val="Ttulo4"/>
      </w:pPr>
      <w:bookmarkStart w:id="567" w:name="_Toc37373889"/>
      <w:bookmarkStart w:id="568" w:name="_Toc49423689"/>
      <w:bookmarkStart w:id="569" w:name="_Toc49708621"/>
      <w:bookmarkStart w:id="570" w:name="_Toc49866561"/>
      <w:r w:rsidRPr="0065463F">
        <w:lastRenderedPageBreak/>
        <w:t>El correcto agotamiento de la vía judicial</w:t>
      </w:r>
      <w:bookmarkEnd w:id="567"/>
      <w:bookmarkEnd w:id="568"/>
      <w:bookmarkEnd w:id="569"/>
      <w:bookmarkEnd w:id="570"/>
      <w:r w:rsidRPr="0065463F">
        <w:t xml:space="preserve"> </w:t>
      </w:r>
    </w:p>
    <w:p w14:paraId="2E843723" w14:textId="77777777" w:rsidR="006F44C0" w:rsidRPr="00D971C8" w:rsidRDefault="006F44C0" w:rsidP="002B2B15">
      <w:pPr>
        <w:spacing w:after="240"/>
      </w:pPr>
      <w:r w:rsidRPr="00D971C8">
        <w:t xml:space="preserve">La duda que se nos plantea </w:t>
      </w:r>
      <w:r>
        <w:t xml:space="preserve">sobre lo expuesto anteriormente versa </w:t>
      </w:r>
      <w:r w:rsidRPr="00D971C8">
        <w:t>sobre cuándo constituirá el incidente de nulidad de actuaciones vía previa al recurso de amparo y cuándo no lo será.</w:t>
      </w:r>
    </w:p>
    <w:p w14:paraId="21440326" w14:textId="77777777" w:rsidR="006F44C0" w:rsidRPr="00D971C8" w:rsidRDefault="006F44C0" w:rsidP="002B2B15">
      <w:pPr>
        <w:spacing w:after="240"/>
      </w:pPr>
      <w:r w:rsidRPr="00D971C8">
        <w:t xml:space="preserve">Esta duda trae su origen en la siguiente controversia: </w:t>
      </w:r>
      <w:r>
        <w:t>e</w:t>
      </w:r>
      <w:r w:rsidRPr="00D971C8">
        <w:t xml:space="preserve">l artículo 44.1 a) de la LOTC exige para poder recurrir en amparo </w:t>
      </w:r>
      <w:r w:rsidRPr="00D971C8">
        <w:rPr>
          <w:i/>
        </w:rPr>
        <w:t>“que se hayan agotado todos los medios de impugnación previstos por las normas procesales para el caso concreto dentro de la vía judicial”</w:t>
      </w:r>
      <w:r w:rsidRPr="00D971C8">
        <w:t xml:space="preserve">. Por su parte, el artículo 44.2 de la misma Ley dispone que </w:t>
      </w:r>
      <w:r w:rsidRPr="00D971C8">
        <w:rPr>
          <w:i/>
        </w:rPr>
        <w:t>“el plazo para interponer el recurso de amparo será de 30 días, a partir de la notificación de la resolución recaída en el proceso judicial”</w:t>
      </w:r>
      <w:r w:rsidRPr="00D971C8">
        <w:t>.</w:t>
      </w:r>
    </w:p>
    <w:p w14:paraId="49397C94" w14:textId="77777777" w:rsidR="006F44C0" w:rsidRPr="00D971C8" w:rsidRDefault="006F44C0" w:rsidP="002B2B15">
      <w:pPr>
        <w:spacing w:after="240"/>
      </w:pPr>
      <w:r w:rsidRPr="00D971C8">
        <w:t>En base a ello, si no interponemos previamente el incidente de nulidad de actuaciones, nuestro recurso de amparo podría ser inadmitido por no haber agotado toda la vía judicial previa, como impone el citado artículo 44.1 a) de la LOTC; y, a su vez, si interponemos el incidente de nulidad de actuaciones pero éste no resultaba necesario o procedente, el recurso de amparo sería extemporáneo debido a que habría transcurrido el plazo de 30 días previsto en el también citado artículo 44.2 de la LOTC, por lo que éste sería inadmitido.</w:t>
      </w:r>
    </w:p>
    <w:p w14:paraId="3D6D2750" w14:textId="77777777" w:rsidR="006F44C0" w:rsidRPr="00D971C8" w:rsidRDefault="006F44C0" w:rsidP="002B2B15">
      <w:pPr>
        <w:spacing w:after="240"/>
      </w:pPr>
      <w:r w:rsidRPr="00D971C8">
        <w:t>La duda planteada ha sido resuelta por el TC</w:t>
      </w:r>
      <w:r>
        <w:t xml:space="preserve">. </w:t>
      </w:r>
      <w:r w:rsidRPr="00D971C8">
        <w:t xml:space="preserve">Sin embargo, </w:t>
      </w:r>
      <w:r>
        <w:t xml:space="preserve">su doctrina </w:t>
      </w:r>
      <w:r w:rsidRPr="00D971C8">
        <w:t xml:space="preserve">no ha sido del todo pacífica, sino que, por el contrario, podemos apreciar cambios en </w:t>
      </w:r>
      <w:r>
        <w:t>la misma</w:t>
      </w:r>
      <w:r w:rsidRPr="00D971C8">
        <w:t xml:space="preserve"> a lo largo de los años. Veamos a continuación la evolución jurisprudencial que esta figura ha sufrido.</w:t>
      </w:r>
    </w:p>
    <w:p w14:paraId="1F89F0F8" w14:textId="77777777" w:rsidR="006F44C0" w:rsidRPr="00D971C8" w:rsidRDefault="006F44C0" w:rsidP="002B2B15">
      <w:pPr>
        <w:spacing w:after="240"/>
      </w:pPr>
      <w:r>
        <w:t>T</w:t>
      </w:r>
      <w:r w:rsidRPr="00D971C8">
        <w:t xml:space="preserve">ras </w:t>
      </w:r>
      <w:r>
        <w:t>l</w:t>
      </w:r>
      <w:r w:rsidRPr="00D971C8">
        <w:t xml:space="preserve">a reforma de 2007, el TC mantuvo el carácter preceptivo del incidente de nulidad de actuaciones para acudir a la vía de amparo cuando la lesión del derecho fundamental pudiese ser imputada a la resolución judicial que pusiese fin al proceso y siempre y cuando éste no pudiera ser objeto de recurso alguno, ni ordinario ni extraordinario. Por tanto, el TC exigió la presentación del incidente tanto para los casos de vulneración de derechos procesales en los que las sentencias incurriesen, por sí mismas, en una infracción vulneradora del art. 24 CE que no hubiese podido denunciarse durante el proceso, como para los supuestos de infracción de derechos fundamentales sustantivos en los que, habiéndose debatido en el proceso sobre la vulneración de un derecho fundamental, el </w:t>
      </w:r>
      <w:r w:rsidRPr="00D971C8">
        <w:lastRenderedPageBreak/>
        <w:t>recurrente achaque su lesión a la sentencia dictada en última instancia. Hablamos en este último supuesto de aquellos casos en los que la lesión del derecho fundamental haya sido producida por un particular, ya que en estos supuestos la vulneración no tiene relevancia constitucional por sí misma (recordemos que el recurso de amparo es una vía abierta sólo frente a los actos de los poderes públicos), sino que la relevancia la adquiere eventualmente la resolución judicial que desestime la pretensión de tutela de este derecho.</w:t>
      </w:r>
    </w:p>
    <w:p w14:paraId="09EE29D2" w14:textId="77777777" w:rsidR="006F44C0" w:rsidRPr="00D971C8" w:rsidRDefault="006F44C0" w:rsidP="002B2B15">
      <w:pPr>
        <w:spacing w:after="240"/>
      </w:pPr>
      <w:r w:rsidRPr="00D971C8">
        <w:t>Parecía pues que, con esta reforma, el incidente de nulidad de actuaciones debía interponerse siempre necesariamente previo al recurso de amparo, como última vía impugnatoria prevista en la legislación procesal en los casos de vulneración de un derecho fundamental.</w:t>
      </w:r>
    </w:p>
    <w:p w14:paraId="10C71AF5" w14:textId="77777777" w:rsidR="006F44C0" w:rsidRPr="00D971C8" w:rsidRDefault="006F44C0" w:rsidP="002B2B15">
      <w:pPr>
        <w:spacing w:after="240"/>
      </w:pPr>
      <w:r w:rsidRPr="00D971C8">
        <w:t xml:space="preserve">Hasta la reforma operada por la citada LO 6/2007, no cabía el incidente de nulidad de actuaciones. Sin embargo, tras contemplarse esta posibilidad, el TC dispuso en el ATC 200/2010 que era preciso agotar esta vía, para atender al </w:t>
      </w:r>
      <w:r w:rsidRPr="00D971C8">
        <w:rPr>
          <w:i/>
        </w:rPr>
        <w:t xml:space="preserve">«propósito de potenciación o reforzamiento del recurso del amparo </w:t>
      </w:r>
      <w:proofErr w:type="spellStart"/>
      <w:r w:rsidRPr="00D971C8">
        <w:rPr>
          <w:i/>
        </w:rPr>
        <w:t>interponible</w:t>
      </w:r>
      <w:proofErr w:type="spellEnd"/>
      <w:r w:rsidRPr="00D971C8">
        <w:rPr>
          <w:i/>
        </w:rPr>
        <w:t xml:space="preserve"> ante este Tribunal a través de una mayor exigencia del incidente de nulidad de actuaciones». </w:t>
      </w:r>
      <w:r w:rsidRPr="00D971C8">
        <w:t xml:space="preserve">Ello respondía a la pretensión de la reforma operada en 2007. </w:t>
      </w:r>
    </w:p>
    <w:p w14:paraId="4161EF49" w14:textId="77777777" w:rsidR="006F44C0" w:rsidRPr="00D971C8" w:rsidRDefault="006F44C0" w:rsidP="002B2B15">
      <w:pPr>
        <w:spacing w:after="240"/>
      </w:pPr>
      <w:r w:rsidRPr="00D971C8">
        <w:t>Destacar que este auto inadmitió el recurso de amparo interpuesto contra una sentencia de casación del Tribunal Supremo que estimaba parcialmente una demanda por intromisión en el derecho al honor, al considerar que no se había cumplido el requisito del agotamiento de la vía judicial previa debido a que no se había interpuesto el incidente de nulidad de actuaciones.</w:t>
      </w:r>
    </w:p>
    <w:p w14:paraId="6525ABE5" w14:textId="77777777" w:rsidR="006F44C0" w:rsidRPr="00D971C8" w:rsidRDefault="006F44C0" w:rsidP="002B2B15">
      <w:pPr>
        <w:spacing w:after="240"/>
      </w:pPr>
      <w:r w:rsidRPr="00D971C8">
        <w:t>Deducimos de este Auto que el TC pretendió establecer una mayor exigencia de esta figura revistiéndola de un carácter preceptivo en todos los casos de violaciones de derechos fundamentales, con el propósito de potenciar o reforzar el carácter subsidiario del amparo constitucional, más aún, después de la objetivación de este tras la reforma de 2007. Fue, a nuestro entender, un intento de crear una protección extra en la jurisdicción ordinaria para los derechos fundamentales tras el endurecimiento del acceso al TC.</w:t>
      </w:r>
    </w:p>
    <w:p w14:paraId="71404B00" w14:textId="77777777" w:rsidR="006F44C0" w:rsidRPr="00D971C8" w:rsidRDefault="006F44C0" w:rsidP="002B2B15">
      <w:pPr>
        <w:spacing w:after="240"/>
      </w:pPr>
      <w:r w:rsidRPr="00D971C8">
        <w:t>En efecto, en la STC 176/2013, de 21 de octubre (citando la anterior STC 182/2011, de 21 de noviembre), el Tribunal dispuso lo siguiente:</w:t>
      </w:r>
    </w:p>
    <w:p w14:paraId="4A8A44E6" w14:textId="77777777" w:rsidR="006F44C0" w:rsidRPr="00D971C8" w:rsidRDefault="006F44C0" w:rsidP="002B2B15">
      <w:pPr>
        <w:spacing w:after="240"/>
        <w:rPr>
          <w:i/>
        </w:rPr>
      </w:pPr>
      <w:r w:rsidRPr="00D971C8">
        <w:rPr>
          <w:i/>
        </w:rPr>
        <w:lastRenderedPageBreak/>
        <w:t>“(…) la exigencia de agotar la vía judicial antes de acudir en amparo ante este Tribunal no reviste carácter formal, sino que sirve al fin de preservar la subsidiariedad del recurso de amparo, enfoque que necesariamente tiñe el enjuiciamiento de todo supuesto concreto. Así, el agotamiento de la vía judicial previa exige la utilización de todos los remedios procesales que reúnan la condición de pertinentes a fin de obtener ante los órganos judiciales la protección de los derechos fundamentales pretendidamente vulnerados”.</w:t>
      </w:r>
    </w:p>
    <w:p w14:paraId="3581F5CF" w14:textId="77777777" w:rsidR="006F44C0" w:rsidRPr="00D971C8" w:rsidRDefault="006F44C0" w:rsidP="002B2B15">
      <w:pPr>
        <w:spacing w:after="240"/>
        <w:rPr>
          <w:i/>
        </w:rPr>
      </w:pPr>
      <w:r w:rsidRPr="00D971C8">
        <w:t xml:space="preserve">En esta línea, el TC ya había manifestado en reiteradas ocasiones, con anterioridad a la STC 176/2013, (por todas STC 11/2011, de 28 de febrero, FJ 4) que </w:t>
      </w:r>
      <w:r w:rsidRPr="00D971C8">
        <w:rPr>
          <w:i/>
        </w:rPr>
        <w:t>“el presupuesto procesal del agotamiento no puede configurarse como la exigencia de interponer cuantos recursos fueren imaginables, incluso aquellos de dudosa viabilidad. El agotamiento queda cumplido con la utilización de aquéllos que “razonablemente puedan ser considerados como pertinentes sin necesidad de complejos análisis jurídicos” (por todas, SSTC 85/2008, de 21 de julio, FJ 3, y 142/2009, de 15 de junio, FJ 2). No se trata, por tanto, de establecer con total precisión si un recurso es o no procedente, sino de decidir si era razonablemente exigible su interposición “.</w:t>
      </w:r>
    </w:p>
    <w:p w14:paraId="55BFE043" w14:textId="77777777" w:rsidR="006F44C0" w:rsidRPr="00D971C8" w:rsidRDefault="006F44C0" w:rsidP="002B2B15">
      <w:pPr>
        <w:spacing w:after="240"/>
      </w:pPr>
      <w:r w:rsidRPr="00D971C8">
        <w:t>Tras la citada STC 176/2013, de 21 de octubre, el Pleno del TC dictó otra sentencia, la 216/2013, de 19 de diciembre, por la que modificó su doctrina en relación con el requisito consistente en agotar la vía judicial como paso previo a la interposición de un recurso de amparo.</w:t>
      </w:r>
    </w:p>
    <w:p w14:paraId="3D0B50EB" w14:textId="77777777" w:rsidR="006F44C0" w:rsidRPr="00D971C8" w:rsidRDefault="006F44C0" w:rsidP="002B2B15">
      <w:pPr>
        <w:spacing w:after="240"/>
      </w:pPr>
      <w:r w:rsidRPr="00D971C8">
        <w:t>Esta sentencia resuelve un recurso de amparo en relación con una sentencia de la Sala de lo Civil del Tribunal Supremo que había estimado, en casación, una demanda por intromisión en el derecho al honor y, como advirtió el Ministerio Fiscal al plantear la causa de inadmisibilidad del recurso de amparo por no haberse agotado los medios de impugnación utilizables en la vía judicial como exige el art. 241.1 LOPJ, la única resolución frente a la que se demandaba el amparo era la sentencia de la Sala Primera del Tribunal Supremo.</w:t>
      </w:r>
    </w:p>
    <w:p w14:paraId="762C1465" w14:textId="77777777" w:rsidR="006F44C0" w:rsidRPr="00D971C8" w:rsidRDefault="006F44C0" w:rsidP="002B2B15">
      <w:pPr>
        <w:spacing w:after="240"/>
      </w:pPr>
      <w:r w:rsidRPr="00D971C8">
        <w:lastRenderedPageBreak/>
        <w:t xml:space="preserve">Sin embargo, esta causa de inadmisibilidad fue rechazada por la citada sentencia mediante un </w:t>
      </w:r>
      <w:proofErr w:type="spellStart"/>
      <w:r w:rsidRPr="00D971C8">
        <w:t>overruling</w:t>
      </w:r>
      <w:proofErr w:type="spellEnd"/>
      <w:r w:rsidRPr="00D971C8">
        <w:rPr>
          <w:rStyle w:val="Refdenotaalpie"/>
        </w:rPr>
        <w:footnoteReference w:id="226"/>
      </w:r>
      <w:r w:rsidRPr="00D971C8">
        <w:t xml:space="preserve"> por el Pleno del Tribunal de su doctrina anterior. El Alto Tribunal manifestó lo siguiente:</w:t>
      </w:r>
    </w:p>
    <w:p w14:paraId="14175C68" w14:textId="77777777" w:rsidR="006F44C0" w:rsidRPr="00D971C8" w:rsidRDefault="006F44C0" w:rsidP="002B2B15">
      <w:pPr>
        <w:spacing w:after="240"/>
        <w:rPr>
          <w:i/>
        </w:rPr>
      </w:pPr>
      <w:r w:rsidRPr="00D971C8">
        <w:rPr>
          <w:i/>
        </w:rPr>
        <w:t xml:space="preserve">«(…) debemos establecer que la conclusión a la que llegó el ATC 200/2010 al exigir en estos supuestos la interposición del incidente de nulidad de actuaciones como condición para poder considerar cumplido el requisito del agotamiento de la vía judicial previa, debe ser revisada. Este requisito del art. 44.1 a) LOTC responde, según ha sostenido de forma unánime y constante la doctrina de este Tribunal, "a la finalidad de preservar el carácter subsidiario del recurso de amparo, evitando que el acceso a esta jurisdicción constitucional se produzca per </w:t>
      </w:r>
      <w:proofErr w:type="spellStart"/>
      <w:r w:rsidRPr="00D971C8">
        <w:rPr>
          <w:i/>
        </w:rPr>
        <w:t>saltum</w:t>
      </w:r>
      <w:proofErr w:type="spellEnd"/>
      <w:r w:rsidRPr="00D971C8">
        <w:rPr>
          <w:i/>
        </w:rPr>
        <w:t>, es decir, sin brindar a los órganos judiciales la oportunidad de pronunciarse y, en su caso, remediar la lesión invocada como fundamento del recurso de amparo constitucional" (por todas, últimamente, SSTC 42/2010, de 26 de julio, 91/2010, de 15 de noviembre, y 12/2011, de 28 de febrero). De modo que, en supuestos como el que ahora nos ocupa, basta comprobar que los órganos judiciales han tenido la oportunidad de pronunciarse sobre los derechos fundamentales luego invocados en vía de amparo constitucional, para estimar cumplido el mencionado requisito (…) Todo lo expuesto supone un cambio claro de criterio respecto a la doctrina desarrollada en el ATC 200/2010.»</w:t>
      </w:r>
    </w:p>
    <w:p w14:paraId="5F40C30B" w14:textId="77777777" w:rsidR="006F44C0" w:rsidRPr="00D971C8" w:rsidRDefault="006F44C0" w:rsidP="002B2B15">
      <w:pPr>
        <w:spacing w:after="240"/>
      </w:pPr>
      <w:r w:rsidRPr="00D971C8">
        <w:t>Tras este cambio en la doctrina constitucional, para presentar ante TC un recurso de amparo contra una sentencia que ponga fin a un proceso cuyo objeto haya sido la tutela de un derecho fundamental de carácter sustantivo frente a su lesión por un sujeto particular, el recurrente podrá desde ahora (y, de hecho, deberá) interponer directamente el recurso de amparo, sin que resulte exigible el incidente de nulidad de actuaciones.</w:t>
      </w:r>
    </w:p>
    <w:p w14:paraId="52875EDA" w14:textId="77777777" w:rsidR="006F44C0" w:rsidRPr="00D971C8" w:rsidRDefault="006F44C0" w:rsidP="002B2B15">
      <w:pPr>
        <w:spacing w:after="240"/>
      </w:pPr>
      <w:r w:rsidRPr="00D971C8">
        <w:t xml:space="preserve">Como hemos dicho, el recurrente tendrá la obligación de interponer directamente el recurso de amparo debido a que, cuando no sea preceptiva la interposición del incidente y aun así se lleve a cabo, su inadmisión a trámite será considerada como «un remedio procesal absolutamente improcedente» sin efectos </w:t>
      </w:r>
      <w:proofErr w:type="spellStart"/>
      <w:r w:rsidRPr="00D971C8">
        <w:t>interruptivos</w:t>
      </w:r>
      <w:proofErr w:type="spellEnd"/>
      <w:r w:rsidRPr="00D971C8">
        <w:t xml:space="preserve"> con relación al plazo de veinte días para la interposición el recurso de amparo (AATC 39/2010; 198/2010 y 35/2011). Por lo tanto, llegados a este extremo, el recurso de amparo sería </w:t>
      </w:r>
      <w:r w:rsidRPr="00D971C8">
        <w:lastRenderedPageBreak/>
        <w:t>consecuentemente inadmitido por extemporáneo. Tampoco cabría la posibilidad de utilizar a la vez ambas vías (incidente de nulidad judicial e interposición de recurso de amparo), debido a que en estos casos el TC consideraría el recurso de amparo inadmisible por ser prematuro, ya que el demandante habría comparecido cuando sin que se hubieran resuelto aún los medios de impugnación que él mismo habría iniciado en la jurisdicción ordinaria para proteger sus derechos (SSTC 199/2012 y 99/2009)</w:t>
      </w:r>
      <w:r w:rsidRPr="00D971C8">
        <w:rPr>
          <w:rStyle w:val="Refdenotaalpie"/>
        </w:rPr>
        <w:footnoteReference w:id="227"/>
      </w:r>
      <w:r w:rsidRPr="00D971C8">
        <w:t>.</w:t>
      </w:r>
    </w:p>
    <w:p w14:paraId="2E4EB394" w14:textId="77777777" w:rsidR="006F44C0" w:rsidRPr="00D971C8" w:rsidRDefault="006F44C0" w:rsidP="002B2B15">
      <w:pPr>
        <w:spacing w:after="240"/>
        <w:rPr>
          <w:i/>
        </w:rPr>
      </w:pPr>
      <w:r w:rsidRPr="00D971C8">
        <w:t xml:space="preserve">Y es que, desde este momento, el incidente de nulidad de actuaciones únicamente resultará preceptivo, en palabras de LOZANO CUTANDA y CORDÓN MORENO, </w:t>
      </w:r>
      <w:r w:rsidRPr="00D971C8">
        <w:rPr>
          <w:i/>
        </w:rPr>
        <w:t xml:space="preserve">“para recurrir en amparo una sentencia por vulneración de un derecho fundamental, cuando su vulneración se produzca ex </w:t>
      </w:r>
      <w:proofErr w:type="spellStart"/>
      <w:r w:rsidRPr="00D971C8">
        <w:rPr>
          <w:i/>
        </w:rPr>
        <w:t>novo</w:t>
      </w:r>
      <w:proofErr w:type="spellEnd"/>
      <w:r w:rsidRPr="00D971C8">
        <w:rPr>
          <w:i/>
        </w:rPr>
        <w:t xml:space="preserve"> en la sentencia (o resolución) firme que ponga fin al procedimiento, sin que haya existido debate (ni resolución) sobre la misma con anterioridad. Esto ocurrirá cuando se trate de infracciones procesales vulneradoras del art. 24 CE achacables a la propia sentencia (…), y sólo muy excepcionalmente podrá considerarse que la sentencia vulnera ex </w:t>
      </w:r>
      <w:proofErr w:type="spellStart"/>
      <w:r w:rsidRPr="00D971C8">
        <w:rPr>
          <w:i/>
        </w:rPr>
        <w:t>novo</w:t>
      </w:r>
      <w:proofErr w:type="spellEnd"/>
      <w:r w:rsidRPr="00D971C8">
        <w:rPr>
          <w:i/>
        </w:rPr>
        <w:t xml:space="preserve"> y por sí misma un derecho fundamental «sustantivo» no debatido en el proceso (singularmente, cuando se lesione por la sentencia el derecho de igualdad en la aplicación de la ley: SSTC 210/2002; 27/2006 y 142/2008)”</w:t>
      </w:r>
      <w:r w:rsidRPr="00D971C8">
        <w:rPr>
          <w:rStyle w:val="Refdenotaalpie"/>
          <w:i/>
        </w:rPr>
        <w:footnoteReference w:id="228"/>
      </w:r>
      <w:r w:rsidRPr="00D971C8">
        <w:rPr>
          <w:i/>
        </w:rPr>
        <w:t>.</w:t>
      </w:r>
    </w:p>
    <w:p w14:paraId="1C4BFB33" w14:textId="77777777" w:rsidR="006F44C0" w:rsidRPr="00D971C8" w:rsidRDefault="006F44C0" w:rsidP="002B2B15">
      <w:pPr>
        <w:spacing w:after="240"/>
      </w:pPr>
      <w:r w:rsidRPr="00D971C8">
        <w:t>En conclusión, de dicha doctrina constitucional se desprende que solamente será necesario plantear previamente el incidente de nulidad de actuaciones cuando los órganos judiciales no hayan tenido oportunidad alguna previa de examinar la vulneración que constituye el motivo de nulidad de actuaciones. En otro caso, habrá de interponerse directamente recurso de amparo.</w:t>
      </w:r>
    </w:p>
    <w:p w14:paraId="29F0A37A" w14:textId="77777777" w:rsidR="006F44C0" w:rsidRPr="00D971C8" w:rsidRDefault="006F44C0" w:rsidP="002B2B15">
      <w:pPr>
        <w:spacing w:after="240"/>
      </w:pPr>
      <w:r w:rsidRPr="00D971C8">
        <w:t xml:space="preserve">Tras esta revisión doctrinal por parte del TC, se desvirtuó el propósito de la reforma legislativa realizada por la LO 6/2007 ya que la modificación del art. 241.1 LOPJ con la que se amplió la posibilidad de interponer el incidente de nulidad de actuaciones previo al amparo ante la infracción de cualquier derecho fundamental, tenía como objeto el reforzamiento del carácter subsidiario del amparo con el fin, como decía su Exposición </w:t>
      </w:r>
      <w:r w:rsidRPr="00D971C8">
        <w:lastRenderedPageBreak/>
        <w:t xml:space="preserve">de Motivos, de </w:t>
      </w:r>
      <w:r w:rsidRPr="00D971C8">
        <w:rPr>
          <w:i/>
        </w:rPr>
        <w:t>«otorgar a los Tribunales ordinarios el papel de primeros garantes de los derechos fundamentales en nuestro ordenamiento jurídico».</w:t>
      </w:r>
    </w:p>
    <w:p w14:paraId="0FBC51E5" w14:textId="77777777" w:rsidR="006F44C0" w:rsidRPr="00D971C8" w:rsidRDefault="006F44C0" w:rsidP="002B2B15">
      <w:pPr>
        <w:spacing w:after="240"/>
      </w:pPr>
      <w:r w:rsidRPr="00D971C8">
        <w:t xml:space="preserve">Llama la atención que, según se apunta en la propia sentencia, esta exigencia de agotamiento de la vía judicial previa responde a la "finalidad de preservar el carácter subsidiario del recurso de amparo", de tal forma que, antes de denunciar ante el TC la vulneración de un derecho fundamental, los tribunales ordinarios hayan podido pronunciarse al respecto como garantes principales de estos derechos. </w:t>
      </w:r>
    </w:p>
    <w:p w14:paraId="469E781C" w14:textId="77777777" w:rsidR="006F44C0" w:rsidRPr="00D971C8" w:rsidRDefault="006F44C0" w:rsidP="002B2B15">
      <w:pPr>
        <w:spacing w:after="240"/>
      </w:pPr>
      <w:r w:rsidRPr="00D971C8">
        <w:t>En esta sentencia, sin embargo, el Tribunal limitó los casos en los que, para demandar el amparo del TC, resulta exigible plantear un incidente de nulidad de actuaciones contra la última sentencia recaída en el procedimiento.</w:t>
      </w:r>
    </w:p>
    <w:p w14:paraId="4872B3AC" w14:textId="77777777" w:rsidR="006F44C0" w:rsidRPr="00D971C8" w:rsidRDefault="006F44C0" w:rsidP="002B2B15">
      <w:pPr>
        <w:spacing w:after="240"/>
      </w:pPr>
      <w:r w:rsidRPr="00D971C8">
        <w:t>Teniendo esto en cuenta, la sentencia dispone que el requisito podrá considerarse cumplido, sin necesidad de llegar al incidente de nulidad de actuaciones, cuando se compruebe "que los órganos judiciales han tenido la oportunidad de pronunciarse sobre los derechos fundamentales luego invocados en vía de amparo constitucional (…) Lo contrario supondría cerrar la vía de amparo constitucional con un enfoque formalista y confundir la lógica del carácter subsidiario de su configuración".</w:t>
      </w:r>
    </w:p>
    <w:p w14:paraId="73639DBB" w14:textId="77777777" w:rsidR="006F44C0" w:rsidRPr="00D971C8" w:rsidRDefault="006F44C0" w:rsidP="002B2B15">
      <w:pPr>
        <w:spacing w:after="240"/>
      </w:pPr>
      <w:r w:rsidRPr="00D971C8">
        <w:t xml:space="preserve">Esto supondría que, cuando la vulneración de un derecho fundamental objeto de la demanda de amparo haya sido debatida en todas las instancias, debería considerarse cumplido el requisito del agotamiento de la vía judicial previa. Por tanto, partiendo de esta premisa, el incidente de nulidad de actuaciones sería exigible solo en aquellos casos en los que la vulneración del derecho fundamental se haya producido </w:t>
      </w:r>
      <w:r w:rsidRPr="004453CA">
        <w:rPr>
          <w:i/>
          <w:iCs/>
        </w:rPr>
        <w:t xml:space="preserve">ex </w:t>
      </w:r>
      <w:proofErr w:type="spellStart"/>
      <w:r w:rsidRPr="004453CA">
        <w:rPr>
          <w:i/>
          <w:iCs/>
        </w:rPr>
        <w:t>novo</w:t>
      </w:r>
      <w:proofErr w:type="spellEnd"/>
      <w:r w:rsidRPr="00D971C8">
        <w:t xml:space="preserve"> en la última sentencia recaída en el procedimiento.</w:t>
      </w:r>
    </w:p>
    <w:p w14:paraId="4FA6FD61" w14:textId="77777777" w:rsidR="006F44C0" w:rsidRDefault="006F44C0" w:rsidP="002B2B15">
      <w:pPr>
        <w:spacing w:after="240"/>
      </w:pPr>
      <w:r w:rsidRPr="00D971C8">
        <w:t xml:space="preserve">Parece, por tanto, bastante incongruente este cambio en la doctrina del TC si tenemos en cuenta el objetivo que perseguía la reforma de 2007, que no era otro que </w:t>
      </w:r>
      <w:r w:rsidRPr="004453CA">
        <w:t>remarca</w:t>
      </w:r>
      <w:r>
        <w:t>r</w:t>
      </w:r>
      <w:r w:rsidRPr="00D971C8">
        <w:t xml:space="preserve"> ese carácter subsidiario del recurso de amparo potenciando la figura del juez ordinario como garante principal de la protección de los derechos fundamentales.</w:t>
      </w:r>
    </w:p>
    <w:p w14:paraId="54534230" w14:textId="77777777" w:rsidR="006F44C0" w:rsidRPr="004619A8" w:rsidRDefault="006F44C0" w:rsidP="00B86E49">
      <w:pPr>
        <w:pStyle w:val="Ttulo3"/>
      </w:pPr>
      <w:bookmarkStart w:id="573" w:name="_Toc5987784"/>
      <w:bookmarkStart w:id="574" w:name="_Toc15987590"/>
      <w:bookmarkStart w:id="575" w:name="_Toc15987919"/>
      <w:bookmarkStart w:id="576" w:name="_Toc22634795"/>
      <w:bookmarkStart w:id="577" w:name="_Toc24654144"/>
      <w:bookmarkStart w:id="578" w:name="_Toc29335931"/>
      <w:bookmarkStart w:id="579" w:name="_Toc29367741"/>
      <w:bookmarkStart w:id="580" w:name="_Toc37373890"/>
      <w:bookmarkStart w:id="581" w:name="_Toc49423690"/>
      <w:bookmarkStart w:id="582" w:name="_Toc49708622"/>
      <w:bookmarkStart w:id="583" w:name="_Toc49790292"/>
      <w:bookmarkStart w:id="584" w:name="_Toc49866562"/>
      <w:bookmarkStart w:id="585" w:name="_Toc50373183"/>
      <w:r w:rsidRPr="004619A8">
        <w:lastRenderedPageBreak/>
        <w:t xml:space="preserve">La </w:t>
      </w:r>
      <w:r>
        <w:t>im</w:t>
      </w:r>
      <w:r w:rsidRPr="004619A8">
        <w:t>posibilidad de simultanear el incidente de nulidad de actuaciones y el recurso de amparo</w:t>
      </w:r>
      <w:bookmarkEnd w:id="573"/>
      <w:bookmarkEnd w:id="574"/>
      <w:bookmarkEnd w:id="575"/>
      <w:bookmarkEnd w:id="576"/>
      <w:bookmarkEnd w:id="577"/>
      <w:bookmarkEnd w:id="578"/>
      <w:bookmarkEnd w:id="579"/>
      <w:bookmarkEnd w:id="580"/>
      <w:bookmarkEnd w:id="581"/>
      <w:bookmarkEnd w:id="582"/>
      <w:bookmarkEnd w:id="583"/>
      <w:bookmarkEnd w:id="584"/>
      <w:bookmarkEnd w:id="585"/>
    </w:p>
    <w:p w14:paraId="191EFE03" w14:textId="77777777" w:rsidR="006F44C0" w:rsidRDefault="006F44C0" w:rsidP="002B2B15">
      <w:pPr>
        <w:spacing w:after="240"/>
      </w:pPr>
      <w:r>
        <w:t>Hablaremos a continuación de la posibilidad de simultanear el incidente de nulidad de actuaciones y el recurso de amparo, técnica que en ocasiones intentan los recurrentes ante la problemática que presentan los plazos de ambos recursos.</w:t>
      </w:r>
    </w:p>
    <w:p w14:paraId="55037302" w14:textId="77777777" w:rsidR="006F44C0" w:rsidRDefault="006F44C0" w:rsidP="001A4310">
      <w:pPr>
        <w:pStyle w:val="Ttulo4"/>
        <w:numPr>
          <w:ilvl w:val="0"/>
          <w:numId w:val="62"/>
        </w:numPr>
      </w:pPr>
      <w:bookmarkStart w:id="586" w:name="_Toc37373891"/>
      <w:bookmarkStart w:id="587" w:name="_Toc49423691"/>
      <w:bookmarkStart w:id="588" w:name="_Toc49708623"/>
      <w:bookmarkStart w:id="589" w:name="_Toc49866563"/>
      <w:r>
        <w:t>Los recursos de amparos prematuros</w:t>
      </w:r>
      <w:bookmarkEnd w:id="586"/>
      <w:bookmarkEnd w:id="587"/>
      <w:bookmarkEnd w:id="588"/>
      <w:bookmarkEnd w:id="589"/>
    </w:p>
    <w:p w14:paraId="005FFD3B" w14:textId="1C7B9CFD" w:rsidR="006F44C0" w:rsidRDefault="006F44C0" w:rsidP="002B2B15">
      <w:pPr>
        <w:spacing w:after="240"/>
      </w:pPr>
      <w:r>
        <w:t>La doctrina del TC al respecto es la de inadmitir</w:t>
      </w:r>
      <w:r w:rsidRPr="00D971C8">
        <w:t xml:space="preserve"> los recursos de amparo interpuestos de forma simultánea al incidente de nulidad, imputando como causa de inadmisión la falta de agotamiento de la vía judicial previa</w:t>
      </w:r>
      <w:r>
        <w:t xml:space="preserve">. Esta interpretación del TC sería muy </w:t>
      </w:r>
      <w:r w:rsidRPr="00847679">
        <w:t>acertada a nues</w:t>
      </w:r>
      <w:r>
        <w:t>tro parecer dado que el recurso de amparo es “</w:t>
      </w:r>
      <w:r w:rsidR="007B7556">
        <w:t>subsidiario” y</w:t>
      </w:r>
      <w:r>
        <w:t xml:space="preserve"> no </w:t>
      </w:r>
      <w:r w:rsidR="007B7556">
        <w:t>“alternativo</w:t>
      </w:r>
      <w:r>
        <w:t xml:space="preserve">”. </w:t>
      </w:r>
    </w:p>
    <w:p w14:paraId="7D826A51" w14:textId="77777777" w:rsidR="006F44C0" w:rsidRDefault="006F44C0" w:rsidP="002B2B15">
      <w:pPr>
        <w:spacing w:after="240"/>
      </w:pPr>
      <w:r>
        <w:t xml:space="preserve">Nuestro Alto Tribunal considera para estos casos que el recurso de amparo sería inadmisible por prematuro, sin posibilidad de subsanación. Al respecto se ha posicionado en varias ocasiones: </w:t>
      </w:r>
    </w:p>
    <w:p w14:paraId="0F3593E0" w14:textId="77777777" w:rsidR="006F44C0" w:rsidRDefault="006F44C0" w:rsidP="002B2B15">
      <w:pPr>
        <w:spacing w:after="240"/>
      </w:pPr>
      <w:r>
        <w:t xml:space="preserve">Tan sólo un año después de la entrada en vigor de la reforma de 2007, el </w:t>
      </w:r>
      <w:r w:rsidRPr="00847679">
        <w:t>TC</w:t>
      </w:r>
      <w:r>
        <w:t xml:space="preserve"> ya dispuso lo siguiente en su </w:t>
      </w:r>
      <w:r w:rsidRPr="006A7A7B">
        <w:t>S</w:t>
      </w:r>
      <w:r>
        <w:t xml:space="preserve">entencia </w:t>
      </w:r>
      <w:r w:rsidRPr="006A7A7B">
        <w:t>73/2008, de 23 de junio</w:t>
      </w:r>
      <w:r>
        <w:t>, FJ 3:</w:t>
      </w:r>
    </w:p>
    <w:p w14:paraId="1576B033" w14:textId="77777777" w:rsidR="006F44C0" w:rsidRPr="0064285D" w:rsidRDefault="006F44C0" w:rsidP="002B2B15">
      <w:pPr>
        <w:spacing w:after="240"/>
        <w:rPr>
          <w:i/>
          <w:iCs/>
        </w:rPr>
      </w:pPr>
      <w:r w:rsidRPr="0064285D">
        <w:rPr>
          <w:i/>
          <w:iCs/>
        </w:rPr>
        <w:t xml:space="preserve">«El examen del testimonio de las actuaciones procesales recibido por este Tribunal ha puesto de relieve, como advierte el Ministerio Fiscal, que la presente demanda se ha presentado cuando aún estaba pendiente la vía judicial ordinaria, de suerte que debe reputarse prematura, no procediendo, por tanto, pronunciarse sobre las cuestiones de fondo planteadas. Según lo que ha quedado expuesto con detalle en los antecedentes, el mismo día que presentaba la demanda de amparo a través de la Secretaría del Juzgado de Instrucción núm. 24 de Madrid, en funciones de guardia, el recurrente, callándolo en aquélla, abría una vía de impugnación paralela al promover ante la Sala sentenciadora incidente de nulidad de actuaciones del art. 241 LOPJ, por entender que la Sentencia incurría en incongruencia omisiva, incidente que fue desestimado por Auto de 5 de diciembre de 2005. Todo lo relatado evidencia que en el momento de interponer la demanda de amparo no se habían agotado los medios de impugnación que el recurrente, por decisión propia e independientemente de si son procedentes o no, había puesto en marcha dentro de la vía judicial, lo que confiere a la demanda de amparo la condición </w:t>
      </w:r>
      <w:r w:rsidRPr="0064285D">
        <w:rPr>
          <w:i/>
          <w:iCs/>
        </w:rPr>
        <w:lastRenderedPageBreak/>
        <w:t>de prematura y determina, en consecuencia, que proceda su inadmisión, de conformidad con lo establecido en el art. 50.1 a) en relación con el art. 44.1 a) LOTC, y sin que, por lo tanto, sea necesario examinar ahora el fondo de los motivos en que se funda».</w:t>
      </w:r>
    </w:p>
    <w:p w14:paraId="0552545F" w14:textId="77777777" w:rsidR="006F44C0" w:rsidRDefault="006F44C0" w:rsidP="002B2B15">
      <w:pPr>
        <w:spacing w:after="240"/>
      </w:pPr>
      <w:r>
        <w:t>En esta misma línea, la STC 199/2012, de 12 de noviembre, siguiendo la línea de la anterior STC 99/2009, de 27 de abril, FJ 2, declaró lo siguiente:</w:t>
      </w:r>
    </w:p>
    <w:p w14:paraId="427B6AB2" w14:textId="77777777" w:rsidR="006F44C0" w:rsidRPr="00822BE5" w:rsidRDefault="006F44C0" w:rsidP="002B2B15">
      <w:pPr>
        <w:spacing w:after="240"/>
        <w:rPr>
          <w:i/>
          <w:iCs/>
        </w:rPr>
      </w:pPr>
      <w:r w:rsidRPr="00822BE5">
        <w:rPr>
          <w:i/>
          <w:iCs/>
        </w:rPr>
        <w:t xml:space="preserve"> «Por tanto, concurre el óbice procesal de falta de agotamiento de la vía judicial previa [art. 50.1 a), en relación con el art. 44.1 a) LOTC], al haberse hecho coexistir esta jurisdicción de amparo con la vía judicial ordinaria, pues, como este Tribunal ha puesto de manifiesto en anteriores ocasiones, es la fecha en la que se registra en este Tribunal la solicitud de amparo, con o sin simultánea solicitud de designación de Abogado o Procurador de oficio, la que marca el </w:t>
      </w:r>
      <w:proofErr w:type="spellStart"/>
      <w:r w:rsidRPr="00822BE5">
        <w:rPr>
          <w:i/>
          <w:iCs/>
        </w:rPr>
        <w:t>dies</w:t>
      </w:r>
      <w:proofErr w:type="spellEnd"/>
      <w:r w:rsidRPr="00822BE5">
        <w:rPr>
          <w:i/>
          <w:iCs/>
        </w:rPr>
        <w:t xml:space="preserve"> ad </w:t>
      </w:r>
      <w:proofErr w:type="spellStart"/>
      <w:r w:rsidRPr="00822BE5">
        <w:rPr>
          <w:i/>
          <w:iCs/>
        </w:rPr>
        <w:t>quem</w:t>
      </w:r>
      <w:proofErr w:type="spellEnd"/>
      <w:r w:rsidRPr="00822BE5">
        <w:rPr>
          <w:i/>
          <w:iCs/>
        </w:rPr>
        <w:t xml:space="preserve"> de su interposición (ATC 163/2009, de 21 de mayo, FJ 2), pues con este proceder procesal la demandante compareció ante este Tribunal Constitucional cuando aún no se habían resuelto los medios de impugnación que había puesto en marcha dentro de la vía judicial previa, provocando así la coexistencia temporal de ambos procedimientos, el de la jurisdicción ordinaria y el presente proceso de amparo.</w:t>
      </w:r>
    </w:p>
    <w:p w14:paraId="13B9129F" w14:textId="77777777" w:rsidR="006F44C0" w:rsidRDefault="006F44C0" w:rsidP="002B2B15">
      <w:pPr>
        <w:spacing w:after="240"/>
      </w:pPr>
      <w:r w:rsidRPr="00822BE5">
        <w:rPr>
          <w:i/>
          <w:iCs/>
        </w:rPr>
        <w:t>Por todo lo que antecede resulta procedente dictar Sentencia inadmitiendo el recurso de amparo por falta de agotamiento de la vía judicial previa [art. 44.1 a) LOTC</w:t>
      </w:r>
      <w:r>
        <w:t>».</w:t>
      </w:r>
    </w:p>
    <w:p w14:paraId="3E0C1D14" w14:textId="77777777" w:rsidR="006F44C0" w:rsidRDefault="006F44C0" w:rsidP="002B2B15">
      <w:pPr>
        <w:spacing w:after="240"/>
      </w:pPr>
      <w:r>
        <w:t xml:space="preserve">La </w:t>
      </w:r>
      <w:r w:rsidRPr="00D971C8">
        <w:t>STC 139/2014</w:t>
      </w:r>
      <w:r>
        <w:t>, de 7 de octubre, FJ 3, dispone sobre los amparos prematuros:</w:t>
      </w:r>
    </w:p>
    <w:p w14:paraId="71C44E65" w14:textId="77777777" w:rsidR="006F44C0" w:rsidRPr="006761B4" w:rsidRDefault="006F44C0" w:rsidP="002B2B15">
      <w:pPr>
        <w:spacing w:after="240"/>
        <w:rPr>
          <w:i/>
          <w:iCs/>
        </w:rPr>
      </w:pPr>
      <w:r w:rsidRPr="006761B4">
        <w:rPr>
          <w:i/>
          <w:iCs/>
        </w:rPr>
        <w:t>“Llegados a este punto, procede traer a colación la doctrina establecida por este Tribunal sobre el carácter prematuro del recurso de amparo, cuando el referido recurso se interpone sin que la vía judicial esté agotada. Como afirmamos en la STC 32/2010, de 8 de julio, FJ 2, “[e]</w:t>
      </w:r>
      <w:proofErr w:type="spellStart"/>
      <w:r w:rsidRPr="006761B4">
        <w:rPr>
          <w:i/>
          <w:iCs/>
        </w:rPr>
        <w:t>ste</w:t>
      </w:r>
      <w:proofErr w:type="spellEnd"/>
      <w:r w:rsidRPr="006761B4">
        <w:rPr>
          <w:i/>
          <w:iCs/>
        </w:rPr>
        <w:t xml:space="preserve"> Tribunal ha puesto de manifiesto que la causa de inadmisión de falta de agotamiento de la vía judicial previa [art. 50.1 a), en relación con el art. 44.1 a) LOTC] tiene su fundamento en la salvaguarda de la naturaleza subsidiaria del amparo, con el fin de evitar que este Tribunal se pronuncie sobre eventuales vulneraciones de derechos fundamentales cuando los órganos judiciales tienen todavía la ocasión de reestablecerlos. En relación con ello, se ha destacado que es opuesto al carácter subsidiario de esta jurisdicción constitucional simultanear un recurso de amparo con otro recurso seguido en la vía judicial ordinaria, como ocurre cuando se inicia el proceso </w:t>
      </w:r>
      <w:r w:rsidRPr="006761B4">
        <w:rPr>
          <w:i/>
          <w:iCs/>
        </w:rPr>
        <w:lastRenderedPageBreak/>
        <w:t>de amparo antes de que estén resueltos los recursos interpuestos contra la resolución judicial impugnada en aquella otra vía o cuando, una vez presentada la demanda de amparo, se reabre la vía judicial durante la pendencia del proceso de amparo, aunque la resolución final de la jurisdicción ordinaria sea finalmente desestimatoria (por todas, STC 99/2009, de 27 de abril, FJ 2)”</w:t>
      </w:r>
    </w:p>
    <w:p w14:paraId="1300797F" w14:textId="77777777" w:rsidR="006F44C0" w:rsidRDefault="006F44C0" w:rsidP="002B2B15">
      <w:pPr>
        <w:spacing w:after="240"/>
      </w:pPr>
      <w:r>
        <w:t>Queda clara, por tanto, la posición del TC a este respecto:</w:t>
      </w:r>
    </w:p>
    <w:p w14:paraId="1441B9E8" w14:textId="77777777" w:rsidR="006F44C0" w:rsidRDefault="006F44C0" w:rsidP="001A4310">
      <w:pPr>
        <w:pStyle w:val="Prrafodelista"/>
        <w:numPr>
          <w:ilvl w:val="0"/>
          <w:numId w:val="19"/>
        </w:numPr>
        <w:spacing w:before="360"/>
      </w:pPr>
      <w:r>
        <w:t xml:space="preserve">El recurso de amparo es un recurso subsidiario y extraordinario, por lo que sólo debe utilizarse como última instancia una vez agotada complemente la vía judicial previa. </w:t>
      </w:r>
    </w:p>
    <w:p w14:paraId="3885B8AC" w14:textId="77777777" w:rsidR="006F44C0" w:rsidRDefault="006F44C0" w:rsidP="001A4310">
      <w:pPr>
        <w:pStyle w:val="Prrafodelista"/>
        <w:numPr>
          <w:ilvl w:val="0"/>
          <w:numId w:val="19"/>
        </w:numPr>
        <w:spacing w:before="360"/>
      </w:pPr>
      <w:r>
        <w:t>Tras la reforma de 2007, el incidente de nulidad de actuaciones ha de ser interpuesto necesariamente para agotar la vía judicial previa.</w:t>
      </w:r>
    </w:p>
    <w:p w14:paraId="7D0A6B95" w14:textId="77777777" w:rsidR="006F44C0" w:rsidRDefault="006F44C0" w:rsidP="001A4310">
      <w:pPr>
        <w:pStyle w:val="Prrafodelista"/>
        <w:numPr>
          <w:ilvl w:val="0"/>
          <w:numId w:val="19"/>
        </w:numPr>
        <w:spacing w:before="360"/>
      </w:pPr>
      <w:r>
        <w:t>El incidente de nulidad de actuaciones debe interponerse necesariamente antes de acudir al amparo y no a la vez. En el caso de interponerse a la vez, el recurso de amparo será necesariamente inadmitido por prematuro al considerarse como no agotada la vía judicial previa, requisito imprescindible para que se admita este recurso.</w:t>
      </w:r>
    </w:p>
    <w:p w14:paraId="13CE2FD0" w14:textId="77777777" w:rsidR="006F44C0" w:rsidRDefault="006F44C0" w:rsidP="002B2B15">
      <w:pPr>
        <w:spacing w:after="240"/>
      </w:pPr>
      <w:r>
        <w:t>Sin embargo, distinto sería el caso de que se inadmitiese el originario recurso de amparo por esta circunstancia y, posteriormente, se dictase resolución en el incidente de nulidad de actuaciones. En este caso, sería posible ahora reiterar un segundo recurso de amparo frente a esta última resolución. En este sentido, la STC 51/2010, de 4 de octubre, FJ 2:</w:t>
      </w:r>
    </w:p>
    <w:p w14:paraId="680CFBA0" w14:textId="77777777" w:rsidR="006F44C0" w:rsidRPr="00637DD8" w:rsidRDefault="006F44C0" w:rsidP="002B2B15">
      <w:pPr>
        <w:spacing w:after="240"/>
        <w:rPr>
          <w:i/>
          <w:iCs/>
        </w:rPr>
      </w:pPr>
      <w:r>
        <w:t xml:space="preserve"> </w:t>
      </w:r>
      <w:r w:rsidRPr="00637DD8">
        <w:rPr>
          <w:i/>
          <w:iCs/>
        </w:rPr>
        <w:t xml:space="preserve">«En el presente caso, la entidad demandante interpuso un primer recurso de amparo contra la Sentencia de casación que fue considerado prematuro por haber simultaneado dicho recurso con la interposición del incidente de nulidad de actuaciones. Ahora bien, tras la resolución del citado incidente de nulidad de actuaciones la entidad demandante interpuso el presente recurso de amparo dentro del plazo previsto en el art. 44.2 LOTC , en él se han alegado vulneraciones de derechos fundamentales respecto de la resolución judicial resolutoria del incidente de nulidad y, además, se han reproducido todos los motivos de amparo imputados contra las Sentencia de apelación y casación en el recurso </w:t>
      </w:r>
      <w:r w:rsidRPr="00637DD8">
        <w:rPr>
          <w:i/>
          <w:iCs/>
        </w:rPr>
        <w:lastRenderedPageBreak/>
        <w:t>de amparo inadmitido, incluyendo la incongruencia omisiva denunciada en el incidente de nulidad.</w:t>
      </w:r>
    </w:p>
    <w:p w14:paraId="551E2AC0" w14:textId="77777777" w:rsidR="006F44C0" w:rsidRDefault="006F44C0" w:rsidP="002B2B15">
      <w:pPr>
        <w:spacing w:after="240"/>
        <w:rPr>
          <w:i/>
          <w:iCs/>
        </w:rPr>
      </w:pPr>
      <w:r w:rsidRPr="00637DD8">
        <w:rPr>
          <w:i/>
          <w:iCs/>
        </w:rPr>
        <w:t>Por tanto, tal como indica el Ministerio Fiscal, no cabe considerar que el presente recurso de amparo resulte extemporáneo en relación con las vulneraciones imputadas a las Sentencias de apelación y casación por alargamiento artificial de la vía judicial previa, toda vez que, más allá del carácter prematuro del primer recurso de amparo ya inadmitido, en este segundo recurso se ha producido un correcto agotamiento de la vía judicial previa a través de la interposición de un incidente de nulidad de actuaciones que no puede ser calificado de improcedente al haberse fundamentado en incongruencia del fallo. »</w:t>
      </w:r>
    </w:p>
    <w:p w14:paraId="015AEABC" w14:textId="77777777" w:rsidR="006F44C0" w:rsidRDefault="006F44C0" w:rsidP="002B2B15">
      <w:pPr>
        <w:spacing w:after="240"/>
      </w:pPr>
      <w:r>
        <w:t xml:space="preserve">Coincidimos plenamente en este caso con la posición mantenida por el Ministerio Fiscal ya que no podrían considerarse este tipo de amparos como extemporáneos </w:t>
      </w:r>
      <w:r w:rsidRPr="0029424E">
        <w:t xml:space="preserve">por </w:t>
      </w:r>
      <w:r>
        <w:t xml:space="preserve">dilaciones indebidas al </w:t>
      </w:r>
      <w:r w:rsidRPr="0029424E">
        <w:t>alarga</w:t>
      </w:r>
      <w:r>
        <w:t xml:space="preserve">r </w:t>
      </w:r>
      <w:r w:rsidRPr="0029424E">
        <w:t>artificial</w:t>
      </w:r>
      <w:r>
        <w:t>mente</w:t>
      </w:r>
      <w:r w:rsidRPr="0029424E">
        <w:t xml:space="preserve"> la vía judicial previa</w:t>
      </w:r>
      <w:r>
        <w:t xml:space="preserve">. En nuestra opinión, independientemente del </w:t>
      </w:r>
      <w:r w:rsidRPr="0029424E">
        <w:t>carácter prematuro del primer recurso de amparo ya inadmitido</w:t>
      </w:r>
      <w:r>
        <w:t xml:space="preserve"> de manera correcta</w:t>
      </w:r>
      <w:r w:rsidRPr="0029424E">
        <w:t>, en este segundo recurso se ha</w:t>
      </w:r>
      <w:r>
        <w:t>bría</w:t>
      </w:r>
      <w:r w:rsidRPr="0029424E">
        <w:t xml:space="preserve"> producido un correcto agotamiento de la vía judicial previa </w:t>
      </w:r>
      <w:r>
        <w:t>medi</w:t>
      </w:r>
      <w:r w:rsidRPr="0029424E">
        <w:t>a</w:t>
      </w:r>
      <w:r>
        <w:t xml:space="preserve">nte </w:t>
      </w:r>
      <w:r w:rsidRPr="0029424E">
        <w:t xml:space="preserve">la </w:t>
      </w:r>
      <w:r>
        <w:t xml:space="preserve">adecuada </w:t>
      </w:r>
      <w:r w:rsidRPr="0029424E">
        <w:t xml:space="preserve">interposición de un incidente de nulidad de actuaciones </w:t>
      </w:r>
      <w:r>
        <w:t>fundamentado en la</w:t>
      </w:r>
      <w:r w:rsidRPr="0029424E">
        <w:t xml:space="preserve"> incongruencia del fallo</w:t>
      </w:r>
      <w:r>
        <w:t>.</w:t>
      </w:r>
    </w:p>
    <w:p w14:paraId="3128B4E2" w14:textId="77777777" w:rsidR="003A63E8" w:rsidRDefault="006F44C0" w:rsidP="002B2B15">
      <w:pPr>
        <w:spacing w:after="240"/>
      </w:pPr>
      <w:r w:rsidRPr="00D971C8">
        <w:t>Atendiendo a GÓMEZ FERNÁNDEZ Y MONTESINOS PADILLA</w:t>
      </w:r>
      <w:r w:rsidR="003A63E8">
        <w:t>:</w:t>
      </w:r>
    </w:p>
    <w:p w14:paraId="17EBDFC1" w14:textId="4347B648" w:rsidR="006F44C0" w:rsidRPr="00D971C8" w:rsidRDefault="006F44C0" w:rsidP="002B2B15">
      <w:pPr>
        <w:spacing w:after="240"/>
      </w:pPr>
      <w:r w:rsidRPr="00D971C8">
        <w:t xml:space="preserve"> </w:t>
      </w:r>
      <w:r w:rsidRPr="00D971C8">
        <w:rPr>
          <w:i/>
        </w:rPr>
        <w:t>“Tanto es así, que ni siquiera se admite el planteamiento simultáneo cuando el argumento en que se apoya esta estrategia procesal es la posibilidad de desgajar los motivos de impugnación y denunciar, en la demanda de amparo, vulneraciones de derechos previamente invocados en el procedimiento, y en el escrito de interposición del incidente, lesiones imputables exclusivamente a la resolución que le pone fin (STC 208/2009, FJ 3)</w:t>
      </w:r>
      <w:r w:rsidRPr="00D971C8">
        <w:t xml:space="preserve">. </w:t>
      </w:r>
      <w:r w:rsidRPr="00D971C8">
        <w:rPr>
          <w:i/>
        </w:rPr>
        <w:t xml:space="preserve">Y es que, de todos modos, el planteamiento simultáneo de amparo e incidente suele fundarse en las dudas relativas a la procedencia o no del último. Dudas netamente comprensibles a juzgar por la errática jurisprudencia constitucional. En todo caso, no cabe presentar simultáneamente la misma queja a través de un incidente de nulidad de actuaciones y de un recurso de amparo porque, llegando este dato a conocimiento del TC, el amparo será siempre inadmitido por prematuro, y no es imposible, aunque tampoco habitual, que una nueva visita al TC, una vez resuelto el </w:t>
      </w:r>
      <w:r w:rsidRPr="00D971C8">
        <w:rPr>
          <w:i/>
        </w:rPr>
        <w:lastRenderedPageBreak/>
        <w:t>incidente, acabe viéndose frustrada por la oposición de un óbice de extemporaneidad del amparo, al considerarse improcedente el incidente de nulidad (ATC 35/2011)21”.</w:t>
      </w:r>
      <w:r w:rsidRPr="00D971C8">
        <w:rPr>
          <w:rStyle w:val="Refdenotaalpie"/>
        </w:rPr>
        <w:t xml:space="preserve"> </w:t>
      </w:r>
      <w:r w:rsidRPr="00D971C8">
        <w:rPr>
          <w:rStyle w:val="Refdenotaalpie"/>
        </w:rPr>
        <w:footnoteReference w:id="229"/>
      </w:r>
    </w:p>
    <w:p w14:paraId="4EF39E18" w14:textId="77777777" w:rsidR="006F44C0" w:rsidRDefault="006F44C0" w:rsidP="002B2B15">
      <w:pPr>
        <w:spacing w:after="240"/>
      </w:pPr>
      <w:r>
        <w:t xml:space="preserve">Vemos, por tanto, hasta qué punto es imposible la posibilidad de simultanear el incidente “excepcional” de nulidad de actuaciones y el recurso de amparo constitucional, incluyéndose casos como el anteriormente citado en el que se pretende </w:t>
      </w:r>
      <w:r w:rsidRPr="003D3608">
        <w:t>desgajar los motivos de impugnación y denunciar, en la demanda de amparo, vulneraciones de derechos previamente invocados en el procedimiento, y en el escrito de interposición del incidente, lesiones imputables exclusivamente a la resolución que le pone fin</w:t>
      </w:r>
      <w:r>
        <w:t xml:space="preserve">. </w:t>
      </w:r>
    </w:p>
    <w:p w14:paraId="7304DFC9" w14:textId="77777777" w:rsidR="006F44C0" w:rsidRDefault="006F44C0" w:rsidP="002B2B15">
      <w:pPr>
        <w:spacing w:after="240"/>
      </w:pPr>
      <w:r w:rsidRPr="00D971C8">
        <w:t>Atendiendo a esto, solo procedería interponer el incidente cuando éste sea preceptivo</w:t>
      </w:r>
      <w:r>
        <w:t>, sin embargo, es necesario reflexionar acerca de cuándo lo será.</w:t>
      </w:r>
    </w:p>
    <w:p w14:paraId="1D0A1B1B" w14:textId="1A7674A5" w:rsidR="006F44C0" w:rsidRDefault="006F44C0" w:rsidP="00B86E49">
      <w:pPr>
        <w:pStyle w:val="Ttulo4"/>
      </w:pPr>
      <w:bookmarkStart w:id="590" w:name="_Toc37373892"/>
      <w:bookmarkStart w:id="591" w:name="_Toc49423692"/>
      <w:bookmarkStart w:id="592" w:name="_Toc49708624"/>
      <w:bookmarkStart w:id="593" w:name="_Toc49866564"/>
      <w:r>
        <w:t xml:space="preserve">La preceptiva interposición del </w:t>
      </w:r>
      <w:r w:rsidR="007B7556">
        <w:t>incidente” extraordinario</w:t>
      </w:r>
      <w:r>
        <w:t>” de nulidad de actuaciones</w:t>
      </w:r>
      <w:bookmarkEnd w:id="590"/>
      <w:bookmarkEnd w:id="591"/>
      <w:bookmarkEnd w:id="592"/>
      <w:bookmarkEnd w:id="593"/>
    </w:p>
    <w:p w14:paraId="27BEA2AB" w14:textId="77777777" w:rsidR="006F44C0" w:rsidRDefault="006F44C0" w:rsidP="002B2B15">
      <w:pPr>
        <w:spacing w:after="240"/>
      </w:pPr>
      <w:r>
        <w:t>E</w:t>
      </w:r>
      <w:r w:rsidRPr="00D971C8">
        <w:t>l ATC 98/2016 exige que el amparo se presente en fecha posterior a la notificación de la inadmisión o desestimación del incidente, puesto que también se consideraría interposición simultánea la introducción de la demanda de amparo una vez resuelto el incidente si no ha sido notificada la resolución</w:t>
      </w:r>
      <w:r w:rsidRPr="00D971C8">
        <w:rPr>
          <w:rStyle w:val="Refdenotaalpie"/>
        </w:rPr>
        <w:footnoteReference w:id="230"/>
      </w:r>
      <w:r w:rsidRPr="00D971C8">
        <w:t>.</w:t>
      </w:r>
      <w:r>
        <w:t xml:space="preserve"> En nuestra opinión, consideramos que esta exigencia sería un “formalismo enervante” ya que se estaría dando lugar a una inadmisión del recurso de amparo, habiéndose agotado la vía previa, simplemente por el requisito formal de haber recibido la notificación de la resolución del incidente.</w:t>
      </w:r>
    </w:p>
    <w:p w14:paraId="57733503" w14:textId="77777777" w:rsidR="006F44C0" w:rsidRDefault="006F44C0" w:rsidP="002B2B15">
      <w:pPr>
        <w:spacing w:after="240"/>
      </w:pPr>
      <w:r>
        <w:t>Entendemos</w:t>
      </w:r>
      <w:r w:rsidRPr="00D971C8">
        <w:t xml:space="preserve"> la necesidad de </w:t>
      </w:r>
      <w:r>
        <w:t xml:space="preserve">evitar la simultaneidad del incidente de nulidad y el recurso de amparo en aras de </w:t>
      </w:r>
      <w:r w:rsidRPr="00D971C8">
        <w:t>salvaguardar la naturaleza subsidiaria del amparo, para así evitar pronunciamientos sobre eventuales vulneraciones de derechos fundamentales cuando los órganos judiciales tienen todavía la ocasión de reestablecerlos</w:t>
      </w:r>
      <w:r>
        <w:t>, sin embargo, consideramos necesario evitar caer en “formalismos enervantes” que impidan la protección de derechos fundamentales.</w:t>
      </w:r>
    </w:p>
    <w:p w14:paraId="79C5AB73" w14:textId="77777777" w:rsidR="006F44C0" w:rsidRDefault="006F44C0" w:rsidP="002B2B15">
      <w:pPr>
        <w:spacing w:after="240"/>
      </w:pPr>
      <w:r>
        <w:lastRenderedPageBreak/>
        <w:t>El incidente resultará improcedente cuando sea posible presentar otro tipo de recursos ordinarios o extraordinarios, así lo exige el art. 241 LOPJ. Pero no debemos olvidar que también lo será en los casos en que se pretenda plantear nuevamente vulneraciones de derechos que ya hayan sido objeto de debate en el proceso previo y, por tanto, haya existido la posibilidad de denuncia previamente; o cuando la imputación de la lesión no pueda ser atribuida al órgano judicial ante el que se interpone el incidente</w:t>
      </w:r>
      <w:r>
        <w:rPr>
          <w:rStyle w:val="Refdenotaalpie"/>
        </w:rPr>
        <w:footnoteReference w:id="231"/>
      </w:r>
      <w:r>
        <w:t>.</w:t>
      </w:r>
    </w:p>
    <w:p w14:paraId="2F4F422E" w14:textId="77777777" w:rsidR="006F44C0" w:rsidRPr="00513983" w:rsidRDefault="006F44C0" w:rsidP="00B86E49">
      <w:pPr>
        <w:pStyle w:val="Ttulo4"/>
      </w:pPr>
      <w:bookmarkStart w:id="595" w:name="_Toc37373893"/>
      <w:bookmarkStart w:id="596" w:name="_Toc49423693"/>
      <w:bookmarkStart w:id="597" w:name="_Toc49708625"/>
      <w:bookmarkStart w:id="598" w:name="_Toc49866565"/>
      <w:r w:rsidRPr="00513983">
        <w:t>Dificultades a la hora de lograr una efectiva estrategia procesal</w:t>
      </w:r>
      <w:bookmarkEnd w:id="595"/>
      <w:bookmarkEnd w:id="596"/>
      <w:bookmarkEnd w:id="597"/>
      <w:bookmarkEnd w:id="598"/>
    </w:p>
    <w:p w14:paraId="0EAAABAA" w14:textId="77777777" w:rsidR="006F44C0" w:rsidRDefault="006F44C0" w:rsidP="002B2B15">
      <w:pPr>
        <w:spacing w:after="240"/>
      </w:pPr>
      <w:r>
        <w:t>Analizadas las posibles fricciones y complicaciones a la hora de interponer incidentes de nulidad de actuaciones, el incidente “excepcional de nulidad de actuaciones” y el recurso de amparo, podemos deducir que se plantean multitud de dificultades para los operadores jurídicos a la hora de lograr una efectiva estrategia procesal para la protección de sus intereses, hecho que nos resulta preocupante, especialmente si tenemos en cuenta que nos estamos refiriendo a la protección de derechos fundamentales.</w:t>
      </w:r>
    </w:p>
    <w:p w14:paraId="44886123" w14:textId="77777777" w:rsidR="006F44C0" w:rsidRDefault="006F44C0" w:rsidP="002B2B15">
      <w:pPr>
        <w:spacing w:after="240"/>
      </w:pPr>
      <w:r>
        <w:t>Consideramos que pueden darse principalmente dos problemas básicos a la hora del estudio de una adecuada estrategia procesal:</w:t>
      </w:r>
    </w:p>
    <w:p w14:paraId="3F036763" w14:textId="77777777" w:rsidR="006F44C0" w:rsidRDefault="006F44C0" w:rsidP="001A4310">
      <w:pPr>
        <w:pStyle w:val="Prrafodelista"/>
        <w:numPr>
          <w:ilvl w:val="0"/>
          <w:numId w:val="22"/>
        </w:numPr>
        <w:spacing w:before="360"/>
      </w:pPr>
      <w:r>
        <w:t>El primero sería la “traslación”, es decir, incurrir en el error de pretender trasladar a la segunda instancia la vulneración de un derecho fundamental producido en la primera. Y es que, el primer punto a tener en cuenta es que debemos denunciar (por el medio que proceda) la nulidad de actuaciones justo en el momento es que se tenga conocimiento de ella. Por tanto, si la denunciamos en una segunda instancia, será porque ha sido justamente este Tribunal el que nos ha vulnerado nuestro derecho y nunca porque pretendamos trasladar a éste la vulneración acaecida en la primera instancia.</w:t>
      </w:r>
    </w:p>
    <w:p w14:paraId="66050158" w14:textId="77777777" w:rsidR="006F44C0" w:rsidRPr="00B86E49" w:rsidRDefault="006F44C0" w:rsidP="001A4310">
      <w:pPr>
        <w:pStyle w:val="Prrafodelista"/>
        <w:numPr>
          <w:ilvl w:val="0"/>
          <w:numId w:val="22"/>
        </w:numPr>
        <w:spacing w:before="360"/>
      </w:pPr>
      <w:r>
        <w:t xml:space="preserve">El segundo problema versa sobre la doble vertiente del artículo 24 CE debido a la confusión acerca de las posibles infracciones que pueden darse con base a este precepto. Existen, por una parte, las infracciones del art. 24 CE de un carácter eminentemente procesal, como podría ser la falta de igualdad de las partes en el </w:t>
      </w:r>
      <w:r>
        <w:lastRenderedPageBreak/>
        <w:t xml:space="preserve">proceso, dilaciones indebidas, etc. Esta infracción se dará mayoritariamente en la </w:t>
      </w:r>
      <w:r w:rsidRPr="00B86E49">
        <w:t xml:space="preserve">sustanciación del proceso y no con la resolución propiamente dicha. </w:t>
      </w:r>
    </w:p>
    <w:p w14:paraId="691167A2" w14:textId="77777777" w:rsidR="006F44C0" w:rsidRDefault="006F44C0" w:rsidP="002B2B15">
      <w:pPr>
        <w:pStyle w:val="Prrafodelista"/>
      </w:pPr>
      <w:r w:rsidRPr="00B86E49">
        <w:t>Sin embargo, encontramos en un segundo lugar otra posible vertiente de este precepto, que es la que incide en confusión, donde se mezclan los temas procesales con los derechos fundamentales alegados en sí mismos. Por ejemplo, el caso de que se presente una demanda alegando la vulneración de la libertad de expresión y, en la motivación de la sentencia (tema procesal del 24), no se razone en base a dicha libertad de expresión, sino al derecho de huelga. En ese hipotético incidente de nulidad de actuaciones que podría presentarse, en el que se habría alegado la falta de motivación atendiendo al art. 24 CE, se tendría que entrar a motivar adecuadamente la libertad de expresión. Nos encontramos pues, en esta segunda vertiente, ante casos referidos a motivación, congruencia, etc., temas procesales del art.</w:t>
      </w:r>
      <w:r w:rsidRPr="00B86E49">
        <w:rPr>
          <w:color w:val="FF0000"/>
        </w:rPr>
        <w:t xml:space="preserve"> </w:t>
      </w:r>
      <w:r w:rsidRPr="00B86E49">
        <w:t>24 CE pero que, a pesar de serlo, comunican con el derecho fundamental inicialmente alegado. Es decir, hemos alegado un derecho fundamental determinado, pero se ha vulnerado el art. 24 CE al no motivar la resolución adecuadamente. Esa falta de motivación es en relación con un derecho fundamental concreto y su motivación afectará a ese derecho, pero no es una vulneración de ese derecho concreto. Es decir, existiría una interrelación entre el art. 24 CE (falta de motivación) y el derecho fundamental inicialmente alegado (libertad de expresión).</w:t>
      </w:r>
      <w:r w:rsidRPr="005C49D2">
        <w:t xml:space="preserve"> </w:t>
      </w:r>
    </w:p>
    <w:p w14:paraId="5BC18EE9" w14:textId="77777777" w:rsidR="006F44C0" w:rsidRDefault="006F44C0" w:rsidP="002B2B15">
      <w:pPr>
        <w:spacing w:after="240"/>
      </w:pPr>
      <w:r>
        <w:t xml:space="preserve">Si trazásemos un esquema general acerca de lo anteriormente referido, partiríamos de una hipotética resolución judicial en la que consideramos vulnerado un derecho fundamental. Podrían darse dos opciones al respecto: </w:t>
      </w:r>
    </w:p>
    <w:p w14:paraId="2B94716A" w14:textId="77777777" w:rsidR="006F44C0" w:rsidRDefault="006F44C0" w:rsidP="001A4310">
      <w:pPr>
        <w:pStyle w:val="Prrafodelista"/>
        <w:numPr>
          <w:ilvl w:val="0"/>
          <w:numId w:val="20"/>
        </w:numPr>
        <w:spacing w:before="360"/>
      </w:pPr>
      <w:r>
        <w:t xml:space="preserve">La primera sería que, frente a esa resolución no existiese la posibilidad de presentar un ulterior recurso (recordemos que, atendiendo al art. 240 LOPJ la nulidad de las actuaciones siempre habrá de hacerse valer, en primer lugar, por medio de los recursos que establezcan las leyes procesales). Por </w:t>
      </w:r>
      <w:r w:rsidRPr="00B86E49">
        <w:t>ejemplo, una resolución de la Sala de lo contencioso-administrativo de un Tribunal Superior de Justicia. Será en estos casos cuando la única posibilidad que se plantea</w:t>
      </w:r>
      <w:r>
        <w:t xml:space="preserve"> sea la de interponer el incidente “excepcional” de nulidad de actuaciones del art. 241 LOPJ. Utilizada esta vía, se considerará agotada la vía judicial ordinaria, sólo quedaría, </w:t>
      </w:r>
      <w:r>
        <w:lastRenderedPageBreak/>
        <w:t>por tanto, la posibilidad de acudir al recurso de amparo. Será en estos casos en los que apreciemos incidentes de nulidad de actuaciones alegados en virtud de cualquiera de los derechos fundamentales recogidos en el Capítulo Segundo, Sección Primera de nuestra Constitución y, consecuentemente, amparos basados en estos derechos.</w:t>
      </w:r>
    </w:p>
    <w:p w14:paraId="52CBB6C6" w14:textId="77777777" w:rsidR="006F44C0" w:rsidRDefault="006F44C0" w:rsidP="001A4310">
      <w:pPr>
        <w:pStyle w:val="Prrafodelista"/>
        <w:numPr>
          <w:ilvl w:val="0"/>
          <w:numId w:val="20"/>
        </w:numPr>
        <w:spacing w:before="360"/>
      </w:pPr>
      <w:r>
        <w:t>La segunda línea posible en este esquema, sería el caso en el que frente a esa resolución judicial sí que cupiese un ulterior recurso, es decir, acudir al superior jerárquico, en apelación generalmente. Aquí podría darse una doble opción.</w:t>
      </w:r>
    </w:p>
    <w:p w14:paraId="1CF12D37" w14:textId="77777777" w:rsidR="006F44C0" w:rsidRDefault="006F44C0" w:rsidP="001A4310">
      <w:pPr>
        <w:pStyle w:val="Prrafodelista"/>
        <w:numPr>
          <w:ilvl w:val="0"/>
          <w:numId w:val="21"/>
        </w:numPr>
        <w:spacing w:before="360"/>
      </w:pPr>
      <w:r>
        <w:t>Recordemos que no cabe la posibilidad de traslación. Si ese superior jerárquico, en su resolución, no concediesen la tutela judicial efectiva, por ejemplo, no apreciasen la existencia de vulneración del derecho fundamental alegado, sin motivación alguna, contra esta resolución se presentaría el incidente de nulidad de actuaciones. Será en estos casos cuando básicamente, se alegue el art. 24 CE (en su segunda vertiente) ya que, será difícil que el juez de segunda instancia vulnere otro derecho distinto al 24 al resolver el recurso presentado.  Si en este caso, después del incidente, se acudiese al amparo, sería obviamente alegando el art. 24 CE, debido a que la segunda instancia habría vulnerado este derecho al resolver la apelación, como hemos dicho en el anterior ejemplo, no motivando adecuadamente la resolución. Por esta vía llegarán mayoritariamente los amparos fundamentados en el art. 24 CE que, como veremos, son muchos.</w:t>
      </w:r>
    </w:p>
    <w:p w14:paraId="6AF51B11" w14:textId="77777777" w:rsidR="006F44C0" w:rsidRDefault="006F44C0" w:rsidP="001A4310">
      <w:pPr>
        <w:pStyle w:val="Prrafodelista"/>
        <w:numPr>
          <w:ilvl w:val="0"/>
          <w:numId w:val="21"/>
        </w:numPr>
        <w:spacing w:before="360"/>
      </w:pPr>
      <w:r>
        <w:t>La segunda opción sería que, frente a esta segunda resolución, no cupiese el incidente excepcional de nulidad de actuaciones, básicamente porque no nos hayan estimado la apelación, pero esta segunda instancia no haya vulnerado ningún derecho fundamental al hacerlo y, por tanto, no haya motivo para el mismo. Por tanto, después de esta segunda resolución judicial, sólo quedará la opción de acudir directamente al amparo. Al no haberse vulnerado en esta segunda instancia ningún derecho fundamental al resolver (art. 24 CE), en este caso, llegarán los amparos que no sean alegando el art. 24 CE.</w:t>
      </w:r>
    </w:p>
    <w:p w14:paraId="7401EAD5" w14:textId="26EF16B0" w:rsidR="006F44C0" w:rsidRPr="009B139D" w:rsidRDefault="006F44C0" w:rsidP="009B139D">
      <w:pPr>
        <w:pStyle w:val="Ttulo1"/>
      </w:pPr>
      <w:bookmarkStart w:id="599" w:name="_Toc49423695"/>
      <w:bookmarkStart w:id="600" w:name="_Toc49708627"/>
      <w:bookmarkStart w:id="601" w:name="_Toc49790293"/>
      <w:bookmarkStart w:id="602" w:name="_Toc49866566"/>
      <w:bookmarkStart w:id="603" w:name="_Toc50373184"/>
      <w:r w:rsidRPr="00403FC1">
        <w:lastRenderedPageBreak/>
        <w:t xml:space="preserve">CAPÍTULO </w:t>
      </w:r>
      <w:r>
        <w:t>CUARTO</w:t>
      </w:r>
      <w:r w:rsidR="009B139D">
        <w:t xml:space="preserve">: </w:t>
      </w:r>
      <w:r>
        <w:t>LA ESPECIAL TRASCENDENCIA CONSTITUCIONAL, ¿UN CONCEPTO JURÍDICO INDETERMINADO?</w:t>
      </w:r>
      <w:bookmarkEnd w:id="599"/>
      <w:bookmarkEnd w:id="600"/>
      <w:bookmarkEnd w:id="601"/>
      <w:bookmarkEnd w:id="602"/>
      <w:bookmarkEnd w:id="603"/>
    </w:p>
    <w:p w14:paraId="36448318" w14:textId="023CF6B4" w:rsidR="006F44C0" w:rsidRPr="00C42121" w:rsidRDefault="006F44C0" w:rsidP="001A4310">
      <w:pPr>
        <w:pStyle w:val="Ttulo2"/>
        <w:numPr>
          <w:ilvl w:val="0"/>
          <w:numId w:val="25"/>
        </w:numPr>
      </w:pPr>
      <w:bookmarkStart w:id="604" w:name="_Toc45731785"/>
      <w:bookmarkStart w:id="605" w:name="_Toc49423696"/>
      <w:bookmarkStart w:id="606" w:name="_Toc49708628"/>
      <w:bookmarkStart w:id="607" w:name="_Toc49790294"/>
      <w:bookmarkStart w:id="608" w:name="_Toc49866567"/>
      <w:bookmarkStart w:id="609" w:name="_Toc50373185"/>
      <w:r w:rsidRPr="00C42121">
        <w:t>INTRODUCCIÓN</w:t>
      </w:r>
      <w:bookmarkEnd w:id="604"/>
      <w:bookmarkEnd w:id="605"/>
      <w:bookmarkEnd w:id="606"/>
      <w:bookmarkEnd w:id="607"/>
      <w:bookmarkEnd w:id="608"/>
      <w:bookmarkEnd w:id="609"/>
    </w:p>
    <w:p w14:paraId="7D65F15A" w14:textId="7E3F0776" w:rsidR="006F44C0" w:rsidRDefault="00B4195E" w:rsidP="002B2B12">
      <w:pPr>
        <w:spacing w:after="240"/>
      </w:pPr>
      <w:r>
        <w:t>Para comprender el porqué de</w:t>
      </w:r>
      <w:r w:rsidR="006F44C0" w:rsidRPr="00084E2C">
        <w:t xml:space="preserve"> la introducción de la especial trascendencia constitucional </w:t>
      </w:r>
      <w:r w:rsidR="006F44C0">
        <w:t>en nuestro ordenamiento jurídico deb</w:t>
      </w:r>
      <w:r>
        <w:t>emos atender a varios motivos.</w:t>
      </w:r>
    </w:p>
    <w:p w14:paraId="4AE90E65" w14:textId="140C666D" w:rsidR="006F44C0" w:rsidRDefault="00B4195E" w:rsidP="002B2B12">
      <w:pPr>
        <w:spacing w:after="240"/>
      </w:pPr>
      <w:r>
        <w:t>La</w:t>
      </w:r>
      <w:r w:rsidR="006F44C0">
        <w:t xml:space="preserve"> LO 6/2007</w:t>
      </w:r>
      <w:r w:rsidR="00D42248">
        <w:t>, de 24 de mayo, de</w:t>
      </w:r>
      <w:r w:rsidR="001848D4">
        <w:t xml:space="preserve"> reforma de la LOTC</w:t>
      </w:r>
      <w:r w:rsidR="00D42248">
        <w:t xml:space="preserve">, </w:t>
      </w:r>
      <w:r w:rsidR="001848D4">
        <w:t>justificó</w:t>
      </w:r>
      <w:r w:rsidR="006F44C0">
        <w:t xml:space="preserve"> esta necesidad de reforma alegando razones tales como el crecimiento del número de recursos de amparo, la lentitud en el funcionamiento del TC</w:t>
      </w:r>
      <w:r w:rsidR="001848D4">
        <w:t>,</w:t>
      </w:r>
      <w:r w:rsidR="00B1285C">
        <w:t xml:space="preserve"> su</w:t>
      </w:r>
      <w:r w:rsidR="006F44C0">
        <w:t xml:space="preserve"> </w:t>
      </w:r>
      <w:r w:rsidR="001848D4">
        <w:t>sobre</w:t>
      </w:r>
      <w:r w:rsidR="006F44C0">
        <w:t xml:space="preserve">carga de trabajo, etc.  Fue por estas causas por las que se decidió que la reforma incidiese </w:t>
      </w:r>
      <w:r w:rsidR="00B1285C">
        <w:t xml:space="preserve">principalmente en la reconfiguración del recurso de amparo ya que éste era el principal culpable del colapso que venía sufriendo el TC. Esta </w:t>
      </w:r>
      <w:r w:rsidR="006F44C0">
        <w:t xml:space="preserve">nueva configuración </w:t>
      </w:r>
      <w:r w:rsidR="00B1285C">
        <w:t>del recurso perseguía dotar a éste de una mayor eficacia y eficiencia</w:t>
      </w:r>
      <w:r w:rsidR="006F44C0">
        <w:t xml:space="preserve"> para así poder cumplir los objetivos constitucionalmente previstos para esta institución. De este modo, la modificación que más des</w:t>
      </w:r>
      <w:r w:rsidR="00B1285C">
        <w:t>taca en esta nueva regulación</w:t>
      </w:r>
      <w:r w:rsidR="006F44C0">
        <w:t xml:space="preserve"> es la del trámite de admisión del recurso</w:t>
      </w:r>
      <w:r w:rsidR="00B1285C">
        <w:t xml:space="preserve">, concretamente por la introducción de la figura de la especial trascendencia constitucional como filtro para las demandas de amparo presentadas en el Tribunal. </w:t>
      </w:r>
    </w:p>
    <w:p w14:paraId="39C928CB" w14:textId="1C8A5CE1" w:rsidR="00B1285C" w:rsidRDefault="006F44C0" w:rsidP="002B2B12">
      <w:pPr>
        <w:spacing w:after="240"/>
      </w:pPr>
      <w:r w:rsidRPr="001D16BD">
        <w:t>El p</w:t>
      </w:r>
      <w:r w:rsidR="001848D4">
        <w:t>resente capítulo</w:t>
      </w:r>
      <w:r w:rsidRPr="001D16BD">
        <w:t xml:space="preserve"> tratará de abordar </w:t>
      </w:r>
      <w:r w:rsidR="00B1285C">
        <w:t>el significado de esta figura</w:t>
      </w:r>
      <w:r>
        <w:t>, así como la evolución</w:t>
      </w:r>
      <w:r w:rsidRPr="001D16BD">
        <w:t xml:space="preserve"> jurisprudencia</w:t>
      </w:r>
      <w:r>
        <w:t xml:space="preserve">l que ha tenido con el paso de los años. </w:t>
      </w:r>
      <w:r w:rsidR="00B1285C">
        <w:t>Y es que, pese a haber transcurrido más de una década desde su introducción, aún a día de hoy, es una figura que suscita dudas y controversias, de ahí la necesidad de su investigación y concreción. Pretendemos concluir si, efectivamente, esta reforma fue un acierto o un error y, en su caso, las posibles mejoras que consideramos oportunas dado el tiempo transcurrido desde la entrada en vigor la LO 6/2007.</w:t>
      </w:r>
    </w:p>
    <w:p w14:paraId="5FB7AB55" w14:textId="2BF0E645" w:rsidR="00B1285C" w:rsidRDefault="00B1285C" w:rsidP="002B2B12">
      <w:pPr>
        <w:spacing w:after="240"/>
      </w:pPr>
      <w:r>
        <w:t>Analizaremos, en primer lugar, las primeras respuestas de nuestro TC</w:t>
      </w:r>
      <w:r w:rsidR="00D42248">
        <w:t xml:space="preserve"> al significado del concepto de especial trascendencia constitucional y a cómo debía ser ésta justificada en las demandas de amparo.</w:t>
      </w:r>
    </w:p>
    <w:p w14:paraId="5C4FB7E3" w14:textId="38AED0EA" w:rsidR="006F44C0" w:rsidRDefault="00D42248" w:rsidP="002B2B12">
      <w:pPr>
        <w:spacing w:after="240"/>
      </w:pPr>
      <w:r>
        <w:lastRenderedPageBreak/>
        <w:t xml:space="preserve">A continuación, trataremos </w:t>
      </w:r>
      <w:r w:rsidR="006F44C0" w:rsidRPr="001D16BD">
        <w:t>los diferentes supuestos de especial trascendencia constitucional enumerados, por primera vez, en la STC 155/2009, de 25 de junio. Veremos cuál ha sido su desarrollo jurisprudencial y doctrinal y las posibilidades de mejora para garantizar una mayor seguridad jurídica.</w:t>
      </w:r>
      <w:r w:rsidR="00B1285C">
        <w:t xml:space="preserve"> </w:t>
      </w:r>
      <w:r w:rsidR="006F44C0" w:rsidRPr="001D16BD">
        <w:t>La necesidad de este análisis radica en que la mayoría de estos supuestos enumerados en la STC 155/2009 no han sido objeto de una definición clara y concisa por parte del propio T</w:t>
      </w:r>
      <w:r w:rsidR="00B1285C">
        <w:t>C</w:t>
      </w:r>
      <w:r w:rsidR="006F44C0" w:rsidRPr="001D16BD">
        <w:t xml:space="preserve"> ni por parte del legislador. La razón estriba en que el Alto Tribunal resuelve </w:t>
      </w:r>
      <w:r w:rsidR="006F44C0" w:rsidRPr="001D16BD">
        <w:rPr>
          <w:i/>
        </w:rPr>
        <w:t xml:space="preserve">ad </w:t>
      </w:r>
      <w:proofErr w:type="spellStart"/>
      <w:r w:rsidR="006F44C0" w:rsidRPr="001D16BD">
        <w:rPr>
          <w:i/>
        </w:rPr>
        <w:t>casum</w:t>
      </w:r>
      <w:proofErr w:type="spellEnd"/>
      <w:r w:rsidR="006F44C0" w:rsidRPr="001D16BD">
        <w:t xml:space="preserve"> los supuestos presentados estimando en cada caso concreto si el supuesto en cuestión posee o no especial trascendencia constitucional, no ofreciendo, en consecuencia, unos conceptos claros que ayuden al demandante y a los operadores jurídicos a saber cómo deben justificar este requisito, creando por tanto situaciones de gran seguridad jurídica.</w:t>
      </w:r>
    </w:p>
    <w:p w14:paraId="25917022" w14:textId="47EEBE44" w:rsidR="00D42248" w:rsidRDefault="00C42121" w:rsidP="002B2B12">
      <w:pPr>
        <w:spacing w:after="240"/>
      </w:pPr>
      <w:r w:rsidRPr="00C42121">
        <w:t>Finalmente, resulta conveniente el análisis – si bien, no de manera exhaustiva- sobre los resultados de la reforma legal haciendo referencia a los datos estadísticos relativos a su aplicación. Asimismo, haremos una breve mención de la adecuación de la reforma al Convenio Europeo de Derechos Humanos.</w:t>
      </w:r>
    </w:p>
    <w:p w14:paraId="49E15B3B" w14:textId="77777777" w:rsidR="006F44C0" w:rsidRPr="00A113B5" w:rsidRDefault="006F44C0" w:rsidP="002B2B12">
      <w:pPr>
        <w:pStyle w:val="Ttulo2"/>
        <w:spacing w:after="240"/>
      </w:pPr>
      <w:bookmarkStart w:id="610" w:name="_Toc45731786"/>
      <w:bookmarkStart w:id="611" w:name="_Toc49423697"/>
      <w:bookmarkStart w:id="612" w:name="_Toc49708629"/>
      <w:bookmarkStart w:id="613" w:name="_Toc49790295"/>
      <w:bookmarkStart w:id="614" w:name="_Toc49866568"/>
      <w:bookmarkStart w:id="615" w:name="_Toc50373186"/>
      <w:r w:rsidRPr="00344993">
        <w:t>LA ESPECIAL TRASCENDENCIA CONSTITUCIONAL</w:t>
      </w:r>
      <w:bookmarkEnd w:id="610"/>
      <w:bookmarkEnd w:id="611"/>
      <w:bookmarkEnd w:id="612"/>
      <w:bookmarkEnd w:id="613"/>
      <w:bookmarkEnd w:id="614"/>
      <w:bookmarkEnd w:id="615"/>
    </w:p>
    <w:p w14:paraId="6575B781" w14:textId="77777777" w:rsidR="006F44C0" w:rsidRPr="00DA0EC8" w:rsidRDefault="006F44C0" w:rsidP="001A4310">
      <w:pPr>
        <w:pStyle w:val="Ttulo3"/>
        <w:numPr>
          <w:ilvl w:val="0"/>
          <w:numId w:val="27"/>
        </w:numPr>
      </w:pPr>
      <w:bookmarkStart w:id="616" w:name="_Toc43121288"/>
      <w:bookmarkStart w:id="617" w:name="_Toc43121708"/>
      <w:bookmarkStart w:id="618" w:name="_Toc45731787"/>
      <w:bookmarkStart w:id="619" w:name="_Toc49423698"/>
      <w:bookmarkStart w:id="620" w:name="_Toc49708630"/>
      <w:bookmarkStart w:id="621" w:name="_Toc49790296"/>
      <w:bookmarkStart w:id="622" w:name="_Toc49866569"/>
      <w:bookmarkStart w:id="623" w:name="_Toc50373187"/>
      <w:r>
        <w:t>L</w:t>
      </w:r>
      <w:r w:rsidRPr="00DA0EC8">
        <w:t xml:space="preserve">a apreciación de la especial trascendencia constitucional, ¿una decisión discrecional del </w:t>
      </w:r>
      <w:r>
        <w:t>T</w:t>
      </w:r>
      <w:r w:rsidRPr="00DA0EC8">
        <w:t xml:space="preserve">ribunal </w:t>
      </w:r>
      <w:r>
        <w:t>C</w:t>
      </w:r>
      <w:r w:rsidRPr="00DA0EC8">
        <w:t>onstitucional?</w:t>
      </w:r>
      <w:bookmarkEnd w:id="616"/>
      <w:bookmarkEnd w:id="617"/>
      <w:bookmarkEnd w:id="618"/>
      <w:bookmarkEnd w:id="619"/>
      <w:bookmarkEnd w:id="620"/>
      <w:bookmarkEnd w:id="621"/>
      <w:bookmarkEnd w:id="622"/>
      <w:bookmarkEnd w:id="623"/>
    </w:p>
    <w:p w14:paraId="700DBE3B" w14:textId="77777777" w:rsidR="006F44C0" w:rsidRPr="00B71048" w:rsidRDefault="006F44C0" w:rsidP="002B2B12">
      <w:pPr>
        <w:spacing w:after="240"/>
      </w:pPr>
      <w:r w:rsidRPr="00B71048">
        <w:t>Adentrándonos en la problemática que nos plantea esta reforma, debemos detenernos en primer lugar en el concepto de especial trascendencia constitucional pues est</w:t>
      </w:r>
      <w:r>
        <w:t>e</w:t>
      </w:r>
      <w:r w:rsidRPr="00B71048">
        <w:t xml:space="preserve"> es, </w:t>
      </w:r>
      <w:r>
        <w:t>a nuestro parecer</w:t>
      </w:r>
      <w:r w:rsidRPr="00B71048">
        <w:t xml:space="preserve">, la raíz del problema. </w:t>
      </w:r>
      <w:r>
        <w:t>E</w:t>
      </w:r>
      <w:r w:rsidRPr="00B71048">
        <w:t>l hecho de que la posibilidad de admisión de un recurso de amparo recaiga directamente sobre la justificación de un requisito indefinido</w:t>
      </w:r>
      <w:r>
        <w:t xml:space="preserve"> y poco preciso como es esta figura</w:t>
      </w:r>
      <w:r w:rsidRPr="00B71048">
        <w:t xml:space="preserve"> </w:t>
      </w:r>
      <w:r>
        <w:t>nos</w:t>
      </w:r>
      <w:r w:rsidRPr="00B71048">
        <w:t xml:space="preserve"> parece </w:t>
      </w:r>
      <w:r>
        <w:t>que puede llegar a producir una</w:t>
      </w:r>
      <w:r w:rsidRPr="00B71048">
        <w:t xml:space="preserve"> vulneración del principio de seguridad jurídica. </w:t>
      </w:r>
    </w:p>
    <w:p w14:paraId="5A47CCA0" w14:textId="77777777" w:rsidR="006F44C0" w:rsidRPr="00B71048" w:rsidRDefault="006F44C0" w:rsidP="002B2B12">
      <w:pPr>
        <w:spacing w:after="240"/>
      </w:pPr>
      <w:r w:rsidRPr="00B71048">
        <w:lastRenderedPageBreak/>
        <w:t>Para comen</w:t>
      </w:r>
      <w:r>
        <w:t>zar, siguiendo a BELADÍEZ ROJO</w:t>
      </w:r>
      <w:r>
        <w:rPr>
          <w:rStyle w:val="Refdenotaalpie"/>
        </w:rPr>
        <w:footnoteReference w:id="232"/>
      </w:r>
      <w:r w:rsidRPr="00B71048">
        <w:t xml:space="preserve"> podemos plantearnos la siguiente pregunta: ¿un recurso de amparo es admitido a trámite porque tiene especial trascendencia constitucional o tiene especial trascendencia constitucional porque es admitido a trámite? </w:t>
      </w:r>
    </w:p>
    <w:p w14:paraId="0F82053F" w14:textId="77777777" w:rsidR="006F44C0" w:rsidRPr="00B71048" w:rsidRDefault="006F44C0" w:rsidP="002B2B12">
      <w:pPr>
        <w:spacing w:after="240"/>
      </w:pPr>
      <w:r w:rsidRPr="00B71048">
        <w:t xml:space="preserve">Esta pregunta, de entrada, nos muestra la gran incertidumbre que plantea este requisito. Debemos, por tanto, saber si </w:t>
      </w:r>
      <w:r>
        <w:t>é</w:t>
      </w:r>
      <w:r w:rsidRPr="00B71048">
        <w:t xml:space="preserve">ste hace referencia a una cualidad que ha de tener el recurso para poder ser admitido a trámite o si, por el contrario, es el hecho de que el TC admita a trámite un determinado recurso lo que determina que éste posea esa especial trascendencia constitucional. En otras palabras, debemos determinar si es una decisión reglada o discrecional de nuestro Alto Tribunal. </w:t>
      </w:r>
    </w:p>
    <w:p w14:paraId="0A1003AD" w14:textId="77777777" w:rsidR="006F44C0" w:rsidRPr="00B71048" w:rsidRDefault="006F44C0" w:rsidP="002B2B12">
      <w:pPr>
        <w:spacing w:after="240"/>
      </w:pPr>
      <w:r w:rsidRPr="00B71048">
        <w:t>Si hablamos de la especial trascendencia constitucional como una decisión discrecional del TC, nos estaríamos refiriendo a que la propia Ley atribuiría al Tribunal un amplio margen de libertad a la hora de establecer qué casos poseerían este requisito. En otras palabras, no existirían unas reglas específicas preestablecidas que dijesen al TC en qué casos existiría esa especial trascendencia constitucional. La consecuencia de esto sería que la especial trascendencia constitucional pasaría a ser lo que el TC estableciese en cada supuesto. Esto podría plantear serios problemas</w:t>
      </w:r>
      <w:r>
        <w:t>,</w:t>
      </w:r>
      <w:r w:rsidRPr="00B71048">
        <w:t xml:space="preserve"> pues sería muy complicado para los demandantes de amparo justificar este requisito ya que el Tribunal no obedecería ningunos criterios jurídicos concretos ni preestablecidos, sino que, como ya hemos apuntado, la especial trascendencia se definiría en cada caso concreto. En este caso, se estaría estableciendo una figura similar al </w:t>
      </w:r>
      <w:proofErr w:type="spellStart"/>
      <w:r w:rsidRPr="00344993">
        <w:rPr>
          <w:i/>
          <w:iCs/>
        </w:rPr>
        <w:t>writ</w:t>
      </w:r>
      <w:proofErr w:type="spellEnd"/>
      <w:r w:rsidRPr="00344993">
        <w:rPr>
          <w:i/>
          <w:iCs/>
        </w:rPr>
        <w:t xml:space="preserve"> </w:t>
      </w:r>
      <w:proofErr w:type="spellStart"/>
      <w:r w:rsidRPr="00344993">
        <w:rPr>
          <w:i/>
          <w:iCs/>
        </w:rPr>
        <w:t>of</w:t>
      </w:r>
      <w:proofErr w:type="spellEnd"/>
      <w:r w:rsidRPr="00344993">
        <w:rPr>
          <w:i/>
          <w:iCs/>
        </w:rPr>
        <w:t xml:space="preserve"> </w:t>
      </w:r>
      <w:proofErr w:type="spellStart"/>
      <w:r w:rsidRPr="00344993">
        <w:rPr>
          <w:i/>
          <w:iCs/>
        </w:rPr>
        <w:t>certiorari</w:t>
      </w:r>
      <w:proofErr w:type="spellEnd"/>
      <w:r w:rsidRPr="00B71048">
        <w:t xml:space="preserve"> </w:t>
      </w:r>
      <w:r>
        <w:t>norteamericano.</w:t>
      </w:r>
    </w:p>
    <w:p w14:paraId="2369C9C2" w14:textId="77777777" w:rsidR="006F44C0" w:rsidRPr="00B71048" w:rsidRDefault="006F44C0" w:rsidP="002B2B12">
      <w:pPr>
        <w:spacing w:after="240"/>
      </w:pPr>
      <w:r w:rsidRPr="00B71048">
        <w:t xml:space="preserve">Atendiendo a esto, no podríamos hablar de un derecho al recurso de amparo ya que el recurrente en amparo no podría alegar el derecho a que su demanda fuese examinada por el TC. Esto es así debido a que, como hemos dicho, la noción de especial trascendencia constitucional se definiría en cada caso concreto, no teniendo por tanto el recurrente unos criterios jurídicos fijos y concretos en los que basarse a la hora de justificar este requisito y solicitar la admisión de su </w:t>
      </w:r>
      <w:r>
        <w:t>demanda por parte del Tribunal.</w:t>
      </w:r>
      <w:r>
        <w:rPr>
          <w:rStyle w:val="Refdenotaalpie"/>
        </w:rPr>
        <w:footnoteReference w:id="233"/>
      </w:r>
      <w:r w:rsidRPr="00B71048">
        <w:t xml:space="preserve"> Contestando a la cuestión antes plateada, en este caso, un recurso de amparo tendría especial trascendencia constitucional porque habría sido admitido a trámite.</w:t>
      </w:r>
    </w:p>
    <w:p w14:paraId="2C6DDD03" w14:textId="77777777" w:rsidR="006F44C0" w:rsidRPr="00B71048" w:rsidRDefault="006F44C0" w:rsidP="002B2B12">
      <w:pPr>
        <w:spacing w:after="240"/>
      </w:pPr>
      <w:r w:rsidRPr="00B71048">
        <w:lastRenderedPageBreak/>
        <w:t>Si entendiéramos, por el contrario, la especial trascendencia constitucional como una decisión reglada, el TC tendría la obligación de admitir a trámite aquellos recursos de amparo que, además de cumplir los requisitos procesales dispuestos en la LOTC, justificase</w:t>
      </w:r>
      <w:r>
        <w:t>n</w:t>
      </w:r>
      <w:r w:rsidRPr="00B71048">
        <w:t xml:space="preserve"> adecuadamente la especial trascendencia constitucional en virtud de unos criterios jurídicos predeterminados. Por tanto, en este caso el Tribunal no tendría ningún margen de discrecionalidad a la hora de decidir si existe o no esa especial trascendencia constitucional pues ésta sería preexistente a la decisión de éste de apreciarla o no. El TC sólo se limitaría a la aplicación de unas reglas tasadas que determinasen la existencia o no de este requisito sin ningún margen de decisión. Aquí sí que podríamos hablar de un derecho a la admisión del recurso de amparo puesto que si concurren las circunstancias que determinan la existencia de la especial trascendencia constitucional el TC no tendría otra opción que su admisión a trámite. En estos casos, un recurso de amparo sería admitido a trámite porque tendría especial trascendencia constitucional.</w:t>
      </w:r>
    </w:p>
    <w:p w14:paraId="0DC48526" w14:textId="77777777" w:rsidR="006F44C0" w:rsidRPr="00B71048" w:rsidRDefault="006F44C0" w:rsidP="002B2B12">
      <w:pPr>
        <w:spacing w:after="240"/>
      </w:pPr>
      <w:r w:rsidRPr="00B71048">
        <w:t>El problema que aparece en nuestro sistema jurídico respecto a esta figura es la indeterminación que existe en su definición en la propia Ley. Y es que la LOTC no deja claro si nos encontramos ante una decisión reglada o discrecional del TC pues ésta sólo establece lo siguiente</w:t>
      </w:r>
      <w:r w:rsidRPr="00344993">
        <w:rPr>
          <w:i/>
          <w:iCs/>
        </w:rPr>
        <w:t>: “se apreciará atendiendo a su importancia para la interpretación de la Constitución, para su aplicación o para su general eficacia, y para la determinación del contenido y alcance de los derechos fundamentales”.</w:t>
      </w:r>
      <w:r w:rsidRPr="00B71048">
        <w:t xml:space="preserve"> </w:t>
      </w:r>
    </w:p>
    <w:p w14:paraId="4734BA1A" w14:textId="77777777" w:rsidR="006F44C0" w:rsidRPr="00B71048" w:rsidRDefault="006F44C0" w:rsidP="002B2B12">
      <w:pPr>
        <w:spacing w:after="240"/>
      </w:pPr>
      <w:r w:rsidRPr="00B71048">
        <w:t xml:space="preserve">Por tanto, podemos pensar que el legislador en estos momentos decidió dejar la concepción de este término al propio TC, esperando que este con su jurisprudencia fuese interpretando qué se entiende por especial trascendencia constitucional, así como el modo de justificarla por parte del demandante. </w:t>
      </w:r>
    </w:p>
    <w:p w14:paraId="4CD4533B" w14:textId="77777777" w:rsidR="006F44C0" w:rsidRPr="00B71048" w:rsidRDefault="006F44C0" w:rsidP="002B2B12">
      <w:pPr>
        <w:spacing w:after="240"/>
      </w:pPr>
      <w:r w:rsidRPr="00B71048">
        <w:t xml:space="preserve">Este amplio margen interpretativo concedido al TC por parte del legislador dejó las puertas abiertas a muchas opciones. Nos detenemos aquí en un punto verdaderamente importante de nuestro trabajo. En nuestra opinión, el legislador, al atribuir este margen de decisión al TC para que determine el alcance de la noción de “especial trascendencia constitucional”, no solo le está atribuyendo la facultad de interpretar el alcance de un requisito de admisión, sino que, le está atribuyendo también la responsabilidad de definir </w:t>
      </w:r>
      <w:r w:rsidRPr="00B71048">
        <w:lastRenderedPageBreak/>
        <w:t>la naturalez</w:t>
      </w:r>
      <w:r>
        <w:t>a del propio recurso de amparo.</w:t>
      </w:r>
      <w:r>
        <w:rPr>
          <w:rStyle w:val="Refdenotaalpie"/>
        </w:rPr>
        <w:footnoteReference w:id="234"/>
      </w:r>
      <w:r w:rsidRPr="00B71048">
        <w:t xml:space="preserve"> La licitud de esta implícita remisión que efectúa la LO 6/2007 al Tribunal para la determinación de la naturaleza del recurso de amparo </w:t>
      </w:r>
      <w:r>
        <w:t>nos</w:t>
      </w:r>
      <w:r w:rsidRPr="00B71048">
        <w:t xml:space="preserve"> parece muy cuestionable</w:t>
      </w:r>
      <w:r>
        <w:t>,</w:t>
      </w:r>
      <w:r w:rsidRPr="00B71048">
        <w:t xml:space="preserve"> aunque encontramos multitud de opiniones en nuestra doctrina. </w:t>
      </w:r>
    </w:p>
    <w:p w14:paraId="0889EBD5" w14:textId="77777777" w:rsidR="006F44C0" w:rsidRPr="00B71048" w:rsidRDefault="006F44C0" w:rsidP="002B2B12">
      <w:pPr>
        <w:spacing w:after="240"/>
      </w:pPr>
      <w:r w:rsidRPr="00B71048">
        <w:t xml:space="preserve">La raíz de este debate tiene su origen en la redacción dada a los artículos 53.2 CE y 161.1 b) CE. El primero establece que los derechos fundamentales reconocidos en los arts. 14 al 30 CE podrán tutelarse “en su caso” a través del recurso de amparo. El art. 161.1 b) CE, por su parte, atribuye al Tribunal Constitucional su conocimiento “en los casos y formas que la ley establezca”. </w:t>
      </w:r>
    </w:p>
    <w:p w14:paraId="2E290559" w14:textId="77777777" w:rsidR="006F44C0" w:rsidRPr="00B71048" w:rsidRDefault="006F44C0" w:rsidP="002B2B12">
      <w:pPr>
        <w:spacing w:after="240"/>
      </w:pPr>
      <w:r w:rsidRPr="00B71048">
        <w:t>Para los autores que apoyan la atribución de la naturaleza del recurso al TC, la remisión sería lícita ya que la Constitución no impondría un determinado modelo de justicia constitucional en materia de amparo, afirmación con la que discrep</w:t>
      </w:r>
      <w:r>
        <w:t>amos</w:t>
      </w:r>
      <w:r w:rsidRPr="00B71048">
        <w:t xml:space="preserve">. Nos encontraríamos aquí con la muy debatida cuestión acerca de la existencia o no de un “derecho al recurso de amparo”. </w:t>
      </w:r>
    </w:p>
    <w:p w14:paraId="76BEFF4B" w14:textId="77777777" w:rsidR="006F44C0" w:rsidRPr="00B71048" w:rsidRDefault="006F44C0" w:rsidP="002B2B12">
      <w:pPr>
        <w:spacing w:after="240"/>
      </w:pPr>
      <w:r w:rsidRPr="00B71048">
        <w:t>Aquella parte de la doctrina que ve lícita la atribución al TC de la configuración de la naturaleza del recurso de amparo y, consecuentemente la posibilidad de la existencia de un recurso de amparo de admisión discrecional, basa principalmente su razonamiento en la creencia de que nuestra Constitución no garantiza un</w:t>
      </w:r>
      <w:r>
        <w:t xml:space="preserve"> derecho al recurso de amparo.</w:t>
      </w:r>
      <w:r>
        <w:rPr>
          <w:rStyle w:val="Refdenotaalpie"/>
        </w:rPr>
        <w:footnoteReference w:id="235"/>
      </w:r>
    </w:p>
    <w:p w14:paraId="1854E9E4" w14:textId="77777777" w:rsidR="006F44C0" w:rsidRPr="00B71048" w:rsidRDefault="006F44C0" w:rsidP="002B2B12">
      <w:pPr>
        <w:spacing w:after="240"/>
      </w:pPr>
      <w:r w:rsidRPr="00B71048">
        <w:t>En contrapartida, encontramos multitud de autores</w:t>
      </w:r>
      <w:r>
        <w:t xml:space="preserve"> </w:t>
      </w:r>
      <w:r w:rsidRPr="00B71048">
        <w:t>que defienden la existencia de un “derecho al recurso de amparo”</w:t>
      </w:r>
      <w:r>
        <w:t>, opinión que compartimos.</w:t>
      </w:r>
    </w:p>
    <w:p w14:paraId="0C9D9D3C" w14:textId="77777777" w:rsidR="006F44C0" w:rsidRPr="00B71048" w:rsidRDefault="006F44C0" w:rsidP="002B2B12">
      <w:pPr>
        <w:spacing w:after="240"/>
      </w:pPr>
      <w:r w:rsidRPr="00B71048">
        <w:lastRenderedPageBreak/>
        <w:t>Entre otros, HERNÁND</w:t>
      </w:r>
      <w:r>
        <w:t>EZ RAMOS</w:t>
      </w:r>
      <w:r>
        <w:rPr>
          <w:rStyle w:val="Refdenotaalpie"/>
        </w:rPr>
        <w:footnoteReference w:id="236"/>
      </w:r>
      <w:r w:rsidRPr="00B71048">
        <w:t xml:space="preserve"> afirma que nuestra Constitución de 1978 garantiza un recurso de amparo para la protección de los derechos fundamentales, hecho que conlleva en su opinión que la modificación del recurso de amparo en aras a introducir un nuevo modelo de amparo de naturaleza discrecional necesitaría de una modificación de la propia Constitución. </w:t>
      </w:r>
    </w:p>
    <w:p w14:paraId="15A5AC44" w14:textId="77777777" w:rsidR="006F44C0" w:rsidRPr="00B71048" w:rsidRDefault="006F44C0" w:rsidP="002B2B12">
      <w:pPr>
        <w:spacing w:after="240"/>
      </w:pPr>
      <w:r w:rsidRPr="00B71048">
        <w:t>Coinci</w:t>
      </w:r>
      <w:r>
        <w:t>dimos</w:t>
      </w:r>
      <w:r w:rsidRPr="00B71048">
        <w:t xml:space="preserve"> en gran medida con este autor ya que nuestra Constitución, dentro de las diferentes garantías que recoge para la protección de los derechos fundamentales, como es bien sabido, garantiza la existencia de un recurso de amparo constitucional. Bien es cierto que no especifica de manera exhaustiva la naturaleza de éste, dejando al legislador la puerta abierta para su configuración. Sin embargo, </w:t>
      </w:r>
      <w:r>
        <w:t>consideramos</w:t>
      </w:r>
      <w:r w:rsidRPr="00B71048">
        <w:t xml:space="preserve"> que una modificación que desnaturaliza el recurso de amparo tan profundamente como es el cambio a un amparo discrecional debería ir sujeto a una modificación del propio texto constitucional. Puede que parezca una afirmación desmesurada, pero situándose el recurso de amparo dentro de las garantías de los derechos fundamentales de primera generación, cambiar su naturaleza hacia un nuevo amparo que no va a garantizar del mismo modo los derechos fundamentales debería, como mínimo, hacer referencia a esto en nuestra Constitución ya que este cambio conlleva que el amparo deje de ser una garantía para la protección de derechos fundamentales como tal, al menos, en la medida en que sólo algunas demandas serán aceptadas.</w:t>
      </w:r>
    </w:p>
    <w:p w14:paraId="0FCE594A" w14:textId="77777777" w:rsidR="006F44C0" w:rsidRDefault="006F44C0" w:rsidP="002B2B12">
      <w:pPr>
        <w:spacing w:after="240"/>
      </w:pPr>
      <w:r w:rsidRPr="00B71048">
        <w:t xml:space="preserve">En este sentido se pronuncia también CABAÑAS GARCÍA, al afirmar que un recurso de amparo discrecional no tendría encaje en el contenido constitucional del amparo. En relación a la configuración que nuestra Constitución da al recurso de amparo, el autor </w:t>
      </w:r>
      <w:r>
        <w:t>mantiene</w:t>
      </w:r>
      <w:r w:rsidRPr="00B71048">
        <w:t xml:space="preserve"> que </w:t>
      </w:r>
      <w:r w:rsidRPr="00344993">
        <w:rPr>
          <w:i/>
          <w:iCs/>
        </w:rPr>
        <w:t>“los arts. 53.2 y 161.b) CE sujetan a necesaria configuración legal las reglas para su acceso y tramitación, ya sea mediante un listado tasado de requisitos, o bien mediante el empleo de conceptos jurídicos abiertos, aunque necesariamente determinables. Nada de esto equivale a la discrecionalidad.”</w:t>
      </w:r>
      <w:r>
        <w:t xml:space="preserve"> </w:t>
      </w:r>
      <w:r>
        <w:rPr>
          <w:rStyle w:val="Refdenotaalpie"/>
        </w:rPr>
        <w:footnoteReference w:id="237"/>
      </w:r>
    </w:p>
    <w:p w14:paraId="7A442247" w14:textId="77777777" w:rsidR="006F44C0" w:rsidRPr="00B10B7E" w:rsidRDefault="006F44C0" w:rsidP="002B2B12">
      <w:pPr>
        <w:spacing w:after="240"/>
      </w:pPr>
      <w:r>
        <w:t xml:space="preserve">Para responder a esta pregunta, debemos ver, en primer lugar, qué se entiende por “especial trascendencia constitucional”. Sin embargo, dado que la Ley no es clara </w:t>
      </w:r>
      <w:r>
        <w:lastRenderedPageBreak/>
        <w:t>definiendo este concepto, tendremos que ver cómo nuestro TC lo ha ido haciendo año tras año mediante su jurisprudencia. Asimismo, atenderemos a los criterios que va siguiendo a la hora de admitir o rechazar las demandas de amparo para así poder determinar si es una decisión discrecional o si, por el contrario, se atiene a unas pautas preestablecidas.</w:t>
      </w:r>
    </w:p>
    <w:p w14:paraId="22E3F90D" w14:textId="77777777" w:rsidR="006F44C0" w:rsidRDefault="006F44C0" w:rsidP="002B2B12">
      <w:pPr>
        <w:pStyle w:val="Ttulo3"/>
      </w:pPr>
      <w:bookmarkStart w:id="624" w:name="_Toc43121289"/>
      <w:bookmarkStart w:id="625" w:name="_Toc43121709"/>
      <w:bookmarkStart w:id="626" w:name="_Toc45731788"/>
      <w:bookmarkStart w:id="627" w:name="_Toc49423699"/>
      <w:bookmarkStart w:id="628" w:name="_Toc49708631"/>
      <w:bookmarkStart w:id="629" w:name="_Toc49790297"/>
      <w:bookmarkStart w:id="630" w:name="_Toc49866570"/>
      <w:bookmarkStart w:id="631" w:name="_Toc50373188"/>
      <w:r>
        <w:t>C</w:t>
      </w:r>
      <w:r w:rsidRPr="00967AE6">
        <w:t>riterios que permiten precisar la especial trascendencia constitucional</w:t>
      </w:r>
      <w:bookmarkEnd w:id="624"/>
      <w:bookmarkEnd w:id="625"/>
      <w:bookmarkEnd w:id="626"/>
      <w:bookmarkEnd w:id="627"/>
      <w:bookmarkEnd w:id="628"/>
      <w:bookmarkEnd w:id="629"/>
      <w:bookmarkEnd w:id="630"/>
      <w:bookmarkEnd w:id="631"/>
    </w:p>
    <w:p w14:paraId="1ED639EC" w14:textId="77777777" w:rsidR="006F44C0" w:rsidRPr="0017023A" w:rsidRDefault="006F44C0" w:rsidP="002B2B12">
      <w:pPr>
        <w:spacing w:after="240"/>
      </w:pPr>
      <w:r>
        <w:t>L</w:t>
      </w:r>
      <w:r w:rsidRPr="0017023A">
        <w:t>a reforma del recurso de amparo destaca principalmente por la introducción de una nueva configuración del trámite de admisión</w:t>
      </w:r>
      <w:r>
        <w:rPr>
          <w:rStyle w:val="Refdenotaalpie"/>
          <w:szCs w:val="24"/>
        </w:rPr>
        <w:footnoteReference w:id="238"/>
      </w:r>
      <w:r w:rsidRPr="0017023A">
        <w:t xml:space="preserve">. Este cambio radica en transformar el anterior sistema de «inadmisión» por un nuevo sistema de «admisión», de forma que ahora será el recurrente el que alegue y acredite que el recurso cumple con los presupuestos procesales de admisibilidad y que, en especial, su contenido justifica una decisión sobre el fondo por parte del Tribunal en razón de su </w:t>
      </w:r>
      <w:r w:rsidRPr="0017023A">
        <w:rPr>
          <w:b/>
          <w:i/>
        </w:rPr>
        <w:t>«especial trascendencia constitucional»</w:t>
      </w:r>
      <w:r w:rsidRPr="0017023A">
        <w:t>.</w:t>
      </w:r>
    </w:p>
    <w:p w14:paraId="1B78D02E" w14:textId="77777777" w:rsidR="006F44C0" w:rsidRPr="0017023A" w:rsidRDefault="006F44C0" w:rsidP="002B2B12">
      <w:pPr>
        <w:spacing w:after="240"/>
        <w:rPr>
          <w:i/>
        </w:rPr>
      </w:pPr>
      <w:r w:rsidRPr="0017023A">
        <w:t>Sin embargo, para algunos autores como  DE LA OLIVA</w:t>
      </w:r>
      <w:r w:rsidRPr="0017023A">
        <w:rPr>
          <w:rStyle w:val="Refdenotaalpie"/>
          <w:szCs w:val="24"/>
        </w:rPr>
        <w:footnoteReference w:id="239"/>
      </w:r>
      <w:r w:rsidRPr="0017023A">
        <w:t xml:space="preserve">, no se trata de que se haya invertido el “juicio de admisibilidad”, sino de que el mismo recurso de amparo es concebido diversamente y reorientado en una dirección, no tanto inversa como sustancialmente distinta. Es decir, </w:t>
      </w:r>
      <w:r w:rsidRPr="0017023A">
        <w:rPr>
          <w:i/>
        </w:rPr>
        <w:t xml:space="preserve">«se trata de que un instituto jurídico-procesal, con una función constitucionalmente clara, experimenta, por obra de una norma positiva </w:t>
      </w:r>
      <w:proofErr w:type="spellStart"/>
      <w:r w:rsidRPr="0017023A">
        <w:rPr>
          <w:i/>
        </w:rPr>
        <w:t>infraconstitucional</w:t>
      </w:r>
      <w:proofErr w:type="spellEnd"/>
      <w:r w:rsidRPr="0017023A">
        <w:rPr>
          <w:i/>
        </w:rPr>
        <w:t>, un cambio esencial de función».</w:t>
      </w:r>
    </w:p>
    <w:p w14:paraId="04D72618" w14:textId="77777777" w:rsidR="006F44C0" w:rsidRPr="0017023A" w:rsidRDefault="006F44C0" w:rsidP="002B2B12">
      <w:pPr>
        <w:spacing w:after="240"/>
      </w:pPr>
      <w:r w:rsidRPr="0017023A">
        <w:t xml:space="preserve">A nuestro juicio, esta inversión de la admisibilidad del recurso sí se habría producido pues, tras la reforma, el sistema de inadmisión de los recursos ha desaparecido pasando a ser un sistema de admisión. Es decir, no partimos de la admisión a trámite de la demanda de amparo y de la posible inadmisión en caso de no cumplir ésta algunos de los requisitos establecidos por la LOTC como hasta ahora se venía haciendo. Por el contrario, partimos de la no admisión de la demanda y del esfuerzo por parte del recurrente de justificar, </w:t>
      </w:r>
      <w:r w:rsidRPr="0017023A">
        <w:lastRenderedPageBreak/>
        <w:t>además de los requisitos formales exigidos, el nuevo requisito de la justificación de la especial trascendencia constitucional. Requisito que valorará el TC para decidir la admisión o no de la demanda. Apreciamos, por tanto, una inversión de la admisibilidad en el sentido de que es el recurrente el que debe justificar la admisión por las razones señaladas más arriba</w:t>
      </w:r>
      <w:r w:rsidRPr="0017023A">
        <w:rPr>
          <w:rStyle w:val="Refdenotaalpie"/>
          <w:szCs w:val="24"/>
        </w:rPr>
        <w:footnoteReference w:id="240"/>
      </w:r>
      <w:r w:rsidRPr="0017023A">
        <w:t>.</w:t>
      </w:r>
    </w:p>
    <w:p w14:paraId="4CDD0EBB" w14:textId="77777777" w:rsidR="006F44C0" w:rsidRDefault="006F44C0" w:rsidP="002B2B12">
      <w:pPr>
        <w:spacing w:after="240"/>
      </w:pPr>
      <w:r w:rsidRPr="0017023A">
        <w:t>Según  MARC CARRILLO</w:t>
      </w:r>
      <w:r w:rsidRPr="0017023A">
        <w:rPr>
          <w:rStyle w:val="Refdenotaalpie"/>
          <w:szCs w:val="24"/>
        </w:rPr>
        <w:footnoteReference w:id="241"/>
      </w:r>
      <w:r w:rsidRPr="0017023A">
        <w:t xml:space="preserve">, la introducción del requisito de la trascendencia o la especial relevancia constitucional de la demanda de amparo supone de alguna forma la incorporación a la jurisdicción constitucional española, de una cierta regla de actuación jurisdiccional próxima al </w:t>
      </w:r>
      <w:proofErr w:type="spellStart"/>
      <w:r w:rsidRPr="0017023A">
        <w:rPr>
          <w:i/>
        </w:rPr>
        <w:t>writ</w:t>
      </w:r>
      <w:proofErr w:type="spellEnd"/>
      <w:r w:rsidRPr="0017023A">
        <w:rPr>
          <w:i/>
        </w:rPr>
        <w:t xml:space="preserve"> </w:t>
      </w:r>
      <w:proofErr w:type="spellStart"/>
      <w:r w:rsidRPr="0017023A">
        <w:rPr>
          <w:i/>
        </w:rPr>
        <w:t>certiorari</w:t>
      </w:r>
      <w:proofErr w:type="spellEnd"/>
      <w:r w:rsidRPr="0017023A">
        <w:rPr>
          <w:rStyle w:val="Refdenotaalpie"/>
          <w:szCs w:val="24"/>
        </w:rPr>
        <w:footnoteReference w:id="242"/>
      </w:r>
      <w:r w:rsidRPr="0017023A">
        <w:t xml:space="preserve"> de la cultura jurídica del </w:t>
      </w:r>
      <w:proofErr w:type="spellStart"/>
      <w:r w:rsidRPr="0017023A">
        <w:rPr>
          <w:i/>
        </w:rPr>
        <w:t>common</w:t>
      </w:r>
      <w:proofErr w:type="spellEnd"/>
      <w:r w:rsidRPr="0017023A">
        <w:rPr>
          <w:i/>
        </w:rPr>
        <w:t xml:space="preserve"> </w:t>
      </w:r>
      <w:proofErr w:type="spellStart"/>
      <w:r w:rsidRPr="0017023A">
        <w:rPr>
          <w:i/>
        </w:rPr>
        <w:t>law</w:t>
      </w:r>
      <w:proofErr w:type="spellEnd"/>
      <w:r w:rsidRPr="0017023A">
        <w:t xml:space="preserve"> que se aplica en los Estados Unidos. De esta forma, el Tribunal ha de estar dispuesto a asumir una nueva manera de enjuiciar las demandas de amparo acorde con un criterio en el que, sin perjuicio de los intereses subjetivos que naturalmente subyazcan, prime la dimensión objetiva del recurso, basada en la especial trascendencia constitucional del caso sometido a su enjuiciamiento.</w:t>
      </w:r>
    </w:p>
    <w:p w14:paraId="578AF59F" w14:textId="77777777" w:rsidR="006F44C0" w:rsidRDefault="006F44C0" w:rsidP="002B2B12">
      <w:pPr>
        <w:spacing w:after="240"/>
      </w:pPr>
      <w:r w:rsidRPr="0017023A">
        <w:t>Cabe destacar que</w:t>
      </w:r>
      <w:r>
        <w:t>,</w:t>
      </w:r>
      <w:r w:rsidRPr="0017023A">
        <w:t xml:space="preserve"> desde las primeras sentencias de nuestro TC, el recurso de amparo ha sido constitucionalmente, un recurso subjetivo, cuya naturaleza no podía ser alterada por el legislador ordinario. </w:t>
      </w:r>
      <w:r>
        <w:t>Su labor principal era proteger los derechos fundamentales.</w:t>
      </w:r>
    </w:p>
    <w:p w14:paraId="08FDBEDD" w14:textId="77777777" w:rsidR="006F44C0" w:rsidRPr="0017023A" w:rsidRDefault="006F44C0" w:rsidP="002B2B12">
      <w:pPr>
        <w:spacing w:after="240"/>
      </w:pPr>
      <w:r w:rsidRPr="0017023A">
        <w:t>Sin embargo, la reforma de la LOTC mediante la Ley 6/2007 ha producido un cambio en la jurisprudencia del TC, que desde 2011 considera al recurso de amparo como un instrumento de defensa de la constitución y no como un instrumento procesal de defensa del particular. En definitiva, el recurso de amparo tiene, desde el ATC 29/2011, al que posteriormente haremos mención, exclusivamente, una dimensión objetiva.</w:t>
      </w:r>
    </w:p>
    <w:p w14:paraId="098FDF8F" w14:textId="77777777" w:rsidR="006F44C0" w:rsidRPr="0017023A" w:rsidRDefault="006F44C0" w:rsidP="002B2B12">
      <w:pPr>
        <w:spacing w:after="240"/>
      </w:pPr>
      <w:r w:rsidRPr="0017023A">
        <w:lastRenderedPageBreak/>
        <w:t>Para algunos autores como ROBERTO ROMBOLI</w:t>
      </w:r>
      <w:r w:rsidRPr="0017023A">
        <w:rPr>
          <w:rStyle w:val="Refdenotaalpie"/>
          <w:szCs w:val="24"/>
        </w:rPr>
        <w:footnoteReference w:id="243"/>
      </w:r>
      <w:r w:rsidRPr="0017023A">
        <w:t xml:space="preserve">, esta objetivación del recurso de amparo supone una menor protección de los derechos fundamentales, en palabras del autor, </w:t>
      </w:r>
      <w:r w:rsidRPr="0017023A">
        <w:rPr>
          <w:i/>
        </w:rPr>
        <w:t>«El nuevo modo de entender el instrumento del amparo y su “</w:t>
      </w:r>
      <w:proofErr w:type="spellStart"/>
      <w:r w:rsidRPr="0017023A">
        <w:rPr>
          <w:i/>
        </w:rPr>
        <w:t>objetivización</w:t>
      </w:r>
      <w:proofErr w:type="spellEnd"/>
      <w:r w:rsidRPr="0017023A">
        <w:rPr>
          <w:i/>
        </w:rPr>
        <w:t>” llevaría, (…)  a una menor protección del derecho fundamental en el caso concreto; y especialmente en todas aquellas ocasiones en las que los jueces ordinarios ante una jurisprudencia consolidada del Tribunal Constitucional (la cual debería, en rigor, excluir la «utilidad» de resolver dicho caso en el fondo y por tanto la “especial trascendencia constitucional” del recurso) entendieran que no tienen el deber de seguirla o que no puedan seguirla»</w:t>
      </w:r>
      <w:r w:rsidRPr="0017023A">
        <w:t>.</w:t>
      </w:r>
    </w:p>
    <w:p w14:paraId="6F80180F" w14:textId="77777777" w:rsidR="006F44C0" w:rsidRPr="0017023A" w:rsidRDefault="006F44C0" w:rsidP="002B2B12">
      <w:pPr>
        <w:spacing w:after="240"/>
      </w:pPr>
      <w:r w:rsidRPr="0017023A">
        <w:t xml:space="preserve">En definitiva, el TC parece haber dificultado el acceso (hasta ahora sencillo) a su jurisdicción mediante la exigencia de este nuevo requisito. </w:t>
      </w:r>
    </w:p>
    <w:p w14:paraId="2027F09C" w14:textId="1EB4FD38" w:rsidR="006F44C0" w:rsidRDefault="006F44C0" w:rsidP="002B2B12">
      <w:pPr>
        <w:spacing w:after="240"/>
      </w:pPr>
      <w:r w:rsidRPr="0017023A">
        <w:t>El problema de fondo versa sobre</w:t>
      </w:r>
      <w:r>
        <w:t xml:space="preserve"> qué se</w:t>
      </w:r>
      <w:r w:rsidRPr="0017023A">
        <w:t xml:space="preserve"> debe entender por ‘especial trascendencia constitucional’ (art. 49.1 </w:t>
      </w:r>
      <w:r w:rsidR="00105658" w:rsidRPr="0017023A">
        <w:t>CE) y</w:t>
      </w:r>
      <w:r w:rsidRPr="0017023A">
        <w:t xml:space="preserve"> </w:t>
      </w:r>
      <w:r>
        <w:t xml:space="preserve">el conocimiento de </w:t>
      </w:r>
      <w:r w:rsidRPr="0017023A">
        <w:t>los criterios establecidos para su determinación (art. 50.1.b LOTC).</w:t>
      </w:r>
    </w:p>
    <w:p w14:paraId="37465F92" w14:textId="77777777" w:rsidR="006F44C0" w:rsidRDefault="006F44C0" w:rsidP="002B2B12">
      <w:pPr>
        <w:spacing w:after="240"/>
      </w:pPr>
      <w:r>
        <w:t>Si nos remontamos a los primeros años tras la implantación de la reforma de 2007 podemos ver una gran inseguridad jurídica en torno al recurso de amparo debido a que “la especias trascendencia constitucional” era aún un concepto jurídico “abierto e indeterminado”.</w:t>
      </w:r>
      <w:r>
        <w:rPr>
          <w:rStyle w:val="Refdenotaalpie"/>
          <w:szCs w:val="24"/>
        </w:rPr>
        <w:footnoteReference w:id="244"/>
      </w:r>
      <w:r>
        <w:t xml:space="preserve"> Además debemos tener en cuenta que </w:t>
      </w:r>
      <w:r w:rsidRPr="003704CE">
        <w:t xml:space="preserve">la entrada en vigor de la Ley Orgánica 6/2007, de 24 de mayo, se produjo, sin </w:t>
      </w:r>
      <w:proofErr w:type="spellStart"/>
      <w:r w:rsidRPr="006C2E12">
        <w:rPr>
          <w:i/>
        </w:rPr>
        <w:t>vacatio</w:t>
      </w:r>
      <w:proofErr w:type="spellEnd"/>
      <w:r w:rsidRPr="006C2E12">
        <w:rPr>
          <w:i/>
        </w:rPr>
        <w:t xml:space="preserve"> </w:t>
      </w:r>
      <w:proofErr w:type="spellStart"/>
      <w:r w:rsidRPr="006C2E12">
        <w:rPr>
          <w:i/>
        </w:rPr>
        <w:t>legis</w:t>
      </w:r>
      <w:proofErr w:type="spellEnd"/>
      <w:r>
        <w:t>, el 26 de mayo de 2007</w:t>
      </w:r>
      <w:r w:rsidRPr="003704CE">
        <w:t xml:space="preserve">, </w:t>
      </w:r>
      <w:r>
        <w:t>por lo que los operadores jurídicos tuvieron que lidiar con un nuevo concepto sumamente complejo sin haber recibido más indicación que la pobre descripción que de él se hace en el texto de la reforma.</w:t>
      </w:r>
    </w:p>
    <w:p w14:paraId="21CD4825" w14:textId="77777777" w:rsidR="006F44C0" w:rsidRDefault="006F44C0" w:rsidP="002B2B12">
      <w:pPr>
        <w:spacing w:after="240"/>
      </w:pPr>
      <w:r>
        <w:t xml:space="preserve">A la vista de la previsión legal prevista por la LOTC de la especial trascendencia constitucional, abstracta e indeterminada, fueron muchos los elementos y las cuestiones que quedaron por concretar y aclarar. Por ello, el TC en su labor de máximo intérprete de </w:t>
      </w:r>
      <w:r>
        <w:lastRenderedPageBreak/>
        <w:t>la CE, tuvo que realizar una labor interpretativa para arrojar luz sobre este nuevo concepto.</w:t>
      </w:r>
    </w:p>
    <w:p w14:paraId="5B5580B1" w14:textId="77777777" w:rsidR="006F44C0" w:rsidRDefault="006F44C0" w:rsidP="002B2B12">
      <w:pPr>
        <w:spacing w:after="240"/>
      </w:pPr>
      <w:r>
        <w:t xml:space="preserve">Cabe destacar que en 2007 </w:t>
      </w:r>
      <w:r w:rsidRPr="002E1B80">
        <w:t xml:space="preserve">se dictaron un total de 11.341 providencias (de éstas, 10.888 </w:t>
      </w:r>
      <w:r>
        <w:t xml:space="preserve">fueron </w:t>
      </w:r>
      <w:r w:rsidRPr="002E1B80">
        <w:t xml:space="preserve">de inadmisión, 380 de admisión y 73 de terminación de amparos) frente a las 8.331 de 2006 (de las cuales 7.376 fueron de inadmisión, 501 de admisión y 454 de terminación), o las 5.880 de 2005 (5.293, 314 y 273, respectivamente). Vemos por tanto un aumento </w:t>
      </w:r>
      <w:r>
        <w:t>realm</w:t>
      </w:r>
      <w:r w:rsidRPr="002E1B80">
        <w:t>ente considerable ya en el primer año de los recursos de amparo inadmitidos en el trámite de admisión.</w:t>
      </w:r>
    </w:p>
    <w:p w14:paraId="7A36EA8D" w14:textId="77777777" w:rsidR="006F44C0" w:rsidRDefault="006F44C0" w:rsidP="002B2B12">
      <w:pPr>
        <w:spacing w:after="240"/>
      </w:pPr>
      <w:r>
        <w:t xml:space="preserve">Veremos a continuación las Autos y Sentencias más importantes que nuestro TC dictó para solventar esta incertidumbre respecto al término “especial trascendencia constitucional”. </w:t>
      </w:r>
      <w:r w:rsidRPr="000B55A0">
        <w:t>Principalmente nos centraremos en la exigencia de la “especial trascendencia constitucional” como requisito sustantivo para admitir a trámite la demanda.</w:t>
      </w:r>
      <w:r w:rsidRPr="000B55A0">
        <w:rPr>
          <w:rStyle w:val="Refdenotaalpie"/>
        </w:rPr>
        <w:t xml:space="preserve"> </w:t>
      </w:r>
      <w:r w:rsidRPr="000B55A0">
        <w:rPr>
          <w:rStyle w:val="Refdenotaalpie"/>
        </w:rPr>
        <w:footnoteReference w:id="245"/>
      </w:r>
    </w:p>
    <w:p w14:paraId="27D124C7" w14:textId="77777777" w:rsidR="006F44C0" w:rsidRPr="00105658" w:rsidRDefault="006F44C0" w:rsidP="002B2B12">
      <w:pPr>
        <w:pStyle w:val="Ttulo4"/>
      </w:pPr>
      <w:bookmarkStart w:id="632" w:name="_Toc43121290"/>
      <w:bookmarkStart w:id="633" w:name="_Toc43121710"/>
      <w:bookmarkStart w:id="634" w:name="_Toc45731789"/>
      <w:bookmarkStart w:id="635" w:name="_Toc49866571"/>
      <w:r w:rsidRPr="00105658">
        <w:t>Las primeras respuestas del Tribunal Constitucional</w:t>
      </w:r>
      <w:bookmarkEnd w:id="632"/>
      <w:bookmarkEnd w:id="633"/>
      <w:r w:rsidRPr="00105658">
        <w:t>, ¿es la especial trascendencia constitucional una categoría sustantiva o procesal?</w:t>
      </w:r>
      <w:bookmarkEnd w:id="634"/>
      <w:bookmarkEnd w:id="635"/>
    </w:p>
    <w:p w14:paraId="1D7C9C05" w14:textId="77777777" w:rsidR="006F44C0" w:rsidRPr="00A85B4C" w:rsidRDefault="006F44C0" w:rsidP="002B2B12">
      <w:pPr>
        <w:spacing w:after="240"/>
      </w:pPr>
      <w:r w:rsidRPr="00A85B4C">
        <w:t>La reforma de la LOTC de 2007 produjo en todos los operadores jurídicos una profunda inseguridad jurídica pues</w:t>
      </w:r>
      <w:r>
        <w:t>,</w:t>
      </w:r>
      <w:r w:rsidRPr="00A85B4C">
        <w:t xml:space="preserve"> formalmente no sólo invierte el juicio de admisibilidad, sino que </w:t>
      </w:r>
      <w:r>
        <w:t xml:space="preserve">otorga una muy importante función a un </w:t>
      </w:r>
      <w:r w:rsidRPr="00A85B4C">
        <w:t xml:space="preserve">concepto jurídico indeterminado al que no se le dota de </w:t>
      </w:r>
      <w:r>
        <w:t xml:space="preserve">un </w:t>
      </w:r>
      <w:r w:rsidRPr="00A85B4C">
        <w:t>contenido</w:t>
      </w:r>
      <w:r>
        <w:t xml:space="preserve"> claro</w:t>
      </w:r>
      <w:r w:rsidRPr="00A85B4C">
        <w:t xml:space="preserve">: la «especial trascendencia constitucional». </w:t>
      </w:r>
      <w:r w:rsidRPr="00A85B4C">
        <w:rPr>
          <w:rStyle w:val="Refdenotaalpie"/>
        </w:rPr>
        <w:footnoteReference w:id="246"/>
      </w:r>
    </w:p>
    <w:p w14:paraId="507A285C" w14:textId="77777777" w:rsidR="006F44C0" w:rsidRPr="00A85B4C" w:rsidRDefault="006F44C0" w:rsidP="002B2B12">
      <w:pPr>
        <w:spacing w:after="240"/>
      </w:pPr>
      <w:r w:rsidRPr="00A85B4C">
        <w:t xml:space="preserve">Las dificultades aumentaron debido a que, como ya hemos mencionado, LO 6/2007 no tuvo </w:t>
      </w:r>
      <w:proofErr w:type="spellStart"/>
      <w:r w:rsidRPr="00A85B4C">
        <w:rPr>
          <w:i/>
        </w:rPr>
        <w:t>vacatio</w:t>
      </w:r>
      <w:proofErr w:type="spellEnd"/>
      <w:r w:rsidRPr="00A85B4C">
        <w:rPr>
          <w:i/>
        </w:rPr>
        <w:t xml:space="preserve"> </w:t>
      </w:r>
      <w:proofErr w:type="spellStart"/>
      <w:r w:rsidRPr="00A85B4C">
        <w:rPr>
          <w:i/>
        </w:rPr>
        <w:t>legis</w:t>
      </w:r>
      <w:proofErr w:type="spellEnd"/>
      <w:r w:rsidRPr="00A85B4C">
        <w:t xml:space="preserve"> y entró en vigor al día siguiente de su publicación en el BOE, esto es, el 27 de mayo de 2007. Fue en 2008 cuando encontramos los primeros esbozos de determinación del concepto «especial trascendencia constitucional» por parte del Tribunal Constitucional mediante los Autos 188/2008, 289/2008 y 290/2008, que se </w:t>
      </w:r>
      <w:r w:rsidRPr="00A85B4C">
        <w:lastRenderedPageBreak/>
        <w:t>perfilaron más detalladamente en junio del año siguiente con la STC 155/2009 a la que posteriormente nos referiremos.</w:t>
      </w:r>
    </w:p>
    <w:p w14:paraId="796B2244" w14:textId="77777777" w:rsidR="006F44C0" w:rsidRDefault="006F44C0" w:rsidP="002B2B12">
      <w:pPr>
        <w:spacing w:after="240"/>
      </w:pPr>
      <w:r>
        <w:t>Respecto al  ATC 188/2008, de 21 de julio, (Sala 1ª</w:t>
      </w:r>
      <w:r w:rsidRPr="00E546FF">
        <w:t>)</w:t>
      </w:r>
      <w:r>
        <w:rPr>
          <w:rStyle w:val="Refdenotaalpie"/>
        </w:rPr>
        <w:footnoteReference w:id="247"/>
      </w:r>
      <w:r w:rsidRPr="00E546FF">
        <w:t xml:space="preserve">, </w:t>
      </w:r>
      <w:r>
        <w:t>los hechos que motiva</w:t>
      </w:r>
      <w:r w:rsidRPr="002837FF">
        <w:t xml:space="preserve"> la solicitud del amparo</w:t>
      </w:r>
      <w:r>
        <w:t xml:space="preserve"> </w:t>
      </w:r>
      <w:r w:rsidRPr="002837FF">
        <w:t>constitucional</w:t>
      </w:r>
      <w:r>
        <w:t xml:space="preserve"> del caso en cuestión</w:t>
      </w:r>
      <w:r w:rsidRPr="002837FF">
        <w:t xml:space="preserve"> son ir</w:t>
      </w:r>
      <w:r>
        <w:t>relevantes debido a que</w:t>
      </w:r>
      <w:r w:rsidRPr="002837FF">
        <w:t xml:space="preserve"> la decisión de inadmisión del Tribunal se</w:t>
      </w:r>
      <w:r>
        <w:t xml:space="preserve"> basa en un</w:t>
      </w:r>
      <w:r w:rsidRPr="002837FF">
        <w:t xml:space="preserve"> defecto formal: la falta de alusión a la especial trascendencia constitucional</w:t>
      </w:r>
      <w:r>
        <w:t xml:space="preserve"> </w:t>
      </w:r>
      <w:r w:rsidRPr="002837FF">
        <w:t xml:space="preserve">en la demanda de amparo. </w:t>
      </w:r>
      <w:r>
        <w:t>Podemos destacar varias ideas:</w:t>
      </w:r>
    </w:p>
    <w:p w14:paraId="1E0E8A88" w14:textId="77777777" w:rsidR="006F44C0" w:rsidRDefault="006F44C0" w:rsidP="002B2B12">
      <w:pPr>
        <w:spacing w:after="240"/>
      </w:pPr>
      <w:r>
        <w:t>En su fundamento jurídico 1º, el TC hace referencia a</w:t>
      </w:r>
      <w:r w:rsidRPr="00E546FF">
        <w:t xml:space="preserve"> la clave de la reforma de la</w:t>
      </w:r>
      <w:r>
        <w:t xml:space="preserve"> </w:t>
      </w:r>
      <w:r w:rsidRPr="00E546FF">
        <w:t xml:space="preserve">LOTC de 2007, la exigencia de que el recurrente justifique la </w:t>
      </w:r>
      <w:r>
        <w:t>“</w:t>
      </w:r>
      <w:r w:rsidRPr="00E546FF">
        <w:t>especial trascendencia</w:t>
      </w:r>
      <w:r>
        <w:t xml:space="preserve"> </w:t>
      </w:r>
      <w:r w:rsidRPr="00E546FF">
        <w:t>constitucional</w:t>
      </w:r>
      <w:r>
        <w:t xml:space="preserve">” y que el Tribunal aprecie </w:t>
      </w:r>
      <w:r w:rsidRPr="00E546FF">
        <w:t>que efectivamente se da: «el recurso de amparo, conforme a lo dispuesto</w:t>
      </w:r>
      <w:r>
        <w:t xml:space="preserve"> </w:t>
      </w:r>
      <w:r w:rsidRPr="00E546FF">
        <w:t>en el art. 50.1.a) LOTC, no puede ser admitido a trámite si el recurrente no</w:t>
      </w:r>
      <w:r>
        <w:t xml:space="preserve"> </w:t>
      </w:r>
      <w:r w:rsidRPr="00E546FF">
        <w:t>cumple —además de los restantes requisitos procesales previstos en los arts.</w:t>
      </w:r>
      <w:r>
        <w:t xml:space="preserve"> </w:t>
      </w:r>
      <w:r w:rsidRPr="00E546FF">
        <w:t>42-44 LOTC— la ineludible exigencia impuesta por el art. 49.1 in fine LOTC</w:t>
      </w:r>
      <w:r>
        <w:t xml:space="preserve"> </w:t>
      </w:r>
      <w:r w:rsidRPr="00E546FF">
        <w:t>de justificar de manera expresa en la demanda de amparo la especial trascendencia</w:t>
      </w:r>
      <w:r>
        <w:t xml:space="preserve"> </w:t>
      </w:r>
      <w:r w:rsidRPr="00E546FF">
        <w:t>constitucional del recurso, cuya naturaleza sustantiva se refleja en la</w:t>
      </w:r>
      <w:r>
        <w:t xml:space="preserve"> </w:t>
      </w:r>
      <w:r w:rsidRPr="00E546FF">
        <w:t>expresión «en todo caso» empleada por el precepto. Ello sin perjuicio, claro</w:t>
      </w:r>
      <w:r>
        <w:t xml:space="preserve"> </w:t>
      </w:r>
      <w:r w:rsidRPr="00E546FF">
        <w:t>está, de la apreciación por parte de este Tribunal, atendiendo a los criterios</w:t>
      </w:r>
      <w:r>
        <w:t xml:space="preserve"> </w:t>
      </w:r>
      <w:r w:rsidRPr="00E546FF">
        <w:t>señalados por el art. 50.1.b) LOTC acerca de si, cumplida aquella exigencia</w:t>
      </w:r>
      <w:r>
        <w:t xml:space="preserve"> </w:t>
      </w:r>
      <w:r w:rsidRPr="00E546FF">
        <w:t>por el recurrente, el recurso de amparo reviste efectivamente una especial</w:t>
      </w:r>
      <w:r>
        <w:t xml:space="preserve"> </w:t>
      </w:r>
      <w:r w:rsidRPr="00E546FF">
        <w:t>trascendencia constitucional que justifique una decisión sobre el fondo por</w:t>
      </w:r>
      <w:r>
        <w:t xml:space="preserve"> </w:t>
      </w:r>
      <w:r w:rsidRPr="00E546FF">
        <w:t xml:space="preserve">parte del Tribunal Constitucional». </w:t>
      </w:r>
    </w:p>
    <w:p w14:paraId="2EE558C0" w14:textId="77777777" w:rsidR="006F44C0" w:rsidRPr="00BD4339" w:rsidRDefault="006F44C0" w:rsidP="002B2B12">
      <w:pPr>
        <w:spacing w:after="240"/>
        <w:rPr>
          <w:i/>
          <w:iCs/>
        </w:rPr>
      </w:pPr>
      <w:r>
        <w:t xml:space="preserve">Por otra parte, el TC dispone por vez primera que </w:t>
      </w:r>
      <w:r w:rsidRPr="00E546FF">
        <w:t xml:space="preserve">la carga de justificar la especial trascendencia constitucional del recurso de amparo es algo distinto a razonar la existencia de la vulneración de un derecho fundamental. </w:t>
      </w:r>
      <w:r>
        <w:t xml:space="preserve">El razonamiento se basa en que la justificación de la lesión del derecho fundamental </w:t>
      </w:r>
      <w:r w:rsidRPr="00E546FF">
        <w:t>es un presupuesto inexcusable en cualquier demanda de amparo</w:t>
      </w:r>
      <w:r>
        <w:t xml:space="preserve">, exigencia referida en el art. 49.1 LOTC cuando establece el contenido de la demanda, concretamente </w:t>
      </w:r>
      <w:r w:rsidRPr="00BD4339">
        <w:rPr>
          <w:i/>
          <w:iCs/>
        </w:rPr>
        <w:t xml:space="preserve">«la exposición clara y concisa de los hechos que la fundamenten y la cita de los preceptos constitucionales que se estimen infringidos, fijando con precisión el amparo que se solicita para preservar o restablecer el derecho o libertad que se considere vulnerado”. Sin embargo, tras la reforma de 2007, además de esto el recurrente “habrá de justificar expresamente en su demanda de amparo la especial trascendencia constitucional del recurso, sin que corresponda a este Tribunal </w:t>
      </w:r>
      <w:r w:rsidRPr="00BD4339">
        <w:rPr>
          <w:i/>
          <w:iCs/>
        </w:rPr>
        <w:lastRenderedPageBreak/>
        <w:t>reconstruir de oficio la demanda cuando el recurrente incumpla la carga de argumentación que sobre él recae en orden a justificar esa especial trascendencia constitucional que, a su juicio, reviste el recurso de amparo que ha interpuesto».</w:t>
      </w:r>
    </w:p>
    <w:p w14:paraId="2F8A9352" w14:textId="77777777" w:rsidR="006F44C0" w:rsidRPr="00B71048" w:rsidRDefault="006F44C0" w:rsidP="002B2B12">
      <w:pPr>
        <w:spacing w:after="240"/>
      </w:pPr>
      <w:r w:rsidRPr="00B71048">
        <w:t xml:space="preserve">Por tanto, </w:t>
      </w:r>
      <w:r>
        <w:t>se puede apreciar</w:t>
      </w:r>
      <w:r w:rsidRPr="00B71048">
        <w:t xml:space="preserve"> que el TC afirma que son requisitos distintos la justificación de la especial trascendencia y la de la lesión del derecho fundamental. Toda demanda de amparo, como ya venía sucediendo antes de la reforma, debe justificar la existencia de esta vulneración, este hecho no ha cambiado. Lo que nos viene a precisar el ATC 188/2008 es que </w:t>
      </w:r>
      <w:r>
        <w:t>ahora se ha añadido</w:t>
      </w:r>
      <w:r w:rsidRPr="00B71048">
        <w:t xml:space="preserve"> una nueva exigencia</w:t>
      </w:r>
      <w:r>
        <w:t xml:space="preserve"> para el demandante</w:t>
      </w:r>
      <w:r w:rsidRPr="00B71048">
        <w:t>, la de la</w:t>
      </w:r>
      <w:r>
        <w:t xml:space="preserve"> justificación de la</w:t>
      </w:r>
      <w:r w:rsidRPr="00B71048">
        <w:t xml:space="preserve"> existencia de una especial trascendencia constitucional, no pudiendo ésta ser justificada a través de la lesión de</w:t>
      </w:r>
      <w:r>
        <w:t xml:space="preserve"> un </w:t>
      </w:r>
      <w:r w:rsidRPr="00B71048">
        <w:t xml:space="preserve">derecho fundamental, </w:t>
      </w:r>
      <w:r>
        <w:t>pese a que sea éste otro requisito de la demanda que también ha de cumplirse. P</w:t>
      </w:r>
      <w:r w:rsidRPr="00B71048">
        <w:t xml:space="preserve">or tanto, </w:t>
      </w:r>
      <w:r>
        <w:t>podrá darse la existencia de</w:t>
      </w:r>
      <w:r w:rsidRPr="00B71048">
        <w:t xml:space="preserve"> una demanda en la que se alegue la vulneración de un derecho </w:t>
      </w:r>
      <w:r>
        <w:t xml:space="preserve">fundamental </w:t>
      </w:r>
      <w:r w:rsidRPr="00B71048">
        <w:t>pero que sea inadmitida porque no exista o no se justifique la especial trascendencia constitucional</w:t>
      </w:r>
      <w:r>
        <w:t>, es decir, no será ya suficiente para nuestro TC el hecho de que se produzca dicha vulneración, es necesario, independientemente de la gravedad de dicha lesión, que el caso posea especial trascendencia constitucional.</w:t>
      </w:r>
    </w:p>
    <w:p w14:paraId="724274E5" w14:textId="77777777" w:rsidR="006F44C0" w:rsidRDefault="006F44C0" w:rsidP="002B2B12">
      <w:pPr>
        <w:spacing w:after="240"/>
      </w:pPr>
      <w:r w:rsidRPr="00B71048">
        <w:t xml:space="preserve">Vemos con esto un cambio en la naturaleza sustantiva del amparo. Se produce una pérdida del fin mismo de </w:t>
      </w:r>
      <w:r>
        <w:t>é</w:t>
      </w:r>
      <w:r w:rsidRPr="00B71048">
        <w:t>ste, pasando de ser un recurso orientado a la tutela de lesiones de derechos fundamentales a un nuevo recurso en el que la mera lesión de un derecho fundamental no es suficiente para que sea ad</w:t>
      </w:r>
      <w:r>
        <w:t xml:space="preserve">mitido a trámite.  </w:t>
      </w:r>
      <w:r w:rsidRPr="00F517D0">
        <w:t>La invocación de la especial trascendencia constitucional opera</w:t>
      </w:r>
      <w:r>
        <w:t>rá, por tanto,</w:t>
      </w:r>
      <w:r w:rsidRPr="00F517D0">
        <w:t xml:space="preserve"> como</w:t>
      </w:r>
      <w:r>
        <w:t xml:space="preserve"> una </w:t>
      </w:r>
      <w:r w:rsidRPr="00F517D0">
        <w:t>carga</w:t>
      </w:r>
      <w:r>
        <w:t xml:space="preserve"> procesal</w:t>
      </w:r>
      <w:r w:rsidRPr="00F517D0">
        <w:t xml:space="preserve"> del recurrente para que su demanda pueda ser admitida a trámite.</w:t>
      </w:r>
    </w:p>
    <w:p w14:paraId="7A8B79A9" w14:textId="77777777" w:rsidR="006F44C0" w:rsidRDefault="006F44C0" w:rsidP="002B2B12">
      <w:pPr>
        <w:spacing w:after="240"/>
      </w:pPr>
      <w:r>
        <w:t>También es sumamente relevante destacar que</w:t>
      </w:r>
      <w:r w:rsidRPr="00E546FF">
        <w:t xml:space="preserve">, en </w:t>
      </w:r>
      <w:r>
        <w:t>el FJ 3, el TC</w:t>
      </w:r>
      <w:r w:rsidRPr="00E546FF">
        <w:t xml:space="preserve"> se refiere a la especial trascendencia constitucional como</w:t>
      </w:r>
      <w:r>
        <w:t xml:space="preserve"> </w:t>
      </w:r>
      <w:r w:rsidRPr="00E546FF">
        <w:t>«un requisito insubsanable</w:t>
      </w:r>
      <w:r>
        <w:t>», por lo que no cabría</w:t>
      </w:r>
      <w:r w:rsidRPr="00CA6DC2">
        <w:t xml:space="preserve"> la apertura del trámite de subsanación previsto en el art. 49.4 LOTC (ni tampoco, obviamente, la subsanación por propia iniciativa del recurrente)</w:t>
      </w:r>
      <w:r>
        <w:t xml:space="preserve">. Entiende el Tribunal que la subsanación de defectos de la demanda sólo puede </w:t>
      </w:r>
      <w:r w:rsidRPr="00CA6DC2">
        <w:t>referirse a requisitos formales, como la aportación de documentos o la consignación de determinados datos, pero no es posible extenderla al contenido de las alegaciones que sustentan aquella pretensión</w:t>
      </w:r>
      <w:r>
        <w:t xml:space="preserve">, como lo es la justificación de la “especial trascendencia constitucional”. </w:t>
      </w:r>
    </w:p>
    <w:p w14:paraId="53C74DFE" w14:textId="77777777" w:rsidR="006F44C0" w:rsidRDefault="006F44C0" w:rsidP="002B2B12">
      <w:pPr>
        <w:spacing w:after="240"/>
      </w:pPr>
      <w:r>
        <w:lastRenderedPageBreak/>
        <w:t xml:space="preserve">Vemos, por tanto, que esta figura constituye un requisito material o sustantivo, siendo esto muy importante ya que, de haber sido considerado un requisito meramente procesal, éste habría tenido una naturaleza subsanable en aplicación del art. 49.4 LOTC, el cual menciona la </w:t>
      </w:r>
      <w:r w:rsidRPr="0045546B">
        <w:t>subsanación de los «requisitos establecidos en los apartados que anteceden».</w:t>
      </w:r>
      <w:r>
        <w:t xml:space="preserve"> Sin embargo, a</w:t>
      </w:r>
      <w:r w:rsidRPr="0045546B">
        <w:t xml:space="preserve"> pes</w:t>
      </w:r>
      <w:r>
        <w:t>ar de estar prevista en el apartado</w:t>
      </w:r>
      <w:r w:rsidRPr="0045546B">
        <w:t xml:space="preserve"> 1 del propio art. 49 LOTC, </w:t>
      </w:r>
      <w:r>
        <w:t xml:space="preserve">el hecho de </w:t>
      </w:r>
      <w:r w:rsidRPr="0045546B">
        <w:t>reconocer el</w:t>
      </w:r>
      <w:r>
        <w:t xml:space="preserve"> </w:t>
      </w:r>
      <w:r w:rsidRPr="0045546B">
        <w:t>carácter subsanable de la acreditación de la especial trascendencia constitucional</w:t>
      </w:r>
      <w:r>
        <w:t xml:space="preserve"> habría supuesto tener que</w:t>
      </w:r>
      <w:r w:rsidRPr="0045546B">
        <w:t xml:space="preserve"> abrir un trámite adicional en la fase de admisión al que se</w:t>
      </w:r>
      <w:r>
        <w:t xml:space="preserve"> </w:t>
      </w:r>
      <w:r w:rsidRPr="0045546B">
        <w:t xml:space="preserve">habría acudido con seguridad </w:t>
      </w:r>
      <w:r>
        <w:t xml:space="preserve">en los casos en que </w:t>
      </w:r>
      <w:r w:rsidRPr="0045546B">
        <w:t>el Tribunal hubiera considerado</w:t>
      </w:r>
      <w:r>
        <w:t xml:space="preserve"> </w:t>
      </w:r>
      <w:r w:rsidRPr="0045546B">
        <w:t xml:space="preserve">que no se acreditaba esa exigencia de la demanda, </w:t>
      </w:r>
      <w:r>
        <w:t>disminuyéndose así el pretendido carácter</w:t>
      </w:r>
      <w:r w:rsidRPr="0045546B">
        <w:t xml:space="preserve"> «</w:t>
      </w:r>
      <w:proofErr w:type="spellStart"/>
      <w:r w:rsidRPr="0045546B">
        <w:t>agilizador</w:t>
      </w:r>
      <w:proofErr w:type="spellEnd"/>
      <w:r w:rsidRPr="0045546B">
        <w:t>»</w:t>
      </w:r>
      <w:r>
        <w:t xml:space="preserve"> que se perseguía con</w:t>
      </w:r>
      <w:r w:rsidRPr="0045546B">
        <w:t xml:space="preserve"> la reforma. </w:t>
      </w:r>
      <w:r>
        <w:t xml:space="preserve">Por ello, para evitarlo, se optó por </w:t>
      </w:r>
      <w:r w:rsidRPr="0045546B">
        <w:t>desligar</w:t>
      </w:r>
      <w:r>
        <w:t xml:space="preserve">lo </w:t>
      </w:r>
      <w:r w:rsidRPr="0045546B">
        <w:t>del resto de los requisitos procesales</w:t>
      </w:r>
      <w:r>
        <w:t xml:space="preserve"> de carácter subsanable</w:t>
      </w:r>
      <w:r w:rsidRPr="0045546B">
        <w:t xml:space="preserve">, </w:t>
      </w:r>
      <w:r>
        <w:t>diferenciándolo de ellos dándole así un</w:t>
      </w:r>
      <w:r w:rsidRPr="0045546B">
        <w:t xml:space="preserve"> carácter material y no procesal. La especial trascendencia</w:t>
      </w:r>
      <w:r>
        <w:t xml:space="preserve"> </w:t>
      </w:r>
      <w:r w:rsidRPr="0045546B">
        <w:t>no es, pues, un requisito formal sino material por lo que su falta de</w:t>
      </w:r>
      <w:r>
        <w:t xml:space="preserve"> </w:t>
      </w:r>
      <w:r w:rsidRPr="0045546B">
        <w:t xml:space="preserve">acreditación no resulta subsanable. </w:t>
      </w:r>
      <w:r>
        <w:t>Por tanto, el TC consideró</w:t>
      </w:r>
      <w:r w:rsidRPr="0045546B">
        <w:t xml:space="preserve"> que la</w:t>
      </w:r>
      <w:r>
        <w:t xml:space="preserve"> </w:t>
      </w:r>
      <w:r w:rsidRPr="0045546B">
        <w:t>especial trascendencia constitucional queda</w:t>
      </w:r>
      <w:r>
        <w:t>ría</w:t>
      </w:r>
      <w:r w:rsidRPr="0045546B">
        <w:t xml:space="preserve"> excluida de la posibilidad de subsanación</w:t>
      </w:r>
      <w:r>
        <w:t xml:space="preserve"> referida en</w:t>
      </w:r>
      <w:r w:rsidRPr="0045546B">
        <w:t xml:space="preserve"> el art. 49.4 LOTC</w:t>
      </w:r>
      <w:r>
        <w:rPr>
          <w:rStyle w:val="Refdenotaalpie"/>
        </w:rPr>
        <w:footnoteReference w:id="248"/>
      </w:r>
      <w:r w:rsidRPr="0045546B">
        <w:t xml:space="preserve">. </w:t>
      </w:r>
    </w:p>
    <w:p w14:paraId="2007DE05" w14:textId="77777777" w:rsidR="006F44C0" w:rsidRDefault="006F44C0" w:rsidP="002B2B12">
      <w:pPr>
        <w:spacing w:after="240"/>
      </w:pPr>
      <w:r>
        <w:t xml:space="preserve">Cabe destacar en este punto, pese a lo lógico del razonamiento anteriormente expuesto, que puede resultar a nuestro parecer desproporcionado el hecho de considerar insubsanable un requisito tan indeterminado como la “especial trascendencia constitucional”. Es cierto que </w:t>
      </w:r>
      <w:r w:rsidRPr="00CE1600">
        <w:t>las afirmaciones r</w:t>
      </w:r>
      <w:r>
        <w:t>ealizadas por la Sala no carecían</w:t>
      </w:r>
      <w:r w:rsidRPr="00CE1600">
        <w:t xml:space="preserve"> de razones si se</w:t>
      </w:r>
      <w:r>
        <w:t xml:space="preserve"> </w:t>
      </w:r>
      <w:r w:rsidRPr="00CE1600">
        <w:t>examinan</w:t>
      </w:r>
      <w:r>
        <w:t xml:space="preserve"> desde una perspectiva abierta</w:t>
      </w:r>
      <w:r w:rsidRPr="00CE1600">
        <w:t xml:space="preserve">, </w:t>
      </w:r>
      <w:r>
        <w:t xml:space="preserve">sin embargo, </w:t>
      </w:r>
      <w:r w:rsidRPr="00CE1600">
        <w:t>son</w:t>
      </w:r>
      <w:r>
        <w:t xml:space="preserve"> cuestionables teniendo en cuenta que hacemos referencia </w:t>
      </w:r>
      <w:r w:rsidRPr="00CE1600">
        <w:t>a un aspecto novedoso (la especial trasce</w:t>
      </w:r>
      <w:r>
        <w:t>ndencia constitucional) previsto</w:t>
      </w:r>
      <w:r w:rsidRPr="00CE1600">
        <w:t xml:space="preserve"> en</w:t>
      </w:r>
      <w:r>
        <w:t xml:space="preserve"> </w:t>
      </w:r>
      <w:r w:rsidRPr="00CE1600">
        <w:t xml:space="preserve">una Ley procesal carente de </w:t>
      </w:r>
      <w:proofErr w:type="spellStart"/>
      <w:r w:rsidRPr="003F492E">
        <w:rPr>
          <w:i/>
        </w:rPr>
        <w:t>vacatio</w:t>
      </w:r>
      <w:proofErr w:type="spellEnd"/>
      <w:r w:rsidRPr="003F492E">
        <w:rPr>
          <w:i/>
        </w:rPr>
        <w:t xml:space="preserve"> </w:t>
      </w:r>
      <w:proofErr w:type="spellStart"/>
      <w:r w:rsidRPr="003F492E">
        <w:rPr>
          <w:i/>
        </w:rPr>
        <w:t>legis</w:t>
      </w:r>
      <w:proofErr w:type="spellEnd"/>
      <w:r w:rsidRPr="00CE1600">
        <w:t xml:space="preserve"> y sobre</w:t>
      </w:r>
      <w:r>
        <w:t xml:space="preserve"> la que el propio Tribunal seguía </w:t>
      </w:r>
      <w:r w:rsidRPr="00CE1600">
        <w:t>sin pronunciars</w:t>
      </w:r>
      <w:r>
        <w:t xml:space="preserve">e después de un año y medio desde la entrada en vigor de la misma. </w:t>
      </w:r>
    </w:p>
    <w:p w14:paraId="68DD2A00" w14:textId="77777777" w:rsidR="006F44C0" w:rsidRDefault="006F44C0" w:rsidP="002B2B12">
      <w:pPr>
        <w:spacing w:after="240"/>
        <w:rPr>
          <w:color w:val="000000" w:themeColor="text1"/>
          <w:szCs w:val="24"/>
        </w:rPr>
      </w:pPr>
      <w:r>
        <w:rPr>
          <w:color w:val="000000" w:themeColor="text1"/>
          <w:szCs w:val="24"/>
        </w:rPr>
        <w:t>Posteriormente, e</w:t>
      </w:r>
      <w:r w:rsidRPr="00D901F5">
        <w:rPr>
          <w:color w:val="000000" w:themeColor="text1"/>
          <w:szCs w:val="24"/>
        </w:rPr>
        <w:t>l Auto 289/20</w:t>
      </w:r>
      <w:r>
        <w:rPr>
          <w:color w:val="000000" w:themeColor="text1"/>
          <w:szCs w:val="24"/>
        </w:rPr>
        <w:t>08, de 22 de septiembre (Sala 2ª</w:t>
      </w:r>
      <w:r w:rsidRPr="00D901F5">
        <w:rPr>
          <w:color w:val="000000" w:themeColor="text1"/>
          <w:szCs w:val="24"/>
        </w:rPr>
        <w:t>), contin</w:t>
      </w:r>
      <w:r>
        <w:rPr>
          <w:color w:val="000000" w:themeColor="text1"/>
          <w:szCs w:val="24"/>
        </w:rPr>
        <w:t>ú</w:t>
      </w:r>
      <w:r w:rsidRPr="00D901F5">
        <w:rPr>
          <w:color w:val="000000" w:themeColor="text1"/>
          <w:szCs w:val="24"/>
        </w:rPr>
        <w:t>a la línea iniciada</w:t>
      </w:r>
      <w:r>
        <w:rPr>
          <w:color w:val="000000" w:themeColor="text1"/>
          <w:szCs w:val="24"/>
        </w:rPr>
        <w:t xml:space="preserve"> </w:t>
      </w:r>
      <w:r w:rsidRPr="00D901F5">
        <w:rPr>
          <w:color w:val="000000" w:themeColor="text1"/>
          <w:szCs w:val="24"/>
        </w:rPr>
        <w:t xml:space="preserve">por el </w:t>
      </w:r>
      <w:r>
        <w:rPr>
          <w:color w:val="000000" w:themeColor="text1"/>
          <w:szCs w:val="24"/>
        </w:rPr>
        <w:t xml:space="preserve">Auto </w:t>
      </w:r>
      <w:r w:rsidRPr="00D901F5">
        <w:rPr>
          <w:color w:val="000000" w:themeColor="text1"/>
          <w:szCs w:val="24"/>
        </w:rPr>
        <w:t>anterior</w:t>
      </w:r>
      <w:r>
        <w:rPr>
          <w:color w:val="000000" w:themeColor="text1"/>
          <w:szCs w:val="24"/>
        </w:rPr>
        <w:t xml:space="preserve">mente citado. </w:t>
      </w:r>
      <w:r w:rsidRPr="002F14BB">
        <w:rPr>
          <w:color w:val="000000" w:themeColor="text1"/>
          <w:szCs w:val="24"/>
        </w:rPr>
        <w:t>No hay pues discrepancia entre las Salas</w:t>
      </w:r>
      <w:r>
        <w:rPr>
          <w:color w:val="000000" w:themeColor="text1"/>
          <w:szCs w:val="24"/>
        </w:rPr>
        <w:t xml:space="preserve">. Sin embargo, encontramos el voto particular emitido por el </w:t>
      </w:r>
      <w:r w:rsidRPr="00D901F5">
        <w:rPr>
          <w:color w:val="000000" w:themeColor="text1"/>
          <w:szCs w:val="24"/>
        </w:rPr>
        <w:t>magistrado Gay Montalvo</w:t>
      </w:r>
      <w:r>
        <w:rPr>
          <w:color w:val="000000" w:themeColor="text1"/>
          <w:szCs w:val="24"/>
        </w:rPr>
        <w:t>, el cual resulta de gran</w:t>
      </w:r>
      <w:r w:rsidRPr="00D901F5">
        <w:rPr>
          <w:color w:val="000000" w:themeColor="text1"/>
          <w:szCs w:val="24"/>
        </w:rPr>
        <w:t xml:space="preserve"> interés</w:t>
      </w:r>
      <w:r>
        <w:rPr>
          <w:color w:val="000000" w:themeColor="text1"/>
          <w:szCs w:val="24"/>
        </w:rPr>
        <w:t>,</w:t>
      </w:r>
      <w:r w:rsidRPr="00D901F5">
        <w:rPr>
          <w:color w:val="000000" w:themeColor="text1"/>
          <w:szCs w:val="24"/>
        </w:rPr>
        <w:t xml:space="preserve"> </w:t>
      </w:r>
      <w:r>
        <w:rPr>
          <w:color w:val="000000" w:themeColor="text1"/>
          <w:szCs w:val="24"/>
        </w:rPr>
        <w:t xml:space="preserve">debido a que aborda de modo sumamente acertado el problema de </w:t>
      </w:r>
      <w:r>
        <w:rPr>
          <w:color w:val="000000" w:themeColor="text1"/>
          <w:szCs w:val="24"/>
        </w:rPr>
        <w:lastRenderedPageBreak/>
        <w:t xml:space="preserve">la </w:t>
      </w:r>
      <w:r w:rsidRPr="00D901F5">
        <w:rPr>
          <w:color w:val="000000" w:themeColor="text1"/>
          <w:szCs w:val="24"/>
        </w:rPr>
        <w:t xml:space="preserve">interpretación </w:t>
      </w:r>
      <w:r>
        <w:rPr>
          <w:color w:val="000000" w:themeColor="text1"/>
          <w:szCs w:val="24"/>
        </w:rPr>
        <w:t xml:space="preserve">(en nuestra opinión demasiado restrictiva) </w:t>
      </w:r>
      <w:r w:rsidRPr="00D901F5">
        <w:rPr>
          <w:color w:val="000000" w:themeColor="text1"/>
          <w:szCs w:val="24"/>
        </w:rPr>
        <w:t xml:space="preserve">del requisito de </w:t>
      </w:r>
      <w:r>
        <w:rPr>
          <w:color w:val="000000" w:themeColor="text1"/>
          <w:szCs w:val="24"/>
        </w:rPr>
        <w:t>la “</w:t>
      </w:r>
      <w:r w:rsidRPr="00D901F5">
        <w:rPr>
          <w:color w:val="000000" w:themeColor="text1"/>
          <w:szCs w:val="24"/>
        </w:rPr>
        <w:t>especial trascendencia constitucional</w:t>
      </w:r>
      <w:r>
        <w:rPr>
          <w:color w:val="000000" w:themeColor="text1"/>
          <w:szCs w:val="24"/>
        </w:rPr>
        <w:t xml:space="preserve">”. </w:t>
      </w:r>
      <w:r w:rsidRPr="00E15FB3">
        <w:rPr>
          <w:color w:val="000000" w:themeColor="text1"/>
          <w:szCs w:val="24"/>
        </w:rPr>
        <w:t xml:space="preserve">Además, trata los también abiertos e indeterminados criterios legales del artículo 50.1.b) LOTC, </w:t>
      </w:r>
      <w:r>
        <w:rPr>
          <w:color w:val="000000" w:themeColor="text1"/>
          <w:szCs w:val="24"/>
        </w:rPr>
        <w:t xml:space="preserve">el cual establece que el recurso de amparo será admitido a trámite </w:t>
      </w:r>
      <w:r w:rsidRPr="00E15FB3">
        <w:rPr>
          <w:color w:val="000000" w:themeColor="text1"/>
          <w:szCs w:val="24"/>
        </w:rPr>
        <w:t>cuando el contenido del recurso justifique una decisión sobre el fondo por parte del T</w:t>
      </w:r>
      <w:r>
        <w:rPr>
          <w:color w:val="000000" w:themeColor="text1"/>
          <w:szCs w:val="24"/>
        </w:rPr>
        <w:t>C</w:t>
      </w:r>
      <w:r w:rsidRPr="00E15FB3">
        <w:rPr>
          <w:color w:val="000000" w:themeColor="text1"/>
          <w:szCs w:val="24"/>
        </w:rPr>
        <w:t xml:space="preserve"> en razón de su especial trascendencia constitucional, que se apreciará atendiendo a su importancia</w:t>
      </w:r>
      <w:r>
        <w:rPr>
          <w:color w:val="000000" w:themeColor="text1"/>
          <w:szCs w:val="24"/>
        </w:rPr>
        <w:t>:</w:t>
      </w:r>
    </w:p>
    <w:p w14:paraId="07A12715" w14:textId="77777777" w:rsidR="006F44C0" w:rsidRPr="00105658" w:rsidRDefault="006F44C0" w:rsidP="001A4310">
      <w:pPr>
        <w:pStyle w:val="Prrafodelista"/>
        <w:numPr>
          <w:ilvl w:val="0"/>
          <w:numId w:val="28"/>
        </w:numPr>
        <w:rPr>
          <w:color w:val="000000" w:themeColor="text1"/>
          <w:szCs w:val="24"/>
        </w:rPr>
      </w:pPr>
      <w:r w:rsidRPr="00105658">
        <w:rPr>
          <w:color w:val="000000" w:themeColor="text1"/>
          <w:szCs w:val="24"/>
        </w:rPr>
        <w:t xml:space="preserve">Para la interpretación de la Constitución, </w:t>
      </w:r>
    </w:p>
    <w:p w14:paraId="4C650561" w14:textId="77777777" w:rsidR="006F44C0" w:rsidRPr="00105658" w:rsidRDefault="006F44C0" w:rsidP="001A4310">
      <w:pPr>
        <w:pStyle w:val="Prrafodelista"/>
        <w:numPr>
          <w:ilvl w:val="0"/>
          <w:numId w:val="28"/>
        </w:numPr>
        <w:rPr>
          <w:color w:val="000000" w:themeColor="text1"/>
          <w:szCs w:val="24"/>
        </w:rPr>
      </w:pPr>
      <w:r w:rsidRPr="00105658">
        <w:rPr>
          <w:color w:val="000000" w:themeColor="text1"/>
          <w:szCs w:val="24"/>
        </w:rPr>
        <w:t>Para su aplicación o para su general eficacia</w:t>
      </w:r>
    </w:p>
    <w:p w14:paraId="5A8C2F48" w14:textId="77777777" w:rsidR="006F44C0" w:rsidRPr="00105658" w:rsidRDefault="006F44C0" w:rsidP="001A4310">
      <w:pPr>
        <w:pStyle w:val="Prrafodelista"/>
        <w:numPr>
          <w:ilvl w:val="0"/>
          <w:numId w:val="28"/>
        </w:numPr>
        <w:rPr>
          <w:color w:val="000000" w:themeColor="text1"/>
          <w:szCs w:val="24"/>
        </w:rPr>
      </w:pPr>
      <w:r w:rsidRPr="00105658">
        <w:rPr>
          <w:color w:val="000000" w:themeColor="text1"/>
          <w:szCs w:val="24"/>
        </w:rPr>
        <w:t>Para la determinación del contenido y alcance de los derechos fundamentales.</w:t>
      </w:r>
    </w:p>
    <w:p w14:paraId="4EFEBD37" w14:textId="77777777" w:rsidR="006F44C0" w:rsidRDefault="006F44C0" w:rsidP="002B2B12">
      <w:pPr>
        <w:spacing w:after="240"/>
        <w:rPr>
          <w:color w:val="000000" w:themeColor="text1"/>
          <w:szCs w:val="24"/>
        </w:rPr>
      </w:pPr>
      <w:r>
        <w:rPr>
          <w:color w:val="000000" w:themeColor="text1"/>
          <w:szCs w:val="24"/>
        </w:rPr>
        <w:t>El Magistrado comienza mencionando que nuestra</w:t>
      </w:r>
      <w:r w:rsidRPr="002F14BB">
        <w:rPr>
          <w:color w:val="000000" w:themeColor="text1"/>
          <w:szCs w:val="24"/>
        </w:rPr>
        <w:t xml:space="preserve"> CE concibe </w:t>
      </w:r>
      <w:r>
        <w:rPr>
          <w:color w:val="000000" w:themeColor="text1"/>
          <w:szCs w:val="24"/>
        </w:rPr>
        <w:t xml:space="preserve">la jurisdicción del amparo </w:t>
      </w:r>
      <w:r w:rsidRPr="002F14BB">
        <w:rPr>
          <w:color w:val="000000" w:themeColor="text1"/>
          <w:szCs w:val="24"/>
        </w:rPr>
        <w:t>como un mecanismo para la reparación de los derechos fundamentales</w:t>
      </w:r>
      <w:r>
        <w:rPr>
          <w:color w:val="000000" w:themeColor="text1"/>
          <w:szCs w:val="24"/>
        </w:rPr>
        <w:t xml:space="preserve"> y afirma que </w:t>
      </w:r>
      <w:r w:rsidRPr="00CC4050">
        <w:rPr>
          <w:color w:val="000000" w:themeColor="text1"/>
          <w:szCs w:val="24"/>
        </w:rPr>
        <w:t xml:space="preserve">la finalidad esencial del recurso de amparo es </w:t>
      </w:r>
      <w:r w:rsidRPr="00E15FB3">
        <w:rPr>
          <w:i/>
          <w:iCs/>
          <w:color w:val="000000" w:themeColor="text1"/>
          <w:szCs w:val="24"/>
        </w:rPr>
        <w:t>“la reparación de vulneraciones de derechos y libertades fundamentales concretamente producidas a los recurrentes”</w:t>
      </w:r>
      <w:r>
        <w:rPr>
          <w:color w:val="000000" w:themeColor="text1"/>
          <w:szCs w:val="24"/>
        </w:rPr>
        <w:t xml:space="preserve"> así como </w:t>
      </w:r>
      <w:r w:rsidRPr="00E15FB3">
        <w:rPr>
          <w:i/>
          <w:iCs/>
          <w:color w:val="000000" w:themeColor="text1"/>
          <w:szCs w:val="24"/>
        </w:rPr>
        <w:t>“la protección, en sede constitucional, de los derechos y libertades que hemos dicho, cuando las vías ordinarias de protección han resultado insatisfactorias”</w:t>
      </w:r>
      <w:r w:rsidRPr="00CC4050">
        <w:rPr>
          <w:color w:val="000000" w:themeColor="text1"/>
          <w:szCs w:val="24"/>
        </w:rPr>
        <w:t>.</w:t>
      </w:r>
      <w:r>
        <w:rPr>
          <w:color w:val="000000" w:themeColor="text1"/>
          <w:szCs w:val="24"/>
        </w:rPr>
        <w:t xml:space="preserve"> Concluye esta parte de su exposición disponiendo que </w:t>
      </w:r>
      <w:r w:rsidRPr="00CC4050">
        <w:rPr>
          <w:color w:val="000000" w:themeColor="text1"/>
          <w:szCs w:val="24"/>
        </w:rPr>
        <w:t>la función esencial del recurso de amparo consiste inequívocamente en la tutela de los derechos subjetivos.</w:t>
      </w:r>
      <w:r>
        <w:rPr>
          <w:color w:val="000000" w:themeColor="text1"/>
          <w:szCs w:val="24"/>
        </w:rPr>
        <w:t xml:space="preserve"> Esta afirmación es muy importante a mi parecer pues, como veremos a continuación, uno de los puntos clave de la reforma es la objetivación que se produce del recurso de amparo, especialmente a través de la noción de la “especial trascendencia constitucional”. Vemos, por tanto, una discrepancia acerca de la función principal de este recurso entre los propios miembros de nuestro TC.</w:t>
      </w:r>
    </w:p>
    <w:p w14:paraId="1DADBB94" w14:textId="77777777" w:rsidR="006F44C0" w:rsidRDefault="006F44C0" w:rsidP="002B2B12">
      <w:pPr>
        <w:spacing w:after="240"/>
        <w:rPr>
          <w:color w:val="000000" w:themeColor="text1"/>
          <w:szCs w:val="24"/>
        </w:rPr>
      </w:pPr>
      <w:r>
        <w:rPr>
          <w:color w:val="000000" w:themeColor="text1"/>
          <w:szCs w:val="24"/>
        </w:rPr>
        <w:t xml:space="preserve">Volviendo a la argumentación del Magistrado, éste subraya que, </w:t>
      </w:r>
      <w:r w:rsidRPr="00C63BEE">
        <w:rPr>
          <w:color w:val="000000" w:themeColor="text1"/>
          <w:szCs w:val="24"/>
        </w:rPr>
        <w:t xml:space="preserve">en cualquier caso, </w:t>
      </w:r>
      <w:r>
        <w:rPr>
          <w:color w:val="000000" w:themeColor="text1"/>
          <w:szCs w:val="24"/>
        </w:rPr>
        <w:t xml:space="preserve">su </w:t>
      </w:r>
      <w:r w:rsidRPr="00C63BEE">
        <w:rPr>
          <w:color w:val="000000" w:themeColor="text1"/>
          <w:szCs w:val="24"/>
        </w:rPr>
        <w:t xml:space="preserve">discrepancia no lo es con la Ley, </w:t>
      </w:r>
      <w:r>
        <w:rPr>
          <w:color w:val="000000" w:themeColor="text1"/>
          <w:szCs w:val="24"/>
        </w:rPr>
        <w:t xml:space="preserve">la cual era necesaria teniendo en cuenta la situación insostenible en la que se encontraba nuestro TC, </w:t>
      </w:r>
      <w:r w:rsidRPr="00C63BEE">
        <w:rPr>
          <w:color w:val="000000" w:themeColor="text1"/>
          <w:szCs w:val="24"/>
        </w:rPr>
        <w:t xml:space="preserve">sino con la interpretación que, </w:t>
      </w:r>
      <w:r>
        <w:rPr>
          <w:color w:val="000000" w:themeColor="text1"/>
          <w:szCs w:val="24"/>
        </w:rPr>
        <w:t xml:space="preserve">se está haciendo </w:t>
      </w:r>
      <w:r w:rsidRPr="00C63BEE">
        <w:rPr>
          <w:color w:val="000000" w:themeColor="text1"/>
          <w:szCs w:val="24"/>
        </w:rPr>
        <w:t>de la nueva redacción de los ar</w:t>
      </w:r>
      <w:r>
        <w:rPr>
          <w:color w:val="000000" w:themeColor="text1"/>
          <w:szCs w:val="24"/>
        </w:rPr>
        <w:t xml:space="preserve">ts. 49.1 in fine y 50.1 b) LOTC </w:t>
      </w:r>
      <w:r w:rsidRPr="00C63BEE">
        <w:rPr>
          <w:color w:val="000000" w:themeColor="text1"/>
          <w:szCs w:val="24"/>
        </w:rPr>
        <w:t xml:space="preserve">en </w:t>
      </w:r>
      <w:r>
        <w:rPr>
          <w:color w:val="000000" w:themeColor="text1"/>
          <w:szCs w:val="24"/>
        </w:rPr>
        <w:t xml:space="preserve">el presente Auto y en el anteriormente citado. Su discrepancia se basa fundamentalmente en el traslado hecho al </w:t>
      </w:r>
      <w:r w:rsidRPr="00C63BEE">
        <w:rPr>
          <w:color w:val="000000" w:themeColor="text1"/>
          <w:szCs w:val="24"/>
        </w:rPr>
        <w:t xml:space="preserve">recurrente de amparo </w:t>
      </w:r>
      <w:r>
        <w:rPr>
          <w:color w:val="000000" w:themeColor="text1"/>
          <w:szCs w:val="24"/>
        </w:rPr>
        <w:t xml:space="preserve">de </w:t>
      </w:r>
      <w:r w:rsidRPr="00C63BEE">
        <w:rPr>
          <w:color w:val="000000" w:themeColor="text1"/>
          <w:szCs w:val="24"/>
        </w:rPr>
        <w:t>la obligación formal (sin subsanación posible) de argumentar (justificar) la existencia de la especial trascendencia constitucional de su demanda</w:t>
      </w:r>
      <w:r>
        <w:rPr>
          <w:color w:val="000000" w:themeColor="text1"/>
          <w:szCs w:val="24"/>
        </w:rPr>
        <w:t>. Afirmación con la que coincido plenamente.</w:t>
      </w:r>
    </w:p>
    <w:p w14:paraId="2D01D304" w14:textId="77777777" w:rsidR="006F44C0" w:rsidRDefault="006F44C0" w:rsidP="002B2B12">
      <w:pPr>
        <w:spacing w:after="240"/>
        <w:rPr>
          <w:color w:val="000000" w:themeColor="text1"/>
          <w:szCs w:val="24"/>
        </w:rPr>
      </w:pPr>
      <w:r>
        <w:rPr>
          <w:color w:val="000000" w:themeColor="text1"/>
          <w:szCs w:val="24"/>
        </w:rPr>
        <w:lastRenderedPageBreak/>
        <w:t>Considera pues que</w:t>
      </w:r>
      <w:r w:rsidRPr="00C63BEE">
        <w:rPr>
          <w:color w:val="000000" w:themeColor="text1"/>
          <w:szCs w:val="24"/>
        </w:rPr>
        <w:t xml:space="preserve"> la interpretación que el</w:t>
      </w:r>
      <w:r>
        <w:rPr>
          <w:color w:val="000000" w:themeColor="text1"/>
          <w:szCs w:val="24"/>
        </w:rPr>
        <w:t xml:space="preserve"> </w:t>
      </w:r>
      <w:r w:rsidRPr="00C63BEE">
        <w:rPr>
          <w:color w:val="000000" w:themeColor="text1"/>
          <w:szCs w:val="24"/>
        </w:rPr>
        <w:t xml:space="preserve">Tribunal hace de la nueva reforma de la LOTC </w:t>
      </w:r>
      <w:r>
        <w:rPr>
          <w:color w:val="000000" w:themeColor="text1"/>
          <w:szCs w:val="24"/>
        </w:rPr>
        <w:t xml:space="preserve">es contraria </w:t>
      </w:r>
      <w:r w:rsidRPr="00C63BEE">
        <w:rPr>
          <w:color w:val="000000" w:themeColor="text1"/>
          <w:szCs w:val="24"/>
        </w:rPr>
        <w:t>a la finalidad</w:t>
      </w:r>
      <w:r>
        <w:rPr>
          <w:color w:val="000000" w:themeColor="text1"/>
          <w:szCs w:val="24"/>
        </w:rPr>
        <w:t xml:space="preserve"> </w:t>
      </w:r>
      <w:r w:rsidRPr="00C63BEE">
        <w:rPr>
          <w:color w:val="000000" w:themeColor="text1"/>
          <w:szCs w:val="24"/>
        </w:rPr>
        <w:t xml:space="preserve">esencial del recurso de amparo </w:t>
      </w:r>
      <w:r>
        <w:rPr>
          <w:color w:val="000000" w:themeColor="text1"/>
          <w:szCs w:val="24"/>
        </w:rPr>
        <w:t xml:space="preserve">a la que hemos hecho mención anteriormente. </w:t>
      </w:r>
      <w:r w:rsidRPr="00C63BEE">
        <w:rPr>
          <w:color w:val="000000" w:themeColor="text1"/>
          <w:szCs w:val="24"/>
        </w:rPr>
        <w:t>No comparte pues la objetivación del recurso</w:t>
      </w:r>
      <w:r>
        <w:rPr>
          <w:color w:val="000000" w:themeColor="text1"/>
          <w:szCs w:val="24"/>
        </w:rPr>
        <w:t xml:space="preserve"> </w:t>
      </w:r>
      <w:r w:rsidRPr="00C63BEE">
        <w:rPr>
          <w:color w:val="000000" w:themeColor="text1"/>
          <w:szCs w:val="24"/>
        </w:rPr>
        <w:t>«en detrimento de una concepción subjetiva», pues estima que no encaja con</w:t>
      </w:r>
      <w:r>
        <w:rPr>
          <w:color w:val="000000" w:themeColor="text1"/>
          <w:szCs w:val="24"/>
        </w:rPr>
        <w:t xml:space="preserve"> </w:t>
      </w:r>
      <w:r w:rsidRPr="00C63BEE">
        <w:rPr>
          <w:color w:val="000000" w:themeColor="text1"/>
          <w:szCs w:val="24"/>
        </w:rPr>
        <w:t xml:space="preserve">«su diseño constitucional y procesal». </w:t>
      </w:r>
    </w:p>
    <w:p w14:paraId="3A090769" w14:textId="7624AC68" w:rsidR="006F44C0" w:rsidRDefault="006F44C0" w:rsidP="002B2B12">
      <w:pPr>
        <w:spacing w:after="240"/>
        <w:rPr>
          <w:szCs w:val="24"/>
        </w:rPr>
      </w:pPr>
      <w:r>
        <w:rPr>
          <w:color w:val="000000" w:themeColor="text1"/>
          <w:szCs w:val="24"/>
        </w:rPr>
        <w:t xml:space="preserve">Es sumamente interesante resaltar otra afirmación hecha por el Magistrado discrepante. La </w:t>
      </w:r>
      <w:r w:rsidRPr="008A299B">
        <w:rPr>
          <w:color w:val="000000" w:themeColor="text1"/>
          <w:szCs w:val="24"/>
        </w:rPr>
        <w:t>propia lectur</w:t>
      </w:r>
      <w:r>
        <w:rPr>
          <w:color w:val="000000" w:themeColor="text1"/>
          <w:szCs w:val="24"/>
        </w:rPr>
        <w:t xml:space="preserve">a de la LOTC determina que </w:t>
      </w:r>
      <w:r w:rsidRPr="008A299B">
        <w:rPr>
          <w:color w:val="000000" w:themeColor="text1"/>
          <w:szCs w:val="24"/>
        </w:rPr>
        <w:t>la verificación de la concurrencia de esa especial trascendencia constitucional en el asunto de que se trate constituye un juicio que deben llevar a cabo los Magistrados del Tribunal</w:t>
      </w:r>
      <w:r>
        <w:rPr>
          <w:color w:val="000000" w:themeColor="text1"/>
          <w:szCs w:val="24"/>
        </w:rPr>
        <w:t xml:space="preserve">. Pues bien, </w:t>
      </w:r>
      <w:r w:rsidRPr="008A299B">
        <w:rPr>
          <w:szCs w:val="24"/>
        </w:rPr>
        <w:t xml:space="preserve">el art. 49.1 in fine LOTC exige que la demanda de amparo contenga una argumentación expresa —no una mera mención— de la existencia de la especial trascendencia constitucional del recurso. Sin embargo, </w:t>
      </w:r>
      <w:r>
        <w:rPr>
          <w:szCs w:val="24"/>
        </w:rPr>
        <w:t>dispone el Magistrado muy acertadamente “</w:t>
      </w:r>
      <w:r w:rsidRPr="00E15FB3">
        <w:rPr>
          <w:i/>
          <w:iCs/>
          <w:szCs w:val="24"/>
        </w:rPr>
        <w:t xml:space="preserve">resulta evidente que también es posible que haya una justificación de la especial trascendencia constitucional que derive de un modo indudable de la relación fáctica y de la argumentación jurídica hecha por el recurrente. En ese caso no estaríamos, ciertamente, ante una justificación expresa que, no </w:t>
      </w:r>
      <w:r w:rsidR="00105658" w:rsidRPr="00E15FB3">
        <w:rPr>
          <w:i/>
          <w:iCs/>
          <w:szCs w:val="24"/>
        </w:rPr>
        <w:t>obstante,</w:t>
      </w:r>
      <w:r w:rsidRPr="00E15FB3">
        <w:rPr>
          <w:i/>
          <w:iCs/>
          <w:szCs w:val="24"/>
        </w:rPr>
        <w:t xml:space="preserve"> no cabría calificar como insuficiente de acuerdo con el texto legal, máxime cuando la especial trascendencia constitucional de un recurso es una noción cuyo contenido todavía tiene que ser precisado por este Tribunal”</w:t>
      </w:r>
      <w:r w:rsidRPr="008A299B">
        <w:rPr>
          <w:szCs w:val="24"/>
        </w:rPr>
        <w:t>.</w:t>
      </w:r>
      <w:r>
        <w:rPr>
          <w:szCs w:val="24"/>
        </w:rPr>
        <w:t xml:space="preserve"> Por consiguiente, los AATC 188 y 289 de 2008, han estado exigiendo a los recurrentes de amparo una justificación suficiente de un concepto que ni tan siquiera ellos han concretado todavía. </w:t>
      </w:r>
    </w:p>
    <w:p w14:paraId="076E2183" w14:textId="77777777" w:rsidR="006F44C0" w:rsidRDefault="006F44C0" w:rsidP="002B2B12">
      <w:pPr>
        <w:spacing w:after="240"/>
        <w:rPr>
          <w:szCs w:val="24"/>
        </w:rPr>
      </w:pPr>
      <w:r>
        <w:rPr>
          <w:szCs w:val="24"/>
        </w:rPr>
        <w:t xml:space="preserve">Otra idea de este interesante voto particular, con la que coincido plenamente, es la siguiente: dado que la </w:t>
      </w:r>
      <w:r w:rsidRPr="00A57426">
        <w:rPr>
          <w:szCs w:val="24"/>
        </w:rPr>
        <w:t>L</w:t>
      </w:r>
      <w:r>
        <w:rPr>
          <w:szCs w:val="24"/>
        </w:rPr>
        <w:t>O</w:t>
      </w:r>
      <w:r w:rsidRPr="00A57426">
        <w:rPr>
          <w:szCs w:val="24"/>
        </w:rPr>
        <w:t xml:space="preserve"> 6/2007 no incorpora un per</w:t>
      </w:r>
      <w:r>
        <w:rPr>
          <w:szCs w:val="24"/>
        </w:rPr>
        <w:t xml:space="preserve">íodo de </w:t>
      </w:r>
      <w:proofErr w:type="spellStart"/>
      <w:r w:rsidRPr="00FA52DD">
        <w:rPr>
          <w:i/>
          <w:iCs/>
          <w:szCs w:val="24"/>
        </w:rPr>
        <w:t>vacatio</w:t>
      </w:r>
      <w:proofErr w:type="spellEnd"/>
      <w:r w:rsidRPr="00FA52DD">
        <w:rPr>
          <w:i/>
          <w:iCs/>
          <w:szCs w:val="24"/>
        </w:rPr>
        <w:t xml:space="preserve"> </w:t>
      </w:r>
      <w:proofErr w:type="spellStart"/>
      <w:r w:rsidRPr="00FA52DD">
        <w:rPr>
          <w:i/>
          <w:iCs/>
          <w:szCs w:val="24"/>
        </w:rPr>
        <w:t>legis</w:t>
      </w:r>
      <w:proofErr w:type="spellEnd"/>
      <w:r>
        <w:rPr>
          <w:szCs w:val="24"/>
        </w:rPr>
        <w:t>, consideramos que el TC, ejerciendo su función de protector último</w:t>
      </w:r>
      <w:r w:rsidRPr="00A57426">
        <w:rPr>
          <w:szCs w:val="24"/>
        </w:rPr>
        <w:t xml:space="preserve"> de los derechos fundamentales</w:t>
      </w:r>
      <w:r>
        <w:rPr>
          <w:szCs w:val="24"/>
        </w:rPr>
        <w:t>, debería haber m</w:t>
      </w:r>
      <w:r w:rsidRPr="00A57426">
        <w:rPr>
          <w:szCs w:val="24"/>
        </w:rPr>
        <w:t>ostra</w:t>
      </w:r>
      <w:r>
        <w:rPr>
          <w:szCs w:val="24"/>
        </w:rPr>
        <w:t>do</w:t>
      </w:r>
      <w:r w:rsidRPr="00A57426">
        <w:rPr>
          <w:szCs w:val="24"/>
        </w:rPr>
        <w:t xml:space="preserve"> una mayor flexibilidad</w:t>
      </w:r>
      <w:r>
        <w:rPr>
          <w:szCs w:val="24"/>
        </w:rPr>
        <w:t xml:space="preserve"> </w:t>
      </w:r>
      <w:r w:rsidRPr="00A57426">
        <w:rPr>
          <w:szCs w:val="24"/>
        </w:rPr>
        <w:t>durante, al menos, los pr</w:t>
      </w:r>
      <w:r>
        <w:rPr>
          <w:szCs w:val="24"/>
        </w:rPr>
        <w:t>imeros meses de aplicación de la</w:t>
      </w:r>
      <w:r w:rsidRPr="00A57426">
        <w:rPr>
          <w:szCs w:val="24"/>
        </w:rPr>
        <w:t xml:space="preserve"> </w:t>
      </w:r>
      <w:r>
        <w:rPr>
          <w:szCs w:val="24"/>
        </w:rPr>
        <w:t>reforma</w:t>
      </w:r>
      <w:r w:rsidRPr="00A57426">
        <w:rPr>
          <w:szCs w:val="24"/>
        </w:rPr>
        <w:t>, en la inte</w:t>
      </w:r>
      <w:r>
        <w:rPr>
          <w:szCs w:val="24"/>
        </w:rPr>
        <w:t>rpretación del cumplimiento este nuevo requisito. De esta manera, el Tribunal podría</w:t>
      </w:r>
      <w:r w:rsidRPr="00A57426">
        <w:rPr>
          <w:szCs w:val="24"/>
        </w:rPr>
        <w:t xml:space="preserve"> </w:t>
      </w:r>
      <w:r>
        <w:rPr>
          <w:szCs w:val="24"/>
        </w:rPr>
        <w:t>haber apreciado</w:t>
      </w:r>
      <w:r w:rsidRPr="00A57426">
        <w:rPr>
          <w:szCs w:val="24"/>
        </w:rPr>
        <w:t>, aun cuando la demanda no lo citara y argumentara expresamente, la posible trascendencia constitucional de un determinado recurso</w:t>
      </w:r>
      <w:r>
        <w:rPr>
          <w:szCs w:val="24"/>
        </w:rPr>
        <w:t>.</w:t>
      </w:r>
    </w:p>
    <w:p w14:paraId="27085451" w14:textId="77777777" w:rsidR="006F44C0" w:rsidRDefault="006F44C0" w:rsidP="002B2B12">
      <w:pPr>
        <w:spacing w:after="240"/>
        <w:rPr>
          <w:color w:val="000000" w:themeColor="text1"/>
          <w:szCs w:val="24"/>
        </w:rPr>
      </w:pPr>
      <w:r>
        <w:rPr>
          <w:szCs w:val="24"/>
        </w:rPr>
        <w:t xml:space="preserve">Destacar finalmente una afirmación que, ya en el año 2008, hizo este Magistrado en la que previó lo que finalmente diez años después está sucediendo. Afirmaba Gay Montalvo que </w:t>
      </w:r>
      <w:r w:rsidRPr="00E7330E">
        <w:rPr>
          <w:color w:val="000000" w:themeColor="text1"/>
          <w:szCs w:val="24"/>
        </w:rPr>
        <w:t xml:space="preserve">la interpretación que estos Autos han realizado de la nueva redacción dada a los arts. 49 y 50 LOTC puede conducir a </w:t>
      </w:r>
      <w:r w:rsidRPr="00FA52DD">
        <w:rPr>
          <w:i/>
          <w:iCs/>
          <w:color w:val="000000" w:themeColor="text1"/>
          <w:szCs w:val="24"/>
        </w:rPr>
        <w:t xml:space="preserve">“la mera exigencia de un requisito formal autónomo </w:t>
      </w:r>
      <w:r w:rsidRPr="00FA52DD">
        <w:rPr>
          <w:i/>
          <w:iCs/>
          <w:color w:val="000000" w:themeColor="text1"/>
          <w:szCs w:val="24"/>
        </w:rPr>
        <w:lastRenderedPageBreak/>
        <w:t>consistente en la inclusión en la demanda de amparo de un apartado dedicado a la justificación de la trascendencia constitucional del recurso. Además</w:t>
      </w:r>
      <w:r>
        <w:rPr>
          <w:i/>
          <w:iCs/>
          <w:color w:val="000000" w:themeColor="text1"/>
          <w:szCs w:val="24"/>
        </w:rPr>
        <w:t>,</w:t>
      </w:r>
      <w:r w:rsidRPr="00FA52DD">
        <w:rPr>
          <w:i/>
          <w:iCs/>
          <w:color w:val="000000" w:themeColor="text1"/>
          <w:szCs w:val="24"/>
        </w:rPr>
        <w:t xml:space="preserve"> la consecuencia asociada a la falta de este requisito formal tiene una trascendencia radical, pues conduciría a la inadmisión del recurso de amparo aun en la eventualidad de que en la demanda se reclamara una verdadera lesión que además tuviera especial trascendencia constitucional. En fin, estaríamos ante un requisito formal autónomo que produciría lo que, en reiteradas ocasiones, hemos calificado como un formalismo enervante.”</w:t>
      </w:r>
      <w:r w:rsidRPr="00E7330E">
        <w:rPr>
          <w:color w:val="000000" w:themeColor="text1"/>
          <w:szCs w:val="24"/>
        </w:rPr>
        <w:t xml:space="preserve"> </w:t>
      </w:r>
    </w:p>
    <w:p w14:paraId="059763F9" w14:textId="77777777" w:rsidR="006F44C0" w:rsidRDefault="006F44C0" w:rsidP="002B2B12">
      <w:pPr>
        <w:spacing w:after="240"/>
        <w:rPr>
          <w:color w:val="000000" w:themeColor="text1"/>
          <w:szCs w:val="24"/>
        </w:rPr>
      </w:pPr>
      <w:r>
        <w:rPr>
          <w:color w:val="000000" w:themeColor="text1"/>
          <w:szCs w:val="24"/>
        </w:rPr>
        <w:t xml:space="preserve">Posteriormente, el ATC </w:t>
      </w:r>
      <w:r w:rsidRPr="00CA4AC5">
        <w:rPr>
          <w:color w:val="000000" w:themeColor="text1"/>
          <w:szCs w:val="24"/>
        </w:rPr>
        <w:t>290/2008</w:t>
      </w:r>
      <w:r>
        <w:rPr>
          <w:color w:val="000000" w:themeColor="text1"/>
          <w:szCs w:val="24"/>
        </w:rPr>
        <w:t xml:space="preserve">, </w:t>
      </w:r>
      <w:r w:rsidRPr="00CA4AC5">
        <w:rPr>
          <w:color w:val="000000" w:themeColor="text1"/>
          <w:szCs w:val="24"/>
        </w:rPr>
        <w:t>de 22 de septiembre de 2008</w:t>
      </w:r>
      <w:r>
        <w:rPr>
          <w:color w:val="000000" w:themeColor="text1"/>
          <w:szCs w:val="24"/>
        </w:rPr>
        <w:t>, vuelve a señalar todo lo explicitado en el ATC 188/2008. El Magistrado volvió a discrepar ante esta doctrina que comenzaba ya a cristalizar remitiéndose al voto particular que emitió en el Auto anteriormente citado</w:t>
      </w:r>
      <w:r>
        <w:rPr>
          <w:rStyle w:val="Refdenotaalpie"/>
          <w:color w:val="000000" w:themeColor="text1"/>
          <w:szCs w:val="24"/>
        </w:rPr>
        <w:footnoteReference w:id="249"/>
      </w:r>
      <w:r>
        <w:rPr>
          <w:color w:val="000000" w:themeColor="text1"/>
          <w:szCs w:val="24"/>
        </w:rPr>
        <w:t>.</w:t>
      </w:r>
    </w:p>
    <w:p w14:paraId="1BE2F1F2" w14:textId="77777777" w:rsidR="006F44C0" w:rsidRDefault="006F44C0" w:rsidP="002B2B12">
      <w:pPr>
        <w:spacing w:after="240"/>
        <w:rPr>
          <w:color w:val="000000" w:themeColor="text1"/>
          <w:szCs w:val="24"/>
        </w:rPr>
      </w:pPr>
      <w:r w:rsidRPr="00E9280F">
        <w:rPr>
          <w:color w:val="000000" w:themeColor="text1"/>
          <w:szCs w:val="24"/>
        </w:rPr>
        <w:t>Por tanto, vemos que estos Autos, los cuales fueron el primer arrojo de luz sobre el indeterminado requisito de la especial trascendencia constitucional supusieron, en nuestra opinión, más dificultad que ayuda debido a las exigencias exigidas por nuestro TC para la justificación de éste.</w:t>
      </w:r>
    </w:p>
    <w:p w14:paraId="6C688403" w14:textId="7750C7CB" w:rsidR="006F44C0" w:rsidRPr="00E9280F" w:rsidRDefault="006F44C0" w:rsidP="002B2B12">
      <w:pPr>
        <w:spacing w:after="240"/>
        <w:rPr>
          <w:szCs w:val="24"/>
        </w:rPr>
      </w:pPr>
      <w:r w:rsidRPr="00E9280F">
        <w:rPr>
          <w:color w:val="000000" w:themeColor="text1"/>
          <w:szCs w:val="24"/>
        </w:rPr>
        <w:t>No obstante, a pesar de las afirmaciones aquí establecidas sobre esta figura, e</w:t>
      </w:r>
      <w:r w:rsidRPr="00E9280F">
        <w:rPr>
          <w:szCs w:val="24"/>
        </w:rPr>
        <w:t>l problema de fondo versa sobre la determinación de lo que debemos entender por ‘especial trascendencia consti</w:t>
      </w:r>
      <w:r>
        <w:rPr>
          <w:szCs w:val="24"/>
        </w:rPr>
        <w:t>tucional</w:t>
      </w:r>
      <w:r w:rsidR="00105658">
        <w:rPr>
          <w:szCs w:val="24"/>
        </w:rPr>
        <w:t>’</w:t>
      </w:r>
      <w:r w:rsidR="00105658" w:rsidRPr="00E9280F">
        <w:rPr>
          <w:szCs w:val="24"/>
        </w:rPr>
        <w:t xml:space="preserve"> y</w:t>
      </w:r>
      <w:r w:rsidRPr="00E9280F">
        <w:rPr>
          <w:szCs w:val="24"/>
        </w:rPr>
        <w:t xml:space="preserve"> los criterios establecidos para su </w:t>
      </w:r>
      <w:r>
        <w:rPr>
          <w:szCs w:val="24"/>
        </w:rPr>
        <w:t>determinación pues los citados Autos no llegaron a concretarlo.</w:t>
      </w:r>
    </w:p>
    <w:p w14:paraId="009D62A7" w14:textId="77777777" w:rsidR="006F44C0" w:rsidRDefault="006F44C0" w:rsidP="002B2B12">
      <w:pPr>
        <w:spacing w:after="240"/>
      </w:pPr>
      <w:r>
        <w:t xml:space="preserve">El TC resolvió esta cuestión en la STC 155/2009, de 25 de junio. En ella identifica una serie de casos en lo que concurriría el requisito de la </w:t>
      </w:r>
      <w:r>
        <w:rPr>
          <w:i/>
        </w:rPr>
        <w:t>“</w:t>
      </w:r>
      <w:r w:rsidRPr="00F54CBD">
        <w:rPr>
          <w:i/>
        </w:rPr>
        <w:t>especial trascendencia constitucional</w:t>
      </w:r>
      <w:r>
        <w:rPr>
          <w:i/>
        </w:rPr>
        <w:t>”</w:t>
      </w:r>
      <w:r>
        <w:t xml:space="preserve">, casos que, como expondremos a continuación, no han sido lo suficientemente clarificadores. Para más incertidumbre, el propio TC señaló en la citada sentencia que no se trataba de un elenco definitivamente cerrado de casos, lo cual posibilita que se puedan incluir nuevos a los citados en la Sentencia. </w:t>
      </w:r>
    </w:p>
    <w:p w14:paraId="1A8EE0E3" w14:textId="77777777" w:rsidR="006F44C0" w:rsidRPr="00105658" w:rsidRDefault="006F44C0" w:rsidP="002B2B12">
      <w:pPr>
        <w:pStyle w:val="Ttulo4"/>
      </w:pPr>
      <w:bookmarkStart w:id="636" w:name="_Toc43121291"/>
      <w:bookmarkStart w:id="637" w:name="_Toc43121711"/>
      <w:bookmarkStart w:id="638" w:name="_Toc45731790"/>
      <w:bookmarkStart w:id="639" w:name="_Toc49866572"/>
      <w:r w:rsidRPr="00105658">
        <w:lastRenderedPageBreak/>
        <w:t>La determinación del concepto de la especial trascendencia constitucional: la STC 155/2009, de 25 de junio</w:t>
      </w:r>
      <w:bookmarkEnd w:id="636"/>
      <w:bookmarkEnd w:id="637"/>
      <w:bookmarkEnd w:id="638"/>
      <w:bookmarkEnd w:id="639"/>
    </w:p>
    <w:p w14:paraId="76563370" w14:textId="77777777" w:rsidR="006F44C0" w:rsidRPr="00105658" w:rsidRDefault="006F44C0" w:rsidP="002B2B12">
      <w:pPr>
        <w:pStyle w:val="Ttulo5"/>
        <w:spacing w:after="240"/>
      </w:pPr>
      <w:bookmarkStart w:id="640" w:name="_Toc43121292"/>
      <w:bookmarkStart w:id="641" w:name="_Toc45731791"/>
      <w:bookmarkStart w:id="642" w:name="_Toc49866573"/>
      <w:r w:rsidRPr="00105658">
        <w:t>Antecedentes directos: La STC 70/2009, de 23 de marzo</w:t>
      </w:r>
      <w:bookmarkEnd w:id="640"/>
      <w:bookmarkEnd w:id="641"/>
      <w:bookmarkEnd w:id="642"/>
    </w:p>
    <w:p w14:paraId="64003AC2" w14:textId="77777777" w:rsidR="006F44C0" w:rsidRDefault="006F44C0" w:rsidP="002B2B12">
      <w:pPr>
        <w:spacing w:after="240"/>
        <w:rPr>
          <w:highlight w:val="yellow"/>
        </w:rPr>
      </w:pPr>
      <w:r>
        <w:t>A</w:t>
      </w:r>
      <w:r w:rsidRPr="00A719A0">
        <w:t xml:space="preserve">ntes de </w:t>
      </w:r>
      <w:r>
        <w:t xml:space="preserve">centrarnos </w:t>
      </w:r>
      <w:r w:rsidRPr="00A719A0">
        <w:t xml:space="preserve">en la STC 155/2009, </w:t>
      </w:r>
      <w:r>
        <w:t xml:space="preserve">de 25 de junio, es necesario nombrar a su </w:t>
      </w:r>
      <w:r w:rsidRPr="00A719A0">
        <w:t>antecedente</w:t>
      </w:r>
      <w:r>
        <w:t xml:space="preserve"> directo,</w:t>
      </w:r>
      <w:r w:rsidRPr="00A719A0">
        <w:t xml:space="preserve"> la STC 70/2</w:t>
      </w:r>
      <w:r>
        <w:t xml:space="preserve">009, de 23 de marzo. La importancia de esta Sentencia radica en el hecho de que en ella encontramos por primera vez la mención de nuestro TC al </w:t>
      </w:r>
      <w:r w:rsidRPr="00A719A0">
        <w:t>primero de</w:t>
      </w:r>
      <w:r>
        <w:t xml:space="preserve"> los siete supuestos que posteriormente enumerará en la STC 155/2009 para </w:t>
      </w:r>
      <w:r w:rsidRPr="00A719A0">
        <w:t>dota</w:t>
      </w:r>
      <w:r>
        <w:t>r de contenido o determinar</w:t>
      </w:r>
      <w:r w:rsidRPr="00A719A0">
        <w:t xml:space="preserve"> qué es la especial</w:t>
      </w:r>
      <w:r>
        <w:t xml:space="preserve"> </w:t>
      </w:r>
      <w:r w:rsidRPr="00A719A0">
        <w:t>trascendencia constitucional</w:t>
      </w:r>
      <w:r>
        <w:t>.</w:t>
      </w:r>
      <w:r w:rsidRPr="00A719A0">
        <w:t xml:space="preserve"> </w:t>
      </w:r>
      <w:r>
        <w:t xml:space="preserve">En efecto, la STC 70/2009, en su FJ 1 establece lo siguiente: </w:t>
      </w:r>
      <w:r w:rsidRPr="004F5716">
        <w:rPr>
          <w:i/>
          <w:iCs/>
        </w:rPr>
        <w:t>«Este óbice de admisibilidad debe rechazarse. En primer lugar, porque tal justificación se contiene en la demanda de amparo y porque, además, concurre la especial trascendencia constitucional a la que se refiere, dado que se trata de una cuestión en la que este Tribunal no ha sentado doctrina».</w:t>
      </w:r>
      <w:r w:rsidRPr="00A719A0">
        <w:t xml:space="preserve"> Por tanto, </w:t>
      </w:r>
      <w:r>
        <w:t>podemos ver cómo el TC ya menciona la existencia de la</w:t>
      </w:r>
      <w:r w:rsidRPr="00A719A0">
        <w:t xml:space="preserve"> especial trascendencia constitucional cuando sobre la materia</w:t>
      </w:r>
      <w:r>
        <w:t xml:space="preserve"> </w:t>
      </w:r>
      <w:r w:rsidRPr="00A719A0">
        <w:t xml:space="preserve">objeto del recurso el Tribunal no ha sentado </w:t>
      </w:r>
      <w:r>
        <w:t xml:space="preserve">aún </w:t>
      </w:r>
      <w:r w:rsidRPr="00A719A0">
        <w:t>doctrina. Queda</w:t>
      </w:r>
      <w:r>
        <w:t xml:space="preserve"> además</w:t>
      </w:r>
      <w:r w:rsidRPr="00A719A0">
        <w:t xml:space="preserve"> patente el carácter</w:t>
      </w:r>
      <w:r>
        <w:t xml:space="preserve"> </w:t>
      </w:r>
      <w:r w:rsidRPr="00A719A0">
        <w:t>objetivo que adquiere el recurso de amparo tras la reforma de la LOTC</w:t>
      </w:r>
      <w:r>
        <w:t xml:space="preserve"> </w:t>
      </w:r>
      <w:r w:rsidRPr="00A719A0">
        <w:t xml:space="preserve">de 2007 </w:t>
      </w:r>
      <w:r>
        <w:t xml:space="preserve">en detrimento de su </w:t>
      </w:r>
      <w:r w:rsidRPr="00A719A0">
        <w:t xml:space="preserve">dimensión subjetiva. </w:t>
      </w:r>
      <w:r>
        <w:t>Este carácter objetivo del recurso de amparo, como podemos ver, no</w:t>
      </w:r>
      <w:r w:rsidRPr="00A719A0">
        <w:t xml:space="preserve"> sólo </w:t>
      </w:r>
      <w:r>
        <w:t xml:space="preserve">queda reflejado en su </w:t>
      </w:r>
      <w:r w:rsidRPr="00A719A0">
        <w:t>regulación legal,</w:t>
      </w:r>
      <w:r>
        <w:t xml:space="preserve"> sino también en</w:t>
      </w:r>
      <w:r w:rsidRPr="00A719A0">
        <w:t xml:space="preserve"> la línea interpretativa que el T</w:t>
      </w:r>
      <w:r>
        <w:t>C</w:t>
      </w:r>
      <w:r w:rsidRPr="00A719A0">
        <w:t xml:space="preserve"> comienza</w:t>
      </w:r>
      <w:r>
        <w:t xml:space="preserve"> </w:t>
      </w:r>
      <w:r w:rsidRPr="00A719A0">
        <w:t xml:space="preserve">a trazar </w:t>
      </w:r>
      <w:r>
        <w:t xml:space="preserve">en esta Sentencia </w:t>
      </w:r>
      <w:r w:rsidRPr="00A719A0">
        <w:t xml:space="preserve">y </w:t>
      </w:r>
      <w:r>
        <w:t xml:space="preserve">que queda </w:t>
      </w:r>
      <w:r w:rsidRPr="00A719A0">
        <w:t>consolida</w:t>
      </w:r>
      <w:r>
        <w:t>do</w:t>
      </w:r>
      <w:r w:rsidRPr="00A719A0">
        <w:t xml:space="preserve"> en la</w:t>
      </w:r>
      <w:r>
        <w:t xml:space="preserve"> posterior Sentencia</w:t>
      </w:r>
      <w:r w:rsidRPr="00A719A0">
        <w:t xml:space="preserve"> 155/2009, de 25 de junio.</w:t>
      </w:r>
    </w:p>
    <w:p w14:paraId="77DB140B" w14:textId="77777777" w:rsidR="006F44C0" w:rsidRPr="004064E4" w:rsidRDefault="006F44C0" w:rsidP="002B2B12">
      <w:pPr>
        <w:spacing w:after="240"/>
        <w:rPr>
          <w:highlight w:val="yellow"/>
        </w:rPr>
      </w:pPr>
    </w:p>
    <w:p w14:paraId="2A9CD598" w14:textId="77777777" w:rsidR="006F44C0" w:rsidRPr="00105658" w:rsidRDefault="006F44C0" w:rsidP="002B2B12">
      <w:pPr>
        <w:pStyle w:val="Ttulo5"/>
        <w:spacing w:after="240"/>
      </w:pPr>
      <w:bookmarkStart w:id="643" w:name="_Toc45731792"/>
      <w:bookmarkStart w:id="644" w:name="_Toc49866574"/>
      <w:r w:rsidRPr="00105658">
        <w:t>Contenido de la STC 155/2009, de 25 de junio</w:t>
      </w:r>
      <w:bookmarkEnd w:id="643"/>
      <w:bookmarkEnd w:id="644"/>
    </w:p>
    <w:p w14:paraId="5DBAFBC3" w14:textId="77777777" w:rsidR="006F44C0" w:rsidRPr="0017023A" w:rsidRDefault="006F44C0" w:rsidP="002B2B12">
      <w:pPr>
        <w:spacing w:after="240"/>
      </w:pPr>
      <w:r w:rsidRPr="0017023A">
        <w:t xml:space="preserve">En el caso planteado por esta </w:t>
      </w:r>
      <w:r>
        <w:t>S</w:t>
      </w:r>
      <w:r w:rsidRPr="0017023A">
        <w:t>entencia, la fundamentación jurídica de la demanda de amparo presentada denuncia la vulneración del derecho a la tutela judicial efectiva (art. 24.1 CE) por vulneración del principio acusatorio y por falta de motivación de la individualización de la pena.</w:t>
      </w:r>
    </w:p>
    <w:p w14:paraId="695955FB" w14:textId="77777777" w:rsidR="006F44C0" w:rsidRPr="0017023A" w:rsidRDefault="006F44C0" w:rsidP="002B2B12">
      <w:pPr>
        <w:spacing w:after="240"/>
      </w:pPr>
      <w:r w:rsidRPr="0017023A">
        <w:t>Ello en base a lo siguiente:</w:t>
      </w:r>
    </w:p>
    <w:p w14:paraId="23447ED6" w14:textId="77777777" w:rsidR="006F44C0" w:rsidRPr="0017023A" w:rsidRDefault="006F44C0" w:rsidP="002B2B12">
      <w:pPr>
        <w:spacing w:after="240"/>
      </w:pPr>
      <w:r w:rsidRPr="0017023A">
        <w:lastRenderedPageBreak/>
        <w:t>Se impuso una condena de distinta naturaleza a la pedida por el Ministerio Fiscal (única acusación) y que excede los límites superiores que éste interesó.</w:t>
      </w:r>
    </w:p>
    <w:p w14:paraId="15C2ACDD" w14:textId="77777777" w:rsidR="006F44C0" w:rsidRPr="0017023A" w:rsidRDefault="006F44C0" w:rsidP="002B2B12">
      <w:pPr>
        <w:spacing w:after="240"/>
      </w:pPr>
      <w:r w:rsidRPr="0017023A">
        <w:t>Falta de motivación de la sentencia en cuanto a la concreta individualización de la pena impuesta.</w:t>
      </w:r>
    </w:p>
    <w:p w14:paraId="686E5AF2" w14:textId="10882B36" w:rsidR="006F44C0" w:rsidRPr="0017023A" w:rsidRDefault="006F44C0" w:rsidP="002B2B12">
      <w:pPr>
        <w:spacing w:after="240"/>
      </w:pPr>
      <w:r w:rsidRPr="0017023A">
        <w:t xml:space="preserve">La demanda justifica la especial trascendencia constitucional basándose </w:t>
      </w:r>
      <w:r w:rsidR="007B7556" w:rsidRPr="0017023A">
        <w:t>en la</w:t>
      </w:r>
      <w:r w:rsidRPr="0017023A">
        <w:t xml:space="preserve"> necesidad de que se dicte doctrina por parte del TC sobre los siguientes extremos: </w:t>
      </w:r>
    </w:p>
    <w:p w14:paraId="6CA3ECBF" w14:textId="77777777" w:rsidR="006F44C0" w:rsidRPr="0017023A" w:rsidRDefault="006F44C0" w:rsidP="002B2B12">
      <w:pPr>
        <w:spacing w:after="240"/>
      </w:pPr>
      <w:r w:rsidRPr="0017023A">
        <w:t xml:space="preserve">Si la imposición de condena de diferente naturaleza a la interesada por la única acusación actuante, aun a pesar de derivar de la literalidad del tipo penal, implica una lesión del derecho a la tutela judicial efectiva por vulneración del principio acusatorio; </w:t>
      </w:r>
    </w:p>
    <w:p w14:paraId="67BE5EBC" w14:textId="77777777" w:rsidR="006F44C0" w:rsidRPr="0017023A" w:rsidRDefault="006F44C0" w:rsidP="002B2B12">
      <w:pPr>
        <w:spacing w:after="240"/>
      </w:pPr>
      <w:r w:rsidRPr="0017023A">
        <w:t>Si la imposición de una condena por encima de los mínimos legales, en caso de falta de motivación de las razones de tal individualización punitiva, implica la vulneración del derecho a la tutela judicial efectiva por falta de motivación.</w:t>
      </w:r>
    </w:p>
    <w:p w14:paraId="0D453C2D" w14:textId="77777777" w:rsidR="006F44C0" w:rsidRDefault="006F44C0" w:rsidP="002B2B12">
      <w:pPr>
        <w:spacing w:after="240"/>
      </w:pPr>
      <w:r w:rsidRPr="0017023A">
        <w:t>El TC entiende que concurre el requisito de la especial tra</w:t>
      </w:r>
      <w:r>
        <w:t>scendencia constitucional debido a que este caso</w:t>
      </w:r>
      <w:r w:rsidRPr="0017023A">
        <w:t xml:space="preserve"> le permite aclarar e incluso perfilar, como consecuencia de un proceso de reflexión interna, la doctrina constitucional sobre la exigencia de congruencia entre la acusación y el fallo en el extremo referido a la pena a imponer, en cuanto manifestación del principio acusatorio.</w:t>
      </w:r>
      <w:r>
        <w:t xml:space="preserve"> </w:t>
      </w:r>
    </w:p>
    <w:p w14:paraId="342230B6" w14:textId="77777777" w:rsidR="006F44C0" w:rsidRPr="0017023A" w:rsidRDefault="006F44C0" w:rsidP="002B2B12">
      <w:pPr>
        <w:spacing w:after="240"/>
      </w:pPr>
      <w:r>
        <w:t>Vemos pues una afirmación un carácter novedoso ya que, hasta la fecha, el TC no había determinado que el hecho de que un caso le permita perfilar la doctrina constitucional sobre un tema haga que éste posea especial trascendencia constitucional.</w:t>
      </w:r>
    </w:p>
    <w:p w14:paraId="1EB38FF5" w14:textId="77777777" w:rsidR="006F44C0" w:rsidRPr="0017023A" w:rsidRDefault="006F44C0" w:rsidP="002B2B12">
      <w:pPr>
        <w:spacing w:after="240"/>
      </w:pPr>
      <w:r w:rsidRPr="0017023A">
        <w:t xml:space="preserve">La sentencia califica el requisito de la especial trascendencia constitucional como un </w:t>
      </w:r>
      <w:r w:rsidRPr="0017023A">
        <w:rPr>
          <w:i/>
        </w:rPr>
        <w:t>“requisito sustantivo o de fondo”</w:t>
      </w:r>
      <w:r w:rsidRPr="0017023A">
        <w:t xml:space="preserve"> necesario para la admisión del recurso.</w:t>
      </w:r>
    </w:p>
    <w:p w14:paraId="69A67BAC" w14:textId="77777777" w:rsidR="006F44C0" w:rsidRPr="0017023A" w:rsidRDefault="006F44C0" w:rsidP="002B2B12">
      <w:pPr>
        <w:spacing w:after="240"/>
      </w:pPr>
      <w:r>
        <w:t>Resalta el Alto Tribunal</w:t>
      </w:r>
      <w:r w:rsidRPr="0017023A">
        <w:t xml:space="preserve"> que, tras la reforma, la mera lesión de un derecho fundamental o libertad pública tutelable de amparo ya no bastará para admitir el recurso, siendo imprescindible </w:t>
      </w:r>
      <w:r>
        <w:t xml:space="preserve">para ello que el caso posea </w:t>
      </w:r>
      <w:r w:rsidRPr="0017023A">
        <w:t>especial trascendencia constitucional.</w:t>
      </w:r>
      <w:r>
        <w:t xml:space="preserve"> Esta afirmación ya la hizo en el ATC 188/2008. </w:t>
      </w:r>
      <w:r w:rsidRPr="0017023A">
        <w:t xml:space="preserve">Podemos destacar que anteriormente lo que destacaba en la configuración del recurso era su caracterización en tanto que recurso orientado principalmente a reparar lesiones causadas en los derechos fundamentales y libertades públicas susceptibles de amparo. Ahora, el recurso de amparo seguirá siendo </w:t>
      </w:r>
      <w:r w:rsidRPr="0017023A">
        <w:lastRenderedPageBreak/>
        <w:t>un recurso de tutela de derechos fundamentales, aunque dejará atrás este carácter de recurso reparador de lesiones de derechos fundamentales orientándose en una vertiente más objetiva.</w:t>
      </w:r>
    </w:p>
    <w:p w14:paraId="32E3753D" w14:textId="77777777" w:rsidR="006F44C0" w:rsidRPr="0017023A" w:rsidRDefault="006F44C0" w:rsidP="002B2B12">
      <w:pPr>
        <w:spacing w:after="240"/>
      </w:pPr>
      <w:r w:rsidRPr="0017023A">
        <w:t xml:space="preserve">Añade la </w:t>
      </w:r>
      <w:r>
        <w:t>S</w:t>
      </w:r>
      <w:r w:rsidRPr="0017023A">
        <w:t xml:space="preserve">entencia que se confiere a los Jueces y Tribunales ordinarios un mayor protagonismo en la protección de los derechos fundamentales (ampliación del incidente de nulidad de actuaciones), que culmina en el TC que, además de garante último, es su máximo intérprete. Es </w:t>
      </w:r>
      <w:r>
        <w:t>a este Tribunal</w:t>
      </w:r>
      <w:r w:rsidRPr="0017023A">
        <w:t xml:space="preserve"> a quien corresponde apreciar la existencia o inexistencia de la especial trascendencia constitucional.</w:t>
      </w:r>
    </w:p>
    <w:p w14:paraId="5B157362" w14:textId="77777777" w:rsidR="006F44C0" w:rsidRPr="0017023A" w:rsidRDefault="006F44C0" w:rsidP="002B2B12">
      <w:pPr>
        <w:spacing w:after="240"/>
      </w:pPr>
      <w:r w:rsidRPr="0017023A">
        <w:t xml:space="preserve">Se aprecia, por tanto, un amplio margen decisorio del TC para estimar cuándo el contenido de un recurso de amparo justifica una decisión sobre el fondo en razón de su especial trascendencia constitucional. </w:t>
      </w:r>
    </w:p>
    <w:p w14:paraId="60F868B7" w14:textId="25E8D0B6" w:rsidR="006F44C0" w:rsidRPr="0017023A" w:rsidRDefault="006F44C0" w:rsidP="002B2B12">
      <w:pPr>
        <w:spacing w:after="240"/>
      </w:pPr>
      <w:r>
        <w:t>Teniendo en cuenta este</w:t>
      </w:r>
      <w:r w:rsidRPr="0017023A">
        <w:t xml:space="preserve"> amplio margen decisorio del que goza el TC a la hora de estimar cuándo el contenido de un recurso de </w:t>
      </w:r>
      <w:r w:rsidR="00105658" w:rsidRPr="0017023A">
        <w:t>amparo justifica</w:t>
      </w:r>
      <w:r w:rsidRPr="0017023A">
        <w:t xml:space="preserve"> una decisión sobre el fondo en razón de su especial trascendencia constitucional, se hizo necesaria por parte de éste la concreción de unos determinados casos en los que concurriese esa especial trascendencia constitucional.</w:t>
      </w:r>
    </w:p>
    <w:p w14:paraId="34D626D2" w14:textId="1C043F3C" w:rsidR="006F44C0" w:rsidRDefault="006F44C0" w:rsidP="002B2B12">
      <w:pPr>
        <w:spacing w:after="240"/>
      </w:pPr>
      <w:r w:rsidRPr="0017023A">
        <w:t>Ante esta necesidad, el TC estableció en esta Sentencia 155/2009</w:t>
      </w:r>
      <w:r>
        <w:t xml:space="preserve">, concretamente en el FJ </w:t>
      </w:r>
      <w:r w:rsidR="00105658">
        <w:t xml:space="preserve">2, </w:t>
      </w:r>
      <w:r w:rsidR="00105658" w:rsidRPr="0017023A">
        <w:t>una</w:t>
      </w:r>
      <w:r w:rsidRPr="0017023A">
        <w:t xml:space="preserve"> serie de casos en los que considera que cabe apreciar que el contenido del recurso de amparo justifica una decisión sobre el fondo en razón de su especial trascendencia constitucional. </w:t>
      </w:r>
      <w:r>
        <w:t xml:space="preserve">Destacar, además, que en este mismo fundamente jurídico, el propio TC aludió </w:t>
      </w:r>
      <w:r w:rsidRPr="00411033">
        <w:t>«el carácter notablemente abierto e indeterminado,</w:t>
      </w:r>
      <w:r>
        <w:t xml:space="preserve"> </w:t>
      </w:r>
      <w:r w:rsidRPr="00411033">
        <w:t>tanto de la noción de «especial trascendencia constitucional»,</w:t>
      </w:r>
      <w:r>
        <w:t xml:space="preserve"> </w:t>
      </w:r>
      <w:r w:rsidRPr="00411033">
        <w:t>como de los criterios legalmente establecidos para su apreciación».</w:t>
      </w:r>
      <w:r>
        <w:t xml:space="preserve"> </w:t>
      </w:r>
      <w:r w:rsidRPr="00411033">
        <w:t>Por tanto</w:t>
      </w:r>
      <w:r>
        <w:t>, e</w:t>
      </w:r>
      <w:r w:rsidRPr="00411033">
        <w:t xml:space="preserve">l </w:t>
      </w:r>
      <w:r>
        <w:t>propio Tribunal era plenamente consciente de que nos encontrábamos</w:t>
      </w:r>
      <w:r w:rsidRPr="00411033">
        <w:t xml:space="preserve"> ante un concepto jurídico</w:t>
      </w:r>
      <w:r>
        <w:t xml:space="preserve"> </w:t>
      </w:r>
      <w:r w:rsidRPr="00411033">
        <w:t xml:space="preserve">indeterminado </w:t>
      </w:r>
      <w:r>
        <w:t xml:space="preserve">que era absolutamente necesario concretar en pro de la seguridad jurídica de nuestro sistema constitucional. </w:t>
      </w:r>
    </w:p>
    <w:p w14:paraId="169C272D" w14:textId="2FA5777B" w:rsidR="006F44C0" w:rsidRDefault="006F44C0" w:rsidP="002B2B12">
      <w:pPr>
        <w:spacing w:after="240"/>
      </w:pPr>
      <w:r>
        <w:t>Lo primero que debemos apuntar es que</w:t>
      </w:r>
      <w:r w:rsidRPr="0017023A">
        <w:t xml:space="preserve"> estos casos no</w:t>
      </w:r>
      <w:r>
        <w:t xml:space="preserve"> constituyen</w:t>
      </w:r>
      <w:r w:rsidRPr="0017023A">
        <w:t xml:space="preserve"> un elenco cerrado, sino que, por el contrario, el TC destacó que </w:t>
      </w:r>
      <w:r w:rsidR="00105658" w:rsidRPr="0017023A">
        <w:t>pueden incluirse</w:t>
      </w:r>
      <w:r w:rsidRPr="0017023A">
        <w:t xml:space="preserve"> atendiendo a las circunstancias concretas otros supuestos diferentes. Se dejó así una puerta abierta a la inclusión de otros supuestos de especial trascendencia constitucional atendiendo a la valoración del TC de cada caso concreto.</w:t>
      </w:r>
      <w:r>
        <w:t xml:space="preserve"> </w:t>
      </w:r>
    </w:p>
    <w:p w14:paraId="7F979780" w14:textId="77777777" w:rsidR="006F44C0" w:rsidRDefault="006F44C0" w:rsidP="002B2B12">
      <w:pPr>
        <w:spacing w:after="240"/>
      </w:pPr>
      <w:r>
        <w:lastRenderedPageBreak/>
        <w:t xml:space="preserve">Destacar que, con posterioridad, en la </w:t>
      </w:r>
      <w:r w:rsidRPr="00F447A0">
        <w:t xml:space="preserve">STC 2/2013, de 14 de enero, FJ </w:t>
      </w:r>
      <w:r>
        <w:t xml:space="preserve">3, el Tribunal justificó este hecho explicando que </w:t>
      </w:r>
      <w:r w:rsidRPr="00F447A0">
        <w:rPr>
          <w:i/>
          <w:iCs/>
        </w:rPr>
        <w:t>«en el bien entendido de que esa enumeración no ha de ser considerada como un elenco definitivamente cerrado de casos en los que un recurso de amparo tiene especial trascendencia constitucional, pues a ello se opone el carácter dinámico del ejercicio de la jurisdicción constitucional, en cuyo desempeño no puede descartarse, a partir de la casuística que se presente, la necesidad de perfilar o depurar conceptos, redefinir supuestos contemplados, añadir otros nuevos o excluir alguno inicialmente incluido»</w:t>
      </w:r>
      <w:r>
        <w:t>.</w:t>
      </w:r>
      <w:r w:rsidRPr="00F447A0">
        <w:t xml:space="preserve"> </w:t>
      </w:r>
    </w:p>
    <w:p w14:paraId="759C0581" w14:textId="2F9A46FD" w:rsidR="006F44C0" w:rsidRDefault="006F44C0" w:rsidP="002B2B12">
      <w:pPr>
        <w:spacing w:after="240"/>
      </w:pPr>
      <w:r>
        <w:t xml:space="preserve">Consideramos que, si bien es cierto que el carácter abierto del elenco de casos sigue dejando gran indeterminación respecto al concepto de especial trascendencia constitucional, entendemos el sentido de ello ya que, como manifestó el TC, es difícil mantener una enumeración totalmente blindada de supuestos teniendo en cuenta este carácter dinámico y de continua evolución de la jurisdicción constitucional y, no </w:t>
      </w:r>
      <w:r w:rsidR="00105658">
        <w:t>solo</w:t>
      </w:r>
      <w:r>
        <w:t xml:space="preserve"> eso, sino también la propia evolución y avance de la sociedad.</w:t>
      </w:r>
    </w:p>
    <w:p w14:paraId="7D8C1760" w14:textId="77777777" w:rsidR="006F44C0" w:rsidRDefault="006F44C0" w:rsidP="002B2B12">
      <w:pPr>
        <w:spacing w:after="240"/>
      </w:pPr>
      <w:r>
        <w:t>Comentemos a continuación cada uno de ellos:</w:t>
      </w:r>
    </w:p>
    <w:p w14:paraId="0269C546" w14:textId="77777777" w:rsidR="006F44C0" w:rsidRPr="00105658" w:rsidRDefault="006F44C0" w:rsidP="001A4310">
      <w:pPr>
        <w:pStyle w:val="Prrafodelista"/>
        <w:numPr>
          <w:ilvl w:val="0"/>
          <w:numId w:val="31"/>
        </w:numPr>
      </w:pPr>
      <w:r w:rsidRPr="00105658">
        <w:t>1.- Existencia de cuestión nueva (apartado “a” del listado)</w:t>
      </w:r>
      <w:r w:rsidRPr="00105658">
        <w:rPr>
          <w:rStyle w:val="Refdenotaalpie"/>
          <w:szCs w:val="24"/>
        </w:rPr>
        <w:footnoteReference w:id="250"/>
      </w:r>
    </w:p>
    <w:p w14:paraId="2EC1CA99" w14:textId="0EA0C7DD" w:rsidR="006F44C0" w:rsidRDefault="006F44C0" w:rsidP="002B2B12">
      <w:pPr>
        <w:spacing w:after="240"/>
      </w:pPr>
      <w:r>
        <w:t xml:space="preserve">El primero de los supuestos enunciados por el TC hace referencia a casos en los que </w:t>
      </w:r>
      <w:r w:rsidR="00105658">
        <w:t xml:space="preserve">se </w:t>
      </w:r>
      <w:r w:rsidR="00105658" w:rsidRPr="0094017C">
        <w:t>plantee</w:t>
      </w:r>
      <w:r w:rsidRPr="0094017C">
        <w:t xml:space="preserve"> un problema o una faceta de un derecho fundamental susceptible de amparo sobre el que no haya doctrina del TC</w:t>
      </w:r>
      <w:r>
        <w:t>.</w:t>
      </w:r>
    </w:p>
    <w:p w14:paraId="5B8623F4" w14:textId="77777777" w:rsidR="006F44C0" w:rsidRDefault="006F44C0" w:rsidP="002B2B12">
      <w:pPr>
        <w:spacing w:after="240"/>
      </w:pPr>
      <w:r>
        <w:t>Se trataría de supuesto, en principio, bastante claro ya que estaríamos hablando de casos en los que se plantean cuestiones que no han sido resueltas por nuestro TC o que no estarían lo suficientemente desarrolladas por su jurisprudencia.</w:t>
      </w:r>
      <w:r>
        <w:rPr>
          <w:rStyle w:val="Refdenotaalpie"/>
          <w:szCs w:val="24"/>
        </w:rPr>
        <w:footnoteReference w:id="251"/>
      </w:r>
      <w:r>
        <w:t xml:space="preserve"> Debemos precisar que </w:t>
      </w:r>
      <w:r w:rsidRPr="0094017C">
        <w:t>la novedad no se refiere al supuesto fáctico sino al contenido del derecho fundamental invocado y sobre el cual no hubiera aún doctrina constitucional.</w:t>
      </w:r>
      <w:r>
        <w:rPr>
          <w:rStyle w:val="Refdenotaalpie"/>
          <w:szCs w:val="24"/>
        </w:rPr>
        <w:footnoteReference w:id="252"/>
      </w:r>
      <w:r>
        <w:t xml:space="preserve"> Un ejemplo de esto sería el </w:t>
      </w:r>
      <w:r w:rsidRPr="00053A95">
        <w:t>supuesto ya enunciado en la STC 70/2009</w:t>
      </w:r>
      <w:r>
        <w:t>.</w:t>
      </w:r>
    </w:p>
    <w:p w14:paraId="441E265A" w14:textId="77777777" w:rsidR="006F44C0" w:rsidRDefault="006F44C0" w:rsidP="002B2B12">
      <w:pPr>
        <w:spacing w:after="240"/>
      </w:pPr>
      <w:r>
        <w:lastRenderedPageBreak/>
        <w:t xml:space="preserve">Indica el TC que esta nueva cuestión puede </w:t>
      </w:r>
      <w:r w:rsidRPr="0094017C">
        <w:t xml:space="preserve">versar sobre dos aspectos distintos del derecho fundamental: o bien sobre un “problema” de éste o bien sobre “una nueva faceta” del derecho fundamental. </w:t>
      </w:r>
      <w:r>
        <w:t>El primer aspecto se referiría a cambios o añadidos que puedan añadirse sobre la naturaleza de un derecho que ya hubiese sido previamente definido, su titularidad, contenido ejercicio, etc. Así como la identificación de nuevos casos que muestran la lesión de este derecho pero que hasta ahora no habían sido considerados como considerados como tales en la jurisprudencia.</w:t>
      </w:r>
      <w:r>
        <w:rPr>
          <w:rStyle w:val="Refdenotaalpie"/>
          <w:szCs w:val="24"/>
        </w:rPr>
        <w:footnoteReference w:id="253"/>
      </w:r>
      <w:r>
        <w:t xml:space="preserve"> Respecto al segundo aspecto, la faceta de un</w:t>
      </w:r>
      <w:r w:rsidRPr="0094017C">
        <w:t xml:space="preserve"> derec</w:t>
      </w:r>
      <w:r>
        <w:t>ho fundamental, parece referirse más a una</w:t>
      </w:r>
      <w:r w:rsidRPr="0094017C">
        <w:t xml:space="preserve"> manifestación o expresión del derecho</w:t>
      </w:r>
      <w:r>
        <w:t xml:space="preserve"> inédita</w:t>
      </w:r>
      <w:r w:rsidRPr="0094017C">
        <w:t xml:space="preserve"> o </w:t>
      </w:r>
      <w:r>
        <w:t xml:space="preserve">a </w:t>
      </w:r>
      <w:r w:rsidRPr="0094017C">
        <w:t>su proyección sobre determinados tipos de resoluciones j</w:t>
      </w:r>
      <w:r>
        <w:t>udiciales para los que no exista aún doctrina del TC</w:t>
      </w:r>
      <w:r w:rsidRPr="0094017C">
        <w:t>.</w:t>
      </w:r>
    </w:p>
    <w:p w14:paraId="53B214F3" w14:textId="77777777" w:rsidR="006F44C0" w:rsidRPr="00105658" w:rsidRDefault="006F44C0" w:rsidP="001A4310">
      <w:pPr>
        <w:pStyle w:val="Prrafodelista"/>
        <w:numPr>
          <w:ilvl w:val="0"/>
          <w:numId w:val="31"/>
        </w:numPr>
      </w:pPr>
      <w:r w:rsidRPr="00105658">
        <w:t>2.- Aclaración o cambio de la doctrina constitucional (apartado “b” del listado)</w:t>
      </w:r>
      <w:r w:rsidRPr="00105658">
        <w:rPr>
          <w:rStyle w:val="Refdenotaalpie"/>
          <w:szCs w:val="24"/>
        </w:rPr>
        <w:footnoteReference w:id="254"/>
      </w:r>
    </w:p>
    <w:p w14:paraId="71DA8857" w14:textId="77777777" w:rsidR="006F44C0" w:rsidRPr="0094017C" w:rsidRDefault="006F44C0" w:rsidP="002B2B12">
      <w:pPr>
        <w:spacing w:after="240"/>
      </w:pPr>
      <w:r>
        <w:t>Este segundo supuesto atendería a aquellos casos en los que la resolución d</w:t>
      </w:r>
      <w:r w:rsidRPr="0094017C">
        <w:t>el recurso d</w:t>
      </w:r>
      <w:r>
        <w:t>iera</w:t>
      </w:r>
      <w:r w:rsidRPr="0094017C">
        <w:t xml:space="preserve"> oc</w:t>
      </w:r>
      <w:r>
        <w:t xml:space="preserve">asión al Tribunal a </w:t>
      </w:r>
      <w:r w:rsidRPr="0094017C">
        <w:t>aclarar o cambiar su doctrina, como consecuencia de un proceso de reflexión interna, o por el surgimiento de nuevas realidades sociales o de cambios normativos relevantes para la configuración del contenido del derecho fundamental, o de un cambio en la doctrina de los órganos de garantía encargados de la interpretación de los tratados y acuerdos internacionales a los que se refiere el artículo 10.2.</w:t>
      </w:r>
    </w:p>
    <w:p w14:paraId="67AD582E" w14:textId="77777777" w:rsidR="006F44C0" w:rsidRDefault="006F44C0" w:rsidP="002B2B12">
      <w:pPr>
        <w:spacing w:after="240"/>
      </w:pPr>
      <w:r>
        <w:t xml:space="preserve">En este caso, la importancia no radicaría en la </w:t>
      </w:r>
      <w:r w:rsidRPr="0094017C">
        <w:t xml:space="preserve">novedad </w:t>
      </w:r>
      <w:r>
        <w:t>del supuesto en cuestión, sino en la evolución de un</w:t>
      </w:r>
      <w:r w:rsidRPr="0094017C">
        <w:t xml:space="preserve"> derecho</w:t>
      </w:r>
      <w:r>
        <w:t>. E</w:t>
      </w:r>
      <w:r w:rsidRPr="0094017C">
        <w:t xml:space="preserve">ste </w:t>
      </w:r>
      <w:r>
        <w:t xml:space="preserve">cambio en la doctrina del TC podría deberse a diversos motivos que el propio Tribunal menciona en la Sentencia: </w:t>
      </w:r>
    </w:p>
    <w:p w14:paraId="001CD02E" w14:textId="77777777" w:rsidR="006F44C0" w:rsidRPr="0086476A" w:rsidRDefault="006F44C0" w:rsidP="002B2B12">
      <w:pPr>
        <w:spacing w:after="240"/>
      </w:pPr>
      <w:r w:rsidRPr="0086476A">
        <w:t>Una evolución interna en la doctrina del TC que es el supuesto más genérico y abierto y que deja actuar al TC en su labor interpretativa en materia de amparo.</w:t>
      </w:r>
    </w:p>
    <w:p w14:paraId="6C6B24AA" w14:textId="77777777" w:rsidR="006F44C0" w:rsidRDefault="006F44C0" w:rsidP="002B2B12">
      <w:pPr>
        <w:spacing w:after="240"/>
      </w:pPr>
      <w:r>
        <w:t>L</w:t>
      </w:r>
      <w:r w:rsidRPr="0086476A">
        <w:t>a aparición de nuevas realidades sociales</w:t>
      </w:r>
      <w:r>
        <w:t>.</w:t>
      </w:r>
    </w:p>
    <w:p w14:paraId="656A7130" w14:textId="77777777" w:rsidR="006F44C0" w:rsidRDefault="006F44C0" w:rsidP="002B2B12">
      <w:pPr>
        <w:spacing w:after="240"/>
      </w:pPr>
      <w:r>
        <w:lastRenderedPageBreak/>
        <w:t>C</w:t>
      </w:r>
      <w:r w:rsidRPr="0086476A">
        <w:t>ambios normativos</w:t>
      </w:r>
    </w:p>
    <w:p w14:paraId="3F852829" w14:textId="77777777" w:rsidR="006F44C0" w:rsidRPr="0086476A" w:rsidRDefault="006F44C0" w:rsidP="002B2B12">
      <w:pPr>
        <w:spacing w:after="240"/>
      </w:pPr>
      <w:r>
        <w:t>L</w:t>
      </w:r>
      <w:r w:rsidRPr="0086476A">
        <w:t>as pautas marcadas básicamente en materia de derechos por el TEDH.</w:t>
      </w:r>
      <w:r>
        <w:rPr>
          <w:rStyle w:val="Refdenotaalpie"/>
          <w:szCs w:val="24"/>
        </w:rPr>
        <w:footnoteReference w:id="255"/>
      </w:r>
    </w:p>
    <w:p w14:paraId="7262920C" w14:textId="77777777" w:rsidR="006F44C0" w:rsidRDefault="006F44C0" w:rsidP="002B2B12">
      <w:pPr>
        <w:spacing w:after="240"/>
      </w:pPr>
      <w:r>
        <w:t>En el caso de la propia ST</w:t>
      </w:r>
      <w:r w:rsidRPr="0094017C">
        <w:t>C 155/2009</w:t>
      </w:r>
      <w:r>
        <w:t>,</w:t>
      </w:r>
      <w:r w:rsidRPr="0094017C">
        <w:t xml:space="preserve"> el TC cambi</w:t>
      </w:r>
      <w:r>
        <w:t>ó</w:t>
      </w:r>
      <w:r w:rsidRPr="0094017C">
        <w:t xml:space="preserve"> su doctrina sobre el principio acusatorio en el punto relativo a la vinculación del juez con la concreta petición de la pena de las acu</w:t>
      </w:r>
      <w:r>
        <w:t>saciones.</w:t>
      </w:r>
    </w:p>
    <w:p w14:paraId="4A89B871" w14:textId="77777777" w:rsidR="006F44C0" w:rsidRPr="00105658" w:rsidRDefault="006F44C0" w:rsidP="001A4310">
      <w:pPr>
        <w:pStyle w:val="Prrafodelista"/>
        <w:numPr>
          <w:ilvl w:val="0"/>
          <w:numId w:val="31"/>
        </w:numPr>
      </w:pPr>
      <w:r w:rsidRPr="00105658">
        <w:t>3.- Inconstitucionalidad de la norma en la que se basa el acto impugnado, (apartado “c” del listado)</w:t>
      </w:r>
      <w:r w:rsidRPr="00105658">
        <w:rPr>
          <w:rStyle w:val="Refdenotaalpie"/>
          <w:szCs w:val="24"/>
        </w:rPr>
        <w:footnoteReference w:id="256"/>
      </w:r>
    </w:p>
    <w:p w14:paraId="2075980D" w14:textId="77777777" w:rsidR="006F44C0" w:rsidRDefault="006F44C0" w:rsidP="002B2B12">
      <w:pPr>
        <w:spacing w:after="240"/>
      </w:pPr>
      <w:r>
        <w:t>E</w:t>
      </w:r>
      <w:r w:rsidRPr="00BA06B5">
        <w:t>ste tercer motivo abarcaría un supuesto propio o prototípico, y otro impropio o de interpretación extensiva. El primero sería el que se derivase de la lectura literal del apartado al que se refiera la disposición general que se utilice como base del acto impugnado en amparo. En este caso, ese mismo apartado o disposición resultaría inconstitucional por vulnerar un derecho fundamental, de manera que la autoridad lo que habría hecho es limitarse a aplicar la norma, contagiando así su inconstitucionalidad al acto concreto. Por su parte, el supuesto impropio o de interpretación extensiva, podría consistir en la hipótesis de que el Tribunal haya declarado inconstitucional una norma general y un órgano judicial a posteriori, por desconocimiento de ello, resolviese una controversia con arreglo a la norma ya jurídicamente inexistente.</w:t>
      </w:r>
      <w:r>
        <w:rPr>
          <w:rStyle w:val="Refdenotaalpie"/>
          <w:szCs w:val="24"/>
        </w:rPr>
        <w:footnoteReference w:id="257"/>
      </w:r>
    </w:p>
    <w:p w14:paraId="5A56EBC2" w14:textId="77777777" w:rsidR="006F44C0" w:rsidRPr="00105658" w:rsidRDefault="006F44C0" w:rsidP="001A4310">
      <w:pPr>
        <w:pStyle w:val="Prrafodelista"/>
        <w:numPr>
          <w:ilvl w:val="0"/>
          <w:numId w:val="32"/>
        </w:numPr>
      </w:pPr>
      <w:r w:rsidRPr="00105658">
        <w:t>4.- Interpretación jurisprudencial reiterada de la ley que el TC considere lesiva del derecho fundamental (apartado “d” del listado)</w:t>
      </w:r>
      <w:r w:rsidRPr="00105658">
        <w:rPr>
          <w:rStyle w:val="Refdenotaalpie"/>
          <w:szCs w:val="24"/>
        </w:rPr>
        <w:footnoteReference w:id="258"/>
      </w:r>
    </w:p>
    <w:p w14:paraId="539F64CA" w14:textId="77777777" w:rsidR="006F44C0" w:rsidRDefault="006F44C0" w:rsidP="002B2B12">
      <w:pPr>
        <w:spacing w:after="240"/>
      </w:pPr>
      <w:r w:rsidRPr="00CB1367">
        <w:t>En los casos en que la vulneración del derecho fundamental tenga su causa en una reiterada interpretación jurisprudencial de la ley que el TC considere lesiva del derecho fundamental y crea necesario proclamar otra interpretación conforme a la Constitución.</w:t>
      </w:r>
    </w:p>
    <w:p w14:paraId="24EA8821" w14:textId="77777777" w:rsidR="006F44C0" w:rsidRPr="00CB1367" w:rsidRDefault="006F44C0" w:rsidP="002B2B12">
      <w:pPr>
        <w:spacing w:after="240"/>
      </w:pPr>
      <w:r>
        <w:lastRenderedPageBreak/>
        <w:t xml:space="preserve">Destacar que nos referiríamos </w:t>
      </w:r>
      <w:r w:rsidRPr="006061EB">
        <w:t xml:space="preserve">a una interpretación de uno o más tribunales ordinarios, respecto de uno o más preceptos legales, </w:t>
      </w:r>
      <w:r>
        <w:t xml:space="preserve">lesiva de derechos fundamentales, </w:t>
      </w:r>
      <w:r w:rsidRPr="006061EB">
        <w:t xml:space="preserve">y donde </w:t>
      </w:r>
      <w:r w:rsidRPr="006061EB">
        <w:rPr>
          <w:i/>
        </w:rPr>
        <w:t xml:space="preserve">in </w:t>
      </w:r>
      <w:proofErr w:type="spellStart"/>
      <w:r w:rsidRPr="006061EB">
        <w:rPr>
          <w:i/>
        </w:rPr>
        <w:t>casum</w:t>
      </w:r>
      <w:proofErr w:type="spellEnd"/>
      <w:r w:rsidRPr="006061EB">
        <w:rPr>
          <w:i/>
        </w:rPr>
        <w:t xml:space="preserve"> </w:t>
      </w:r>
      <w:r w:rsidRPr="006061EB">
        <w:t xml:space="preserve">no exista aún jurisprudencia constitucional </w:t>
      </w:r>
      <w:r>
        <w:t xml:space="preserve">ya que, </w:t>
      </w:r>
      <w:r w:rsidRPr="006061EB">
        <w:t xml:space="preserve">precisamente, </w:t>
      </w:r>
      <w:r>
        <w:t>ésta va a crearse para corregir este problema.</w:t>
      </w:r>
    </w:p>
    <w:p w14:paraId="54751F4C" w14:textId="77777777" w:rsidR="006F44C0" w:rsidRPr="00CB1367" w:rsidRDefault="006F44C0" w:rsidP="002B2B12">
      <w:pPr>
        <w:spacing w:after="240"/>
      </w:pPr>
      <w:r w:rsidRPr="00CB1367">
        <w:t>MONTAÑÉS PARDO considera que este supuesto en muchos casos podría enlazarse con el primero de los apuntados (cuestión constitucional nueva), ya que se estaría pretendiendo una revisión o corrección de la interpretación jurisprudencial de la ley</w:t>
      </w:r>
      <w:r>
        <w:t xml:space="preserve"> </w:t>
      </w:r>
      <w:r w:rsidRPr="006061EB">
        <w:t>en los casos sobre los que no hay doctrina constitucional y se considera insuficiente o deficiente la tutel</w:t>
      </w:r>
      <w:r>
        <w:t>a de los derechos fundamentales</w:t>
      </w:r>
      <w:r w:rsidRPr="00CB1367">
        <w:t>.</w:t>
      </w:r>
      <w:r>
        <w:rPr>
          <w:rStyle w:val="Refdenotaalpie"/>
          <w:szCs w:val="24"/>
        </w:rPr>
        <w:footnoteReference w:id="259"/>
      </w:r>
      <w:r>
        <w:t xml:space="preserve"> No compartimos esta opinión ya que en el primero de los supuestos la modificación se produciría más bien por un problema nuevo no existente hasta la fecha o por una nueva faceta de un derecho fundamental, mientras que en este caso hablaríamos de interpretaciones lesivas debido a una interpretación incorrecta de la Ley.</w:t>
      </w:r>
    </w:p>
    <w:p w14:paraId="2C3E8120" w14:textId="77777777" w:rsidR="006F44C0" w:rsidRPr="00CB1367" w:rsidRDefault="006F44C0" w:rsidP="002B2B12">
      <w:pPr>
        <w:spacing w:after="240"/>
      </w:pPr>
      <w:r w:rsidRPr="00CB1367">
        <w:t>Cabe destacar que en el tercer caso o letra c) la lesión del derecho nacería de la propia Ley que sería la que estaría vulnerando uno o varios derechos fundamentales, mientras que el cuarto supuesto o letra d) nacería de la interpretación que se está haciendo de manera reiterada de la Ley.</w:t>
      </w:r>
    </w:p>
    <w:p w14:paraId="74EC6C48" w14:textId="77777777" w:rsidR="006F44C0" w:rsidRDefault="006F44C0" w:rsidP="002B2B12">
      <w:pPr>
        <w:spacing w:after="240"/>
      </w:pPr>
      <w:r w:rsidRPr="00CB1367">
        <w:t>Por tanto, aquí sería fundamental la idea de reiteración, ya que es lo que cualifica la especial trascendencia.</w:t>
      </w:r>
    </w:p>
    <w:p w14:paraId="2D03072F" w14:textId="77777777" w:rsidR="006F44C0" w:rsidRPr="00105658" w:rsidRDefault="006F44C0" w:rsidP="001A4310">
      <w:pPr>
        <w:pStyle w:val="Prrafodelista"/>
        <w:numPr>
          <w:ilvl w:val="0"/>
          <w:numId w:val="32"/>
        </w:numPr>
      </w:pPr>
      <w:r w:rsidRPr="00105658">
        <w:t>5.- Incumplimiento general y reiterado de la doctrina del TC por la jurisdicción ordinaria (apartado “e” del listado)</w:t>
      </w:r>
      <w:r w:rsidRPr="00105658">
        <w:rPr>
          <w:rStyle w:val="Refdenotaalpie"/>
          <w:szCs w:val="24"/>
        </w:rPr>
        <w:footnoteReference w:id="260"/>
      </w:r>
    </w:p>
    <w:p w14:paraId="683767D2" w14:textId="77777777" w:rsidR="006F44C0" w:rsidRDefault="006F44C0" w:rsidP="002B2B12">
      <w:pPr>
        <w:spacing w:after="240"/>
      </w:pPr>
      <w:r w:rsidRPr="00B168DD">
        <w:t>Cuando la doctrina constitucional sí existe, sin embargo</w:t>
      </w:r>
      <w:r>
        <w:t>,</w:t>
      </w:r>
      <w:r w:rsidRPr="00B168DD">
        <w:t xml:space="preserve"> se está haciendo un mal uso de ella ya sea por directo incumplimiento, existan resoluciones judiciales contradictorias sobre el derecho fundamental, ya sea interpretando de manera distinta la doctrina constitucional, ya sea aplicándola en unos casos y desconociéndola en otros.</w:t>
      </w:r>
    </w:p>
    <w:p w14:paraId="3096C3A6" w14:textId="504AD140" w:rsidR="006F44C0" w:rsidRPr="000C4F6F" w:rsidRDefault="006F44C0" w:rsidP="002B2B12">
      <w:pPr>
        <w:spacing w:after="240"/>
        <w:rPr>
          <w:i/>
        </w:rPr>
      </w:pPr>
      <w:r w:rsidRPr="000C4F6F">
        <w:lastRenderedPageBreak/>
        <w:t>Este caso, en palabras de ORTEGA GUTIERREZ</w:t>
      </w:r>
      <w:r>
        <w:rPr>
          <w:rStyle w:val="Refdenotaalpie"/>
          <w:szCs w:val="24"/>
        </w:rPr>
        <w:footnoteReference w:id="261"/>
      </w:r>
      <w:r w:rsidRPr="000C4F6F">
        <w:t xml:space="preserve">, es algo “desconcertante” en un Estado de Derecho debido a que se basa en que el poder judicial, globalmente como tal, no respete el artículo 1.1 de la LOTC.   Este artículo dispone que el TC es el intérprete supremo de la CE, por lo tanto, debería ser lógico que el poder judicial atienda y respete este artículo. Además, el artículo 5 de la LOPJ indica que </w:t>
      </w:r>
      <w:r w:rsidR="00105658" w:rsidRPr="000C4F6F">
        <w:rPr>
          <w:i/>
        </w:rPr>
        <w:t>«</w:t>
      </w:r>
      <w:r w:rsidR="00105658" w:rsidRPr="00812607">
        <w:t>La</w:t>
      </w:r>
      <w:r w:rsidRPr="00812607">
        <w:rPr>
          <w:i/>
        </w:rPr>
        <w:t xml:space="preserve"> Constitución es la norma suprema del ordenamiento jurídico, y vincula a todos los Jueces y Tribunales, quienes interpretarán y aplicarán las leyes y los reglamentos según los preceptos y principios constitucionales, conforme a la interpretación de los mismos que resulte de las resoluciones dictadas por el Tribunal Constit</w:t>
      </w:r>
      <w:r>
        <w:rPr>
          <w:i/>
        </w:rPr>
        <w:t>ucional en todo tipo de procesos</w:t>
      </w:r>
      <w:r w:rsidRPr="000C4F6F">
        <w:rPr>
          <w:i/>
        </w:rPr>
        <w:t>».</w:t>
      </w:r>
    </w:p>
    <w:p w14:paraId="22DC8169" w14:textId="77777777" w:rsidR="006F44C0" w:rsidRDefault="006F44C0" w:rsidP="002B2B12">
      <w:pPr>
        <w:spacing w:after="240"/>
      </w:pPr>
      <w:r>
        <w:t>MONTAÑÉS PARDO</w:t>
      </w:r>
      <w:r w:rsidRPr="00EB09C1">
        <w:t xml:space="preserve"> señala que este criterio parece distinguir entre el incumplimiento general (por varios órganos judiciales) y el incumplimiento reiterado (por un mismo órgano judicial) de la jurisprudencia constitucional, aunque no queda del todo claro si ambo</w:t>
      </w:r>
      <w:r>
        <w:t>s deben concurrir conjuntamente.</w:t>
      </w:r>
      <w:r w:rsidRPr="00EB09C1">
        <w:t xml:space="preserve"> </w:t>
      </w:r>
      <w:r>
        <w:t>Añade el autor que s</w:t>
      </w:r>
      <w:r w:rsidRPr="00EB09C1">
        <w:t>e trata de un problema más aparente que real, pues casi siempre podrá</w:t>
      </w:r>
      <w:r>
        <w:t xml:space="preserve"> </w:t>
      </w:r>
      <w:r w:rsidRPr="00EB09C1">
        <w:t>considerarse como general el reiterado y viceversa. De otra parte, al incumplimiento se</w:t>
      </w:r>
      <w:r>
        <w:t xml:space="preserve"> </w:t>
      </w:r>
      <w:r w:rsidRPr="00EB09C1">
        <w:t>equipara</w:t>
      </w:r>
      <w:r>
        <w:t>ría</w:t>
      </w:r>
      <w:r w:rsidRPr="00EB09C1">
        <w:t xml:space="preserve"> la existencia de resoluciones judiciales contradictorias, con la pretensión de</w:t>
      </w:r>
      <w:r>
        <w:t xml:space="preserve"> </w:t>
      </w:r>
      <w:r w:rsidRPr="00EB09C1">
        <w:t>«unificar» la interpretación y aplicación judicial de la propia doctrina constitucional. En</w:t>
      </w:r>
      <w:r>
        <w:t xml:space="preserve"> </w:t>
      </w:r>
      <w:r w:rsidRPr="00EB09C1">
        <w:t>ambos c</w:t>
      </w:r>
      <w:r>
        <w:t>asos, su concurrencia sólo podría</w:t>
      </w:r>
      <w:r w:rsidRPr="00EB09C1">
        <w:t xml:space="preserve"> apreciarse en virtud de indicios, para lo cual es</w:t>
      </w:r>
      <w:r>
        <w:t xml:space="preserve"> </w:t>
      </w:r>
      <w:r w:rsidRPr="00EB09C1">
        <w:t>importante la información y argumentación que aporte el recurrente en amparo.</w:t>
      </w:r>
      <w:r w:rsidRPr="00EB09C1">
        <w:rPr>
          <w:rStyle w:val="Refdenotaalpie"/>
          <w:szCs w:val="24"/>
        </w:rPr>
        <w:t xml:space="preserve"> </w:t>
      </w:r>
      <w:r>
        <w:rPr>
          <w:rStyle w:val="Refdenotaalpie"/>
          <w:szCs w:val="24"/>
        </w:rPr>
        <w:footnoteReference w:id="262"/>
      </w:r>
    </w:p>
    <w:p w14:paraId="005D6547" w14:textId="77777777" w:rsidR="006F44C0" w:rsidRPr="00105658" w:rsidRDefault="006F44C0" w:rsidP="001A4310">
      <w:pPr>
        <w:pStyle w:val="Prrafodelista"/>
        <w:numPr>
          <w:ilvl w:val="0"/>
          <w:numId w:val="32"/>
        </w:numPr>
      </w:pPr>
      <w:r w:rsidRPr="00105658">
        <w:t>6.- Negativa manifiesta al deber de acatamiento de la jurisprudencia constitucional (apartado “f” del listado)</w:t>
      </w:r>
      <w:r w:rsidRPr="00105658">
        <w:rPr>
          <w:rStyle w:val="Refdenotaalpie"/>
        </w:rPr>
        <w:footnoteReference w:id="263"/>
      </w:r>
    </w:p>
    <w:p w14:paraId="1A02F6E3" w14:textId="77777777" w:rsidR="006F44C0" w:rsidRDefault="006F44C0" w:rsidP="002B2B12">
      <w:pPr>
        <w:spacing w:after="240"/>
      </w:pPr>
      <w:r w:rsidRPr="00812607">
        <w:t>Se refiere al supuesto en que un órgano judicial incurra en una negativa manifiesta del deber de acatamiento de la doctrina del TC ex artículo 5 LOPJ</w:t>
      </w:r>
      <w:r>
        <w:t>.</w:t>
      </w:r>
    </w:p>
    <w:p w14:paraId="7EC62EBD" w14:textId="77777777" w:rsidR="006F44C0" w:rsidRDefault="006F44C0" w:rsidP="002B2B12">
      <w:pPr>
        <w:spacing w:after="240"/>
      </w:pPr>
      <w:r w:rsidRPr="00802590">
        <w:t xml:space="preserve">Este supuesto es bastante similar al anterior. Atendiendo a CABAÑAS GARCÍA, se distinguiría de éste básicamente en dos aspectos: el primero, en la no exigencia de la reiteración, de modo que una sola resolución judicial podría ser susceptible de evidenciar </w:t>
      </w:r>
      <w:r w:rsidRPr="00802590">
        <w:lastRenderedPageBreak/>
        <w:t>la conducta necesitada de correctivo por parte del TC. Y el segundo elemento distintivo sería la aparición de lo que podría considerarse como una postura de oposición activa o rebeldía del órgano responsable, en infracción de lo dispuesto en el</w:t>
      </w:r>
      <w:r>
        <w:t xml:space="preserve"> ya citado</w:t>
      </w:r>
      <w:r w:rsidRPr="00802590">
        <w:t xml:space="preserve"> artículo 5.1 LOPJ.</w:t>
      </w:r>
      <w:r>
        <w:rPr>
          <w:rStyle w:val="Refdenotaalpie"/>
        </w:rPr>
        <w:footnoteReference w:id="264"/>
      </w:r>
    </w:p>
    <w:p w14:paraId="13FC13C9" w14:textId="77777777" w:rsidR="006F44C0" w:rsidRDefault="006F44C0" w:rsidP="002B2B12">
      <w:pPr>
        <w:spacing w:after="240"/>
        <w:rPr>
          <w:highlight w:val="yellow"/>
        </w:rPr>
      </w:pPr>
      <w:r w:rsidRPr="00812607">
        <w:t xml:space="preserve">Continúa el citado autor especificando que esto ocurrirá </w:t>
      </w:r>
      <w:r w:rsidRPr="00812607">
        <w:rPr>
          <w:i/>
        </w:rPr>
        <w:t>“cuando de un modo expreso el órgano judicial disienta, bien, en primer lugar, de la calificación que ha efectuado el TC de una determinada materia como cuestión de legalidad constitucional, sosteniendo por el contrario el órgano a quo que se trata de una cuestión de legalidad ordinaria sobre la cual se considera soberano de estatuir otra cosa; o bien, en segundo lugar, porque eluda la aplicación de cualquier doctrina sobre derecho fundamental creada por el TC; o bien en fin, en tercer lugar, porque se niegue a aplicar el canon de enjuiciamiento constitucional que le corresponda al derecho fundamental invocado, conforme la misma jurisprudencia del TC”.</w:t>
      </w:r>
    </w:p>
    <w:p w14:paraId="488FCD20" w14:textId="77777777" w:rsidR="006F44C0" w:rsidRPr="00105658" w:rsidRDefault="006F44C0" w:rsidP="001A4310">
      <w:pPr>
        <w:pStyle w:val="Prrafodelista"/>
        <w:numPr>
          <w:ilvl w:val="0"/>
          <w:numId w:val="32"/>
        </w:numPr>
      </w:pPr>
      <w:r w:rsidRPr="00105658">
        <w:t>7.- Relevancia social, económica y política del asunto controvertido (apartado “g” del listado)</w:t>
      </w:r>
      <w:r w:rsidRPr="00105658">
        <w:rPr>
          <w:rStyle w:val="Refdenotaalpie"/>
        </w:rPr>
        <w:footnoteReference w:id="265"/>
      </w:r>
    </w:p>
    <w:p w14:paraId="4FBD2CED" w14:textId="3FA21AE2" w:rsidR="006F44C0" w:rsidRPr="009D0554" w:rsidRDefault="006F44C0" w:rsidP="002B2B12">
      <w:pPr>
        <w:spacing w:after="240"/>
      </w:pPr>
      <w:r w:rsidRPr="009D0554">
        <w:t>Este último supuesto que enuncia la Sentencia puede ser considerado como una especie de “cajón de sastre” ya que, además de contener diversos supuestos muchos de ellos son tremendamente indeterminados. Por tanto</w:t>
      </w:r>
      <w:r>
        <w:t>,</w:t>
      </w:r>
      <w:r w:rsidRPr="009D0554">
        <w:t xml:space="preserve"> el TC estaría intentando definir un concepto jurídico indeterminado como lo es la especial trascendencia constitucional con otros conceptos que también lo son.</w:t>
      </w:r>
      <w:r w:rsidR="00105658">
        <w:t xml:space="preserve"> Así, estaríamos definiendo la </w:t>
      </w:r>
      <w:r w:rsidRPr="009D0554">
        <w:t>especi</w:t>
      </w:r>
      <w:r w:rsidR="00105658">
        <w:t>al trascendencia constitucional</w:t>
      </w:r>
      <w:r w:rsidRPr="009D0554">
        <w:t xml:space="preserve"> como una cuestión jurídica de </w:t>
      </w:r>
      <w:r w:rsidRPr="00105658">
        <w:rPr>
          <w:i/>
        </w:rPr>
        <w:t>«relevante y general repercusión social o económica» o que tenga «consecuencias políticas generales</w:t>
      </w:r>
      <w:r w:rsidRPr="009D0554">
        <w:t>».</w:t>
      </w:r>
    </w:p>
    <w:p w14:paraId="277153F2" w14:textId="77777777" w:rsidR="006F44C0" w:rsidRDefault="006F44C0" w:rsidP="002B2B12">
      <w:pPr>
        <w:spacing w:after="240"/>
        <w:rPr>
          <w:highlight w:val="yellow"/>
        </w:rPr>
      </w:pPr>
      <w:r w:rsidRPr="009D0554">
        <w:t>Deberemos esperar, por tanto, a ver cómo va perfilando el TC este concepto con su posterior jurisprudencia y viendo qué tipo de casos son admitidos a través de la justificación de este supuesto.</w:t>
      </w:r>
    </w:p>
    <w:p w14:paraId="41AE2835" w14:textId="77777777" w:rsidR="006F44C0" w:rsidRPr="00AB36F5" w:rsidRDefault="006F44C0" w:rsidP="002B2B12">
      <w:pPr>
        <w:pStyle w:val="Ttulo5"/>
        <w:spacing w:after="240"/>
      </w:pPr>
      <w:bookmarkStart w:id="645" w:name="_Toc43121294"/>
      <w:bookmarkStart w:id="646" w:name="_Toc45731793"/>
      <w:bookmarkStart w:id="647" w:name="_Toc49866575"/>
      <w:r>
        <w:lastRenderedPageBreak/>
        <w:t>Voto particular del Magistrado don Eugeni Gay M</w:t>
      </w:r>
      <w:r w:rsidRPr="00AB36F5">
        <w:t>ontalvo</w:t>
      </w:r>
      <w:bookmarkEnd w:id="645"/>
      <w:bookmarkEnd w:id="646"/>
      <w:bookmarkEnd w:id="647"/>
    </w:p>
    <w:p w14:paraId="5149430F" w14:textId="77777777" w:rsidR="006F44C0" w:rsidRPr="0017023A" w:rsidRDefault="006F44C0" w:rsidP="002B2B12">
      <w:pPr>
        <w:spacing w:after="240"/>
      </w:pPr>
      <w:r>
        <w:t>Deb</w:t>
      </w:r>
      <w:r w:rsidRPr="0017023A">
        <w:t>emos destacar el voto particular que emitió el don Eugeni Gay Montalvo por resultar de especial interés para el tema que estamos tratando. El Magistrado expuso en su voto particular su discrepancia exclusivamente al contenido del fundamento jurídico número 2 de la Sentencia.</w:t>
      </w:r>
    </w:p>
    <w:p w14:paraId="029E6D12" w14:textId="2D640D0D" w:rsidR="006F44C0" w:rsidRPr="0017023A" w:rsidRDefault="00105658" w:rsidP="002B2B12">
      <w:pPr>
        <w:spacing w:after="240"/>
      </w:pPr>
      <w:r w:rsidRPr="0017023A">
        <w:t>Comienza afirmando</w:t>
      </w:r>
      <w:r w:rsidR="006F44C0" w:rsidRPr="0017023A">
        <w:t xml:space="preserve"> que </w:t>
      </w:r>
      <w:r w:rsidR="006F44C0">
        <w:t xml:space="preserve">la Sentencia mantiene que </w:t>
      </w:r>
      <w:r w:rsidR="006F44C0" w:rsidRPr="0017023A">
        <w:t>en el artículo 50.1 b) LOTC se plasma la opción del legislador por una nueva configuración del recurso de amparo, toda vez que la mera lesión de un derecho fundamental o libertad pública tutelable en amparo ya no será por sí sola suficiente para admitir el recurso. El Magistrado entiende que la Ley no se expresa en esos términos, sino que es la interpretación que de la misma ha hecho el TC la que le confiere ese carácter.</w:t>
      </w:r>
    </w:p>
    <w:p w14:paraId="12CAFE1E" w14:textId="77777777" w:rsidR="006F44C0" w:rsidRPr="0017023A" w:rsidRDefault="006F44C0" w:rsidP="002B2B12">
      <w:pPr>
        <w:spacing w:after="240"/>
      </w:pPr>
      <w:r w:rsidRPr="0017023A">
        <w:t>En referencia al artículo 49.1 LOTC</w:t>
      </w:r>
      <w:r>
        <w:t xml:space="preserve"> </w:t>
      </w:r>
      <w:r w:rsidRPr="0017023A">
        <w:t>opina que</w:t>
      </w:r>
      <w:r>
        <w:t>,</w:t>
      </w:r>
      <w:r w:rsidRPr="0017023A">
        <w:t xml:space="preserve"> aunque se imponga para el recurrente el deber de justificar la especial trascendencia constitucional, no se señala que este requisito sea de naturaleza sustantiva y que su incumplimiento vicie la demanda de un defecto insubsanable que conduzca a su inadmisión.</w:t>
      </w:r>
      <w:r>
        <w:t xml:space="preserve"> T</w:t>
      </w:r>
      <w:r w:rsidRPr="0017023A">
        <w:t xml:space="preserve">ambién discrepa con la Sentencia respecto a la afirmación de que con la reforma efectuada por la LO 6/2007, se haya conferido a los Jueces y Tribunales un mayor protagonismo en su función de garantes de los derechos fundamentales; </w:t>
      </w:r>
      <w:r>
        <w:t>pues</w:t>
      </w:r>
      <w:r w:rsidRPr="0017023A">
        <w:t xml:space="preserve"> opina que</w:t>
      </w:r>
      <w:r>
        <w:t>,</w:t>
      </w:r>
      <w:r w:rsidRPr="0017023A">
        <w:t xml:space="preserve"> mediante la ampliación del incidente de nulidad de actuaciones, el legislador ha querido dar al Juez ordinario una última posibilidad de reparación, pero no un mayor protagonismo, como afirma la Sentencia.</w:t>
      </w:r>
    </w:p>
    <w:p w14:paraId="10838FAF" w14:textId="77777777" w:rsidR="006F44C0" w:rsidRPr="0017023A" w:rsidRDefault="006F44C0" w:rsidP="002B2B12">
      <w:pPr>
        <w:spacing w:after="240"/>
      </w:pPr>
      <w:r w:rsidRPr="0017023A">
        <w:t>Añade que se mantiene inalterada la función de ambas jurisdicciones, pues la tutela de estos derechos sigue correspondiendo a la jurisdicción ordinaria en su conjunto, mientras que el recurso de amparo sigue siendo un recurso de tutela de derechos fundamentales cuya protección culmina en el TC, que es su garante último y mayor intérprete.</w:t>
      </w:r>
    </w:p>
    <w:p w14:paraId="222BDB55" w14:textId="77777777" w:rsidR="006F44C0" w:rsidRPr="0017023A" w:rsidRDefault="006F44C0" w:rsidP="002B2B12">
      <w:pPr>
        <w:spacing w:after="240"/>
      </w:pPr>
      <w:r w:rsidRPr="0017023A">
        <w:t>El Magistrado afirma el «</w:t>
      </w:r>
      <w:r w:rsidRPr="0017023A">
        <w:rPr>
          <w:i/>
        </w:rPr>
        <w:t>carácter notablemente abierto e indeterminado, tanto de la noción de especial trascendencia constitucional como de los criterios legalmente establecidos para su apreciación».</w:t>
      </w:r>
      <w:r w:rsidRPr="0017023A">
        <w:t xml:space="preserve"> Entiende además que esto no permite una objetivación (como afirma la Sentencia) de las causas de admisibilidad, pues no excluye la reparación de una vulneración sufrida y no reparada en la jurisdicción ordinaria.</w:t>
      </w:r>
    </w:p>
    <w:p w14:paraId="078A0C8C" w14:textId="77777777" w:rsidR="006F44C0" w:rsidRPr="0017023A" w:rsidRDefault="006F44C0" w:rsidP="002B2B12">
      <w:pPr>
        <w:spacing w:after="240"/>
      </w:pPr>
      <w:r>
        <w:lastRenderedPageBreak/>
        <w:t>A</w:t>
      </w:r>
      <w:r w:rsidRPr="0017023A">
        <w:t>demás</w:t>
      </w:r>
      <w:r>
        <w:t>,</w:t>
      </w:r>
      <w:r w:rsidRPr="0017023A">
        <w:t xml:space="preserve"> con esta objetivación de las causas se da un paso importante en la clarificación del contenido que, para la justificación de la especial trascendencia constitucional, requiere la interposición de la demanda de amparo. Con ello se precisa la carga que la Ley hace recaer en el demandante de amparo en la formulación de su pretensión. Sin embargo, insiste en el hecho de que resulta imposible objetivar la vulneración de un derecho fundamental. Evidencia lo anterior en los casos de </w:t>
      </w:r>
      <w:r w:rsidRPr="0017023A">
        <w:rPr>
          <w:i/>
        </w:rPr>
        <w:t>“incumplimiento de modo general y reiterado por la jurisdicción ordinaria de la doctrina del TC”,</w:t>
      </w:r>
      <w:r w:rsidRPr="0017023A">
        <w:t xml:space="preserve"> ya que en ningún caso esta doctrina puede ser vulnerada, sino sólo interpretada.</w:t>
      </w:r>
    </w:p>
    <w:p w14:paraId="561000F8" w14:textId="77777777" w:rsidR="006F44C0" w:rsidRPr="0017023A" w:rsidRDefault="006F44C0" w:rsidP="002B2B12">
      <w:pPr>
        <w:spacing w:after="240"/>
      </w:pPr>
      <w:r w:rsidRPr="0017023A">
        <w:t xml:space="preserve">Un planteamiento similar sería el supuesto de que un órgano judicial incurra en </w:t>
      </w:r>
      <w:r w:rsidRPr="0017023A">
        <w:rPr>
          <w:i/>
        </w:rPr>
        <w:t>“una negativa manifiesta del deber de acatamiento de la doctrina del Tribunal Constitucional”.</w:t>
      </w:r>
      <w:r w:rsidRPr="0017023A">
        <w:t xml:space="preserve"> Se trataría de un incumplimiento por el órgano judicial de una obligación impuesta por imperativo legal. En estos casos lo que cuestionaríamos no sería la especial trascendencia constitucional de la demanda de amparo, sino la rebeldía manifiesta del órgano judicial. Plantea, por último, que el último de los supuestos de la relación supone una verdadera cláusula abierta, dejando abierto, por consiguiente, el juego de las excepciones como determinados amparos electorales o parlamentarios.</w:t>
      </w:r>
    </w:p>
    <w:p w14:paraId="3F020715" w14:textId="77777777" w:rsidR="006F44C0" w:rsidRPr="0017023A" w:rsidRDefault="006F44C0" w:rsidP="002B2B12">
      <w:pPr>
        <w:spacing w:after="240"/>
      </w:pPr>
      <w:r w:rsidRPr="0017023A">
        <w:t>Para concluir</w:t>
      </w:r>
      <w:r>
        <w:t>,</w:t>
      </w:r>
      <w:r w:rsidRPr="0017023A">
        <w:t xml:space="preserve"> entiende que la tutela de estos derechos no permite excepciones como las anteriormente mencionadas por razón de que los actos se refieran a intereses económicos, sociales o políticos. Esto supondría una discriminación política en razón de un interés superior teniendo en cuenta que lo que nuestra Constitución pretende es precisamente proteger los derechos individuales y de la persona.</w:t>
      </w:r>
    </w:p>
    <w:p w14:paraId="4BD67410" w14:textId="77777777" w:rsidR="006F44C0" w:rsidRPr="0017023A" w:rsidRDefault="006F44C0" w:rsidP="002B2B12">
      <w:pPr>
        <w:spacing w:after="240"/>
      </w:pPr>
      <w:r w:rsidRPr="0017023A">
        <w:t>Analizada la sentencia 155/2009, creemos que puede resultar ilustrativo el análisis de posteriores pronunciamientos de este Tribunal en aras a la interpretación de la trascendencia constitucional.</w:t>
      </w:r>
    </w:p>
    <w:p w14:paraId="7D2F75EE" w14:textId="77777777" w:rsidR="006F44C0" w:rsidRPr="00105658" w:rsidRDefault="006F44C0" w:rsidP="002B2B12">
      <w:pPr>
        <w:pStyle w:val="Ttulo4"/>
      </w:pPr>
      <w:bookmarkStart w:id="648" w:name="_Toc45731794"/>
      <w:bookmarkStart w:id="649" w:name="_Toc49866576"/>
      <w:r w:rsidRPr="00105658">
        <w:t>La justificación de la especial trascendencia constitucional es independiente de la vulneración de un derecho fundamental</w:t>
      </w:r>
      <w:bookmarkEnd w:id="648"/>
      <w:bookmarkEnd w:id="649"/>
    </w:p>
    <w:p w14:paraId="20CC2FC9" w14:textId="77777777" w:rsidR="006F44C0" w:rsidRDefault="006F44C0" w:rsidP="002B2B12">
      <w:pPr>
        <w:spacing w:after="240"/>
      </w:pPr>
      <w:r>
        <w:t xml:space="preserve">El TC ha dejado claro en numerosas ocasiones (fue una de las primeras respuestas que dio, como hemos visto en los AATC de 2008) que la especial trascendencia constitucional no puede justificarse atendiendo a la gravedad de la lesión del derecho fundamental </w:t>
      </w:r>
      <w:r w:rsidRPr="00CF2BF2">
        <w:t xml:space="preserve"> (SSTC 17/2011, de 28 de febrero, FJ 2; 69/2011, de 16 de mayo, FJ 3; 143/2011, de 26 </w:t>
      </w:r>
      <w:r w:rsidRPr="00CF2BF2">
        <w:lastRenderedPageBreak/>
        <w:t>de septiembre, FJ 2; y 191/2011, de 12 de diciembre, FJ 3; también AATC 188/2008, de 21 de julio, FJ 2; 289/2008, de 22 de septiembre, FJ 2; 290/2008, de 22 de septiembre, FJ 2; 80/2009, de 9 de marzo, FJ 2; y 186/2010, de 29 de noviembre, FJ único)</w:t>
      </w:r>
      <w:r>
        <w:t>.</w:t>
      </w:r>
    </w:p>
    <w:p w14:paraId="54520377" w14:textId="77777777" w:rsidR="006F44C0" w:rsidRDefault="006F44C0" w:rsidP="002B2B12">
      <w:pPr>
        <w:spacing w:after="240"/>
      </w:pPr>
      <w:r w:rsidRPr="00CF2BF2">
        <w:t xml:space="preserve">Consecuentemente, </w:t>
      </w:r>
      <w:r w:rsidRPr="00CF2BF2">
        <w:rPr>
          <w:i/>
          <w:iCs/>
        </w:rPr>
        <w:t>«la exposición sobre la verosimilitud de la lesión del derecho fundamental no puede suplir la omisión de una argumentación expresa sobre la trascendencia constitucional del recurso de amparo»</w:t>
      </w:r>
      <w:r w:rsidRPr="00CF2BF2">
        <w:t xml:space="preserve"> (ATC 252/2009, de 19 de octubre, FJ 1). </w:t>
      </w:r>
    </w:p>
    <w:p w14:paraId="695BD713" w14:textId="77777777" w:rsidR="006F44C0" w:rsidRDefault="006F44C0" w:rsidP="002B2B12">
      <w:pPr>
        <w:spacing w:after="240"/>
      </w:pPr>
      <w:r w:rsidRPr="00CF2BF2">
        <w:t>E</w:t>
      </w:r>
      <w:r>
        <w:t>xtendiendo este razonamiento un poco más</w:t>
      </w:r>
      <w:r w:rsidRPr="00CF2BF2">
        <w:t xml:space="preserve">, </w:t>
      </w:r>
      <w:r>
        <w:t xml:space="preserve">el </w:t>
      </w:r>
      <w:r w:rsidRPr="00CF2BF2">
        <w:t>ATC 252/2009, de 19 de octubre, FJ 1</w:t>
      </w:r>
      <w:r>
        <w:t xml:space="preserve">, explicó que </w:t>
      </w:r>
      <w:r w:rsidRPr="00CF2BF2">
        <w:rPr>
          <w:i/>
          <w:iCs/>
        </w:rPr>
        <w:t>«por situarse en planos diferentes el razonamiento sobre la existencia de la lesión del derecho fundamental y la argumentación relativa a la trascendencia constitucional del recurso de amparo tendente a su restablecimiento y preservación, uno y otra son necesarios, de modo que la exposición sobre la verosimilitud de la lesión del derecho fundamental no puede suplir la omisión de una argumentación expresa sobre la trascendencia constitucional del recurso de amparo»</w:t>
      </w:r>
      <w:r>
        <w:rPr>
          <w:i/>
          <w:iCs/>
        </w:rPr>
        <w:t>.</w:t>
      </w:r>
      <w:r w:rsidRPr="00CF2BF2">
        <w:t xml:space="preserve"> </w:t>
      </w:r>
    </w:p>
    <w:p w14:paraId="0356F4DC" w14:textId="77777777" w:rsidR="006F44C0" w:rsidRDefault="006F44C0" w:rsidP="002B2B12">
      <w:pPr>
        <w:spacing w:after="240"/>
      </w:pPr>
      <w:r w:rsidRPr="00CF2BF2">
        <w:t>Por esta razón, no basta</w:t>
      </w:r>
      <w:r>
        <w:t>rá</w:t>
      </w:r>
      <w:r w:rsidRPr="00CF2BF2">
        <w:t xml:space="preserve"> argumentar la existencia de </w:t>
      </w:r>
      <w:r>
        <w:t xml:space="preserve">dicha </w:t>
      </w:r>
      <w:r w:rsidRPr="00CF2BF2">
        <w:t>vulneración</w:t>
      </w:r>
      <w:r>
        <w:t xml:space="preserve">, sino que será necesario </w:t>
      </w:r>
      <w:r w:rsidRPr="00CF2BF2">
        <w:t xml:space="preserve">que </w:t>
      </w:r>
      <w:r w:rsidRPr="00CF2BF2">
        <w:rPr>
          <w:i/>
          <w:iCs/>
        </w:rPr>
        <w:t>«en la demanda se disocie adecuadamente la argumentación tendente a evidenciar la existencia de la lesión de un derecho fundamental —que sigue siendo, obviamente, un presupuesto inexcusable en cualquier demanda de amparo— y los razonamientos específicamente dirigidos a justificar que el recurso presenta especial trascendencia constitucional»</w:t>
      </w:r>
      <w:r w:rsidRPr="00CF2BF2">
        <w:t xml:space="preserve"> (STC 17/2011, de 28 de febrero, FJ 2). </w:t>
      </w:r>
    </w:p>
    <w:p w14:paraId="39FC4030" w14:textId="77777777" w:rsidR="006F44C0" w:rsidRDefault="006F44C0" w:rsidP="002B2B12">
      <w:pPr>
        <w:spacing w:after="240"/>
      </w:pPr>
      <w:r>
        <w:t xml:space="preserve">Poco tiempo después, el Auto 29/2011, de 17 de marzo, </w:t>
      </w:r>
      <w:r w:rsidRPr="0017023A">
        <w:t xml:space="preserve">por el que se deniega la admisión de un recurso de amparo fundado en la gravedad de la lesión de los derechos fundamentales en su dimensión subjetiva, </w:t>
      </w:r>
      <w:r>
        <w:t>volvió a incidir en este tema, asentando, una vez más, esta doctrina:</w:t>
      </w:r>
    </w:p>
    <w:p w14:paraId="1D3747FB" w14:textId="77777777" w:rsidR="006F44C0" w:rsidRPr="00095B36" w:rsidRDefault="006F44C0" w:rsidP="002B2B12">
      <w:pPr>
        <w:spacing w:after="240"/>
        <w:rPr>
          <w:i/>
        </w:rPr>
      </w:pPr>
      <w:r w:rsidRPr="00095B36">
        <w:rPr>
          <w:i/>
        </w:rPr>
        <w:t xml:space="preserve">«La reforma llevada a cabo por la Ley Orgánica 6/2007 en la regulación del recurso de amparo ha eliminado la dimensión subjetiva del recurso de amparo para dotarlo, exclusivamente, de un significado objetivo. De este modo, como se ha dicho, “la mera lesión de un derecho fundamental o libertad pública tutelable en amparo ya no será por sí sola suficiente para admitir el recurso” (STC 155/2009, FJ 2). Para que este Tribunal pueda admitir el recurso de amparo y, en su caso, otorgar la tutela del derecho </w:t>
      </w:r>
      <w:r w:rsidRPr="00095B36">
        <w:rPr>
          <w:i/>
        </w:rPr>
        <w:lastRenderedPageBreak/>
        <w:t>fundamental que se estima vulnerado, ya no basta (frente a lo que sucedía con anterioridad a la reforma introducida por la Ley Orgánica 6/2007) que se haya producido la lesión subjetiva del derecho fundamental»</w:t>
      </w:r>
    </w:p>
    <w:p w14:paraId="6CD13A27" w14:textId="77777777" w:rsidR="006F44C0" w:rsidRPr="00471E1B" w:rsidRDefault="006F44C0" w:rsidP="002B2B12">
      <w:pPr>
        <w:spacing w:after="240"/>
      </w:pPr>
      <w:r>
        <w:t xml:space="preserve">Añade el citado ATC 29/2011 en su FJ 3 </w:t>
      </w:r>
      <w:r w:rsidRPr="00471E1B">
        <w:t xml:space="preserve">que, </w:t>
      </w:r>
      <w:r w:rsidRPr="00471E1B">
        <w:rPr>
          <w:i/>
        </w:rPr>
        <w:t>«si no concurre ese requisito sustantivo, aunque resulte verosímil la existencia de lesión subjetiva del derecho fundamental y sea cual sea la gravedad de la misma, este Tribunal no admitirá el recurso de amparo».</w:t>
      </w:r>
    </w:p>
    <w:p w14:paraId="31B0DF6F" w14:textId="77777777" w:rsidR="006F44C0" w:rsidRPr="00471E1B" w:rsidRDefault="006F44C0" w:rsidP="002B2B12">
      <w:pPr>
        <w:spacing w:after="240"/>
      </w:pPr>
      <w:r>
        <w:t>Sobre este punto</w:t>
      </w:r>
      <w:r w:rsidRPr="00471E1B">
        <w:t>,</w:t>
      </w:r>
      <w:r>
        <w:t xml:space="preserve"> establece </w:t>
      </w:r>
      <w:r w:rsidRPr="00471E1B">
        <w:t xml:space="preserve"> </w:t>
      </w:r>
      <w:r>
        <w:t xml:space="preserve">RIPOL CARULLA que </w:t>
      </w:r>
      <w:r w:rsidRPr="00471E1B">
        <w:rPr>
          <w:i/>
        </w:rPr>
        <w:t>“la defensa objetiva de la Constitución constituirá la finalidad principal de la Sentencia la cual, no obstante, al responder a las alegaciones del demandante, restablecerá o preservará el derecho fundamental vulnerado, cumpliendo así, casi incidentalmente, con la finalidad subjetiva del amparo”.</w:t>
      </w:r>
      <w:r>
        <w:rPr>
          <w:rStyle w:val="Refdenotaalpie"/>
          <w:i/>
          <w:szCs w:val="24"/>
        </w:rPr>
        <w:footnoteReference w:id="266"/>
      </w:r>
    </w:p>
    <w:p w14:paraId="69786323" w14:textId="77777777" w:rsidR="006F44C0" w:rsidRDefault="006F44C0" w:rsidP="002B2B12">
      <w:pPr>
        <w:spacing w:after="240"/>
      </w:pPr>
      <w:r>
        <w:t>P</w:t>
      </w:r>
      <w:r w:rsidRPr="00471E1B">
        <w:t>or tanto</w:t>
      </w:r>
      <w:r>
        <w:t>, e</w:t>
      </w:r>
      <w:r w:rsidRPr="00471E1B">
        <w:t xml:space="preserve">n el </w:t>
      </w:r>
      <w:r>
        <w:t>“</w:t>
      </w:r>
      <w:r w:rsidRPr="00471E1B">
        <w:t>nuevo</w:t>
      </w:r>
      <w:r>
        <w:t xml:space="preserve">” recurso de amparo, la lesión del derecho no es el único </w:t>
      </w:r>
      <w:r w:rsidRPr="00471E1B">
        <w:t>elemento determinante para la admisión de la demanda,</w:t>
      </w:r>
      <w:r>
        <w:t xml:space="preserve"> sino que constituye un requisito necesario de la misma pero no determina su existencia la posterior admisión de la demanda salvo que el caso en cuestión posea especial trascendencia constitucional. Además, </w:t>
      </w:r>
      <w:r w:rsidRPr="00471E1B">
        <w:t xml:space="preserve">la reparación </w:t>
      </w:r>
      <w:r>
        <w:t xml:space="preserve">de la lesión no </w:t>
      </w:r>
      <w:r w:rsidRPr="00471E1B">
        <w:t>constituye el objetivo principal de</w:t>
      </w:r>
      <w:r>
        <w:t>l TC, sino que su interés radica en la resolución de casos de vital importancia, siendo esta reparación competencia de los jueces de la jurisdicción ordinaria como garantes principales de la protección de los derechos fundamentales</w:t>
      </w:r>
      <w:r w:rsidRPr="00471E1B">
        <w:t xml:space="preserve">. </w:t>
      </w:r>
      <w:r>
        <w:t xml:space="preserve">Vemos, por tanto, una pérdida casi absoluta de la faceta subjetiva del recurso de amparo, anteriormente debatida. </w:t>
      </w:r>
    </w:p>
    <w:p w14:paraId="4A80304C" w14:textId="77777777" w:rsidR="006F44C0" w:rsidRPr="00105658" w:rsidRDefault="006F44C0" w:rsidP="002B2B12">
      <w:pPr>
        <w:pStyle w:val="Ttulo4"/>
      </w:pPr>
      <w:bookmarkStart w:id="650" w:name="_Toc45731795"/>
      <w:bookmarkStart w:id="651" w:name="_Toc49866577"/>
      <w:r w:rsidRPr="00105658">
        <w:t>La justificación de la especial trascendencia constitucional debe ir más allá de la simple mención del supuesto</w:t>
      </w:r>
      <w:bookmarkEnd w:id="650"/>
      <w:bookmarkEnd w:id="651"/>
    </w:p>
    <w:p w14:paraId="32C9B3BE" w14:textId="77777777" w:rsidR="006F44C0" w:rsidRDefault="006F44C0" w:rsidP="002B2B12">
      <w:pPr>
        <w:spacing w:after="240"/>
      </w:pPr>
      <w:r w:rsidRPr="00304D83">
        <w:t>En su afán de concreción de esta figura, nuestro TC</w:t>
      </w:r>
      <w:r>
        <w:t xml:space="preserve"> también se manifestó respecto a la forma en la que debía justificarse este término. Determinó que no</w:t>
      </w:r>
      <w:r w:rsidRPr="00304D83">
        <w:t xml:space="preserve"> </w:t>
      </w:r>
      <w:r>
        <w:t xml:space="preserve">será suficiente para satisfacer este requisito de </w:t>
      </w:r>
      <w:r w:rsidRPr="00304D83">
        <w:t xml:space="preserve">la demanda </w:t>
      </w:r>
      <w:r>
        <w:t>u</w:t>
      </w:r>
      <w:r w:rsidRPr="00304D83">
        <w:t xml:space="preserve">na </w:t>
      </w:r>
      <w:r w:rsidRPr="00304D83">
        <w:rPr>
          <w:i/>
          <w:iCs/>
        </w:rPr>
        <w:t>«simple o abstracta mención»</w:t>
      </w:r>
      <w:r w:rsidRPr="00304D83">
        <w:t xml:space="preserve"> de la especial trascendencia constitucional, </w:t>
      </w:r>
      <w:r w:rsidRPr="00304D83">
        <w:rPr>
          <w:i/>
          <w:iCs/>
        </w:rPr>
        <w:t>«huérfana de la más mínima argumentación»,</w:t>
      </w:r>
      <w:r w:rsidRPr="00304D83">
        <w:t xml:space="preserve"> que no permita advertir </w:t>
      </w:r>
      <w:r w:rsidRPr="00304D83">
        <w:rPr>
          <w:i/>
          <w:iCs/>
        </w:rPr>
        <w:t xml:space="preserve">«por qué el contenido del recurso de amparo justifica una decisión sobre </w:t>
      </w:r>
      <w:r w:rsidRPr="00304D83">
        <w:rPr>
          <w:i/>
          <w:iCs/>
        </w:rPr>
        <w:lastRenderedPageBreak/>
        <w:t>el fondo en atención a su importancia para la interpretación, aplicación o general eficacia de la Constitución o para la determinación del contenido y alcance de los derechos fundamentales</w:t>
      </w:r>
      <w:r>
        <w:rPr>
          <w:i/>
          <w:iCs/>
        </w:rPr>
        <w:t xml:space="preserve"> </w:t>
      </w:r>
      <w:r w:rsidRPr="00304D83">
        <w:rPr>
          <w:i/>
          <w:iCs/>
        </w:rPr>
        <w:t xml:space="preserve">que se aleguen en la demanda»  </w:t>
      </w:r>
      <w:r w:rsidRPr="00304D83">
        <w:t>(STC 69/2011, de 16 de mayo, FJ 3, citando el ATC 187/2010, de 29 de noviembre, FJ único).</w:t>
      </w:r>
    </w:p>
    <w:p w14:paraId="7F015B95" w14:textId="77777777" w:rsidR="006F44C0" w:rsidRDefault="006F44C0" w:rsidP="002B2B12">
      <w:pPr>
        <w:spacing w:after="240"/>
      </w:pPr>
      <w:r>
        <w:t>Por tanto, no bastará, como sucedió en la citada Sentencia, la mera mención del supuesto de especial trascendencia constitucional dentro del cual consideramos que nos encontramos (de los citados en la STC 155/2009), sino que el demandante ha de realizar una tarea de argumentación que vaya más allá. Entendemos que esta tarea debe ir encaminada a, más allá de citar el supuesto en el que creemos que se encontraría nuestro caso, determinar concretamente por qué consideramos que nuestro supuesto es “especial” y merece ser atendido.</w:t>
      </w:r>
    </w:p>
    <w:p w14:paraId="722361FB" w14:textId="77777777" w:rsidR="006F44C0" w:rsidRDefault="006F44C0" w:rsidP="002B2B12">
      <w:pPr>
        <w:spacing w:after="240"/>
      </w:pPr>
      <w:r w:rsidRPr="00014F40">
        <w:t xml:space="preserve">A la parte recurrente, pues, le </w:t>
      </w:r>
      <w:r>
        <w:t>será</w:t>
      </w:r>
      <w:r w:rsidRPr="00014F40">
        <w:t xml:space="preserve"> exigible un «esfuerzo argumental» (ATC 154/2010, de 15 de noviembre, FJ 4) que ponga en conexión las vulneraciones constitucionales que alega con los criterios establecidos en el art. 50.1 b) LOTC</w:t>
      </w:r>
      <w:r>
        <w:t xml:space="preserve"> y en la STC 155/2009.</w:t>
      </w:r>
    </w:p>
    <w:p w14:paraId="5272C7F4" w14:textId="77777777" w:rsidR="006F44C0" w:rsidRPr="00014F40" w:rsidRDefault="006F44C0" w:rsidP="002B2B12">
      <w:pPr>
        <w:spacing w:after="240"/>
      </w:pPr>
      <w:r>
        <w:t xml:space="preserve">Este ‘esfuerzo argumentativo’ fue nuevamente mencionado (y algo más especificado) en la </w:t>
      </w:r>
      <w:r w:rsidRPr="00674463">
        <w:t>STC 176/2012</w:t>
      </w:r>
      <w:r>
        <w:t>, FJ</w:t>
      </w:r>
      <w:r w:rsidRPr="00674463">
        <w:t xml:space="preserve"> 4</w:t>
      </w:r>
      <w:r>
        <w:t>,</w:t>
      </w:r>
      <w:r w:rsidRPr="00674463">
        <w:t xml:space="preserve"> </w:t>
      </w:r>
      <w:r w:rsidRPr="00674463">
        <w:rPr>
          <w:i/>
        </w:rPr>
        <w:t>«el recurrente debe desplegar un ‘esfuerzo argumentativo´ para justificar la proyección objetiva de la vulneración producida y colaborar con este Tribunal en la tarea de identificarla. Si se elude esta carga formal, no cabe trasladársela al Tribunal Constitucional, para que éste supla las deficiencias en que incurre la demanda a través de un ejercicio intelectual del que resulten las razones por las que el recurrente parece que entiende que sus pretensiones tienen una dimensión objetiva»</w:t>
      </w:r>
      <w:r>
        <w:t>.</w:t>
      </w:r>
    </w:p>
    <w:p w14:paraId="186DB987" w14:textId="77777777" w:rsidR="006F44C0" w:rsidRPr="00014F40" w:rsidRDefault="006F44C0" w:rsidP="002B2B12">
      <w:pPr>
        <w:spacing w:after="240"/>
        <w:rPr>
          <w:i/>
          <w:iCs/>
        </w:rPr>
      </w:pPr>
      <w:r w:rsidRPr="00014F40">
        <w:t>En cuanto al modo en el que se debe dar cumplimiento a la justificación de la especial transcendencia constitucional</w:t>
      </w:r>
      <w:r>
        <w:rPr>
          <w:rStyle w:val="Refdenotaalpie"/>
        </w:rPr>
        <w:footnoteReference w:id="267"/>
      </w:r>
      <w:r w:rsidRPr="00014F40">
        <w:t xml:space="preserve"> del recurso</w:t>
      </w:r>
      <w:r>
        <w:t xml:space="preserve">, la </w:t>
      </w:r>
      <w:r w:rsidRPr="00014F40">
        <w:t xml:space="preserve"> STC 178/2012, de 15 de octubre, FJ 3, </w:t>
      </w:r>
      <w:r>
        <w:lastRenderedPageBreak/>
        <w:t>dispuso que</w:t>
      </w:r>
      <w:r w:rsidRPr="00014F40">
        <w:t xml:space="preserve"> </w:t>
      </w:r>
      <w:r w:rsidRPr="00014F40">
        <w:rPr>
          <w:i/>
          <w:iCs/>
        </w:rPr>
        <w:t xml:space="preserve">«aunque la indicada previsión del art. 49.1 in fine LOTC se configura como una carga procesal de la parte, es también un instrumento de colaboración con la Justicia constitucional, habida cuenta de que el legislador ha querido que la valoración del Tribunal acerca de la especial trascendencia constitucional de cada recurso venga siempre precedida de la iniciativa y apreciaciones de la parte, recogidas en su escrito de demanda». </w:t>
      </w:r>
    </w:p>
    <w:p w14:paraId="44733A5F" w14:textId="77777777" w:rsidR="006F44C0" w:rsidRDefault="006F44C0" w:rsidP="002B2B12">
      <w:pPr>
        <w:spacing w:after="240"/>
      </w:pPr>
      <w:r w:rsidRPr="00674463">
        <w:t>No obstante, consideramos que esta labor es ardua ya que no entendemos, más allá del elenco de la STC 155/2009, qué ha de tener un caso para ser considerado digno de admisión por el TC.</w:t>
      </w:r>
      <w:r>
        <w:t xml:space="preserve"> Nos parece que se le está obligando al demandante de amparo a realizar una labor de la cual no tiene conocimiento pues ese ‘esfuerzo argumentativo’ no consiste sólo en ‘argumentar’, nada más lejos, se le está exigiendo demostrar la especialidad e importancia de su caso, sin unas nociones claras, para que el TC decida admitirlo, tarea que, como hemos dicho, no tiene unas indicaciones claras.</w:t>
      </w:r>
    </w:p>
    <w:p w14:paraId="13932F8C" w14:textId="77777777" w:rsidR="006F44C0" w:rsidRDefault="006F44C0" w:rsidP="002B2B12">
      <w:pPr>
        <w:spacing w:after="240"/>
      </w:pPr>
      <w:r>
        <w:t>Por último, p</w:t>
      </w:r>
      <w:r w:rsidRPr="00014F40">
        <w:t xml:space="preserve">ara satisfacer esta exigencia, la demanda de amparo no tiene que ajustarse a un modelo rígido, pero sí responder a los </w:t>
      </w:r>
      <w:r w:rsidRPr="008C53BB">
        <w:rPr>
          <w:i/>
          <w:iCs/>
        </w:rPr>
        <w:t>«cánones propios de este tipo de escritos procesales»</w:t>
      </w:r>
      <w:r w:rsidRPr="00014F40">
        <w:t xml:space="preserve"> (STC 17/2011, de 28 de febrero, FJ 2) y </w:t>
      </w:r>
      <w:r w:rsidRPr="008C53BB">
        <w:rPr>
          <w:i/>
          <w:iCs/>
        </w:rPr>
        <w:t xml:space="preserve">«tener en cuenta las precisiones que, </w:t>
      </w:r>
      <w:r w:rsidRPr="008C53BB">
        <w:rPr>
          <w:i/>
          <w:iCs/>
        </w:rPr>
        <w:lastRenderedPageBreak/>
        <w:t>con relación a esa específica carga, ha ido efectuando este Tribunal a través de diversas resoluciones que despejan las posibles dudas sobre el modo en el que se tiene que hacer efectiva»</w:t>
      </w:r>
      <w:r w:rsidRPr="00014F40">
        <w:t xml:space="preserve"> (STC 69/2011, de 16 de mayo, FJ 3).</w:t>
      </w:r>
      <w:r>
        <w:t xml:space="preserve"> </w:t>
      </w:r>
    </w:p>
    <w:p w14:paraId="1093C9F5" w14:textId="77777777" w:rsidR="006F44C0" w:rsidRDefault="006F44C0" w:rsidP="002B2B12">
      <w:pPr>
        <w:spacing w:after="240"/>
      </w:pPr>
      <w:r>
        <w:t xml:space="preserve">Como ya hemos afirmado, consideramos que el TC está otorgándole al demandante una labor desmesuradamente difícil ya que el trabajo que debe realizar para lograr que su demanda sea admitida conlleva una gran labor de “investigación jurisprudencial”, entendible, por otra parte, si tenemos en cuenta que el objetivo desde la reforma de 2007 no es otro que el de minorar la carga de trabajo del TC, no sólo en lo que respecta a los casos que van a resolver, sino también, según nos parece, a los casos que se presenten. Es decir, entendemos que la dificultad en sí misma de la demanda tiene un ánimo disuasorio para los justiciables, evitando así que acudan al TC de un modo arbitrario ya que, el trabajo del TC no sólo reside en la resolución de los casos, sino también en su admisión. </w:t>
      </w:r>
    </w:p>
    <w:p w14:paraId="10B7630B" w14:textId="77777777" w:rsidR="006F44C0" w:rsidRPr="00A82793" w:rsidRDefault="006F44C0" w:rsidP="002B2B12">
      <w:pPr>
        <w:spacing w:after="240"/>
        <w:rPr>
          <w:i/>
        </w:rPr>
      </w:pPr>
      <w:r>
        <w:t xml:space="preserve">No obstante, cabe destacar que el TC, en los primeros años de aplicación de la reforma, fue considerablemente indulgente a la hora de aplicar estos criterios de exigencia de justificación de la especial trascendencia constitucional, al menos, hasta la publicación de la STC 155/2009 entendiendo que, a partir de ella, se concretaron los criterios procesales y materiales sobre esta justificación. Un ejemplo de ello es la STC 15/2011, FJ 3, en relación con una demanda de amparo anterior a la Sentencia de 2009: </w:t>
      </w:r>
      <w:r w:rsidRPr="00A82793">
        <w:rPr>
          <w:i/>
        </w:rPr>
        <w:t>«Sin embargo, el rigor de la valoración relativa a la satisfacción de la carga de justificar la especial trascendencia constitucional debe atemperarse a la vista de la fecha en que la demanda se interpuso. Cumple indicar en tal sentido que en los AATC 4/2010 y 5/2010, de 14 de enero, hemos tomado en consideración la fecha de interposición de la demanda en relación con la fecha de publicación de la STC 155/2009, de 25 de junio (“BOE” núm. 181, de 28 de julio de 2009), a los efectos de modular el rigor con el que ha de apreciarse el alzamiento de la carga de justificar la especial trascendencia constitucional en aquellas demandas interpuestas con anterioridad a su publicación oficial.».</w:t>
      </w:r>
    </w:p>
    <w:p w14:paraId="665F68D2" w14:textId="77777777" w:rsidR="006F44C0" w:rsidRDefault="006F44C0" w:rsidP="002B2B12">
      <w:pPr>
        <w:spacing w:after="240"/>
      </w:pPr>
    </w:p>
    <w:p w14:paraId="7BBF7F57" w14:textId="77777777" w:rsidR="006F44C0" w:rsidRDefault="006F44C0" w:rsidP="002B2B12">
      <w:pPr>
        <w:spacing w:after="240"/>
      </w:pPr>
    </w:p>
    <w:p w14:paraId="7C852802" w14:textId="77777777" w:rsidR="006F44C0" w:rsidRPr="00304D83" w:rsidRDefault="006F44C0" w:rsidP="002B2B12">
      <w:pPr>
        <w:spacing w:after="240"/>
      </w:pPr>
    </w:p>
    <w:p w14:paraId="1B5CDB3A" w14:textId="77777777" w:rsidR="006F44C0" w:rsidRPr="003219DB" w:rsidRDefault="006F44C0" w:rsidP="002B2B12">
      <w:pPr>
        <w:spacing w:after="240"/>
      </w:pPr>
      <w:r w:rsidRPr="003219DB">
        <w:br w:type="page"/>
      </w:r>
    </w:p>
    <w:p w14:paraId="5452F558" w14:textId="77777777" w:rsidR="006F44C0" w:rsidRPr="009E2078" w:rsidRDefault="006F44C0" w:rsidP="002B2B12">
      <w:pPr>
        <w:pStyle w:val="Ttulo2"/>
        <w:spacing w:after="240"/>
      </w:pPr>
      <w:bookmarkStart w:id="652" w:name="_Toc43034495"/>
      <w:bookmarkStart w:id="653" w:name="_Toc45731796"/>
      <w:bookmarkStart w:id="654" w:name="_Toc49423700"/>
      <w:bookmarkStart w:id="655" w:name="_Toc49708632"/>
      <w:bookmarkStart w:id="656" w:name="_Toc49790298"/>
      <w:bookmarkStart w:id="657" w:name="_Toc49866578"/>
      <w:bookmarkStart w:id="658" w:name="_Toc50373189"/>
      <w:r w:rsidRPr="009E2078">
        <w:lastRenderedPageBreak/>
        <w:t>EVOLUCION JURISPRUDENCIAL DE LOS DIFERENTES SUPUESTOS DE ESPECIAL TRASCENDENCIA CONSTITUCIONA</w:t>
      </w:r>
      <w:bookmarkEnd w:id="652"/>
      <w:r>
        <w:t>L</w:t>
      </w:r>
      <w:bookmarkEnd w:id="653"/>
      <w:bookmarkEnd w:id="654"/>
      <w:bookmarkEnd w:id="655"/>
      <w:bookmarkEnd w:id="656"/>
      <w:bookmarkEnd w:id="657"/>
      <w:bookmarkEnd w:id="658"/>
    </w:p>
    <w:p w14:paraId="0D9B106E" w14:textId="24ACD599" w:rsidR="006F44C0" w:rsidRDefault="006F44C0" w:rsidP="002B2B12">
      <w:pPr>
        <w:spacing w:after="240"/>
      </w:pPr>
      <w:r>
        <w:t xml:space="preserve">Procede a continuación, estudiados </w:t>
      </w:r>
      <w:r w:rsidRPr="005F0C03">
        <w:t xml:space="preserve">los aspectos formales y el alcance procesal del requisito de la especial trascendencia constitucional, </w:t>
      </w:r>
      <w:r>
        <w:t>atender al contenido material de esta figura. Ya hemos apuntado que la raíz del problema radica, a nuestro parecer, en el carácter indeterminado de este concepto legal.</w:t>
      </w:r>
      <w:r w:rsidRPr="005F0C03">
        <w:t xml:space="preserve"> El art. 50.1.b) LOTC </w:t>
      </w:r>
      <w:r>
        <w:t>ofrece una definición bastante indeterminada</w:t>
      </w:r>
      <w:r>
        <w:rPr>
          <w:rStyle w:val="Refdenotaalpie"/>
        </w:rPr>
        <w:footnoteReference w:id="268"/>
      </w:r>
      <w:r>
        <w:t xml:space="preserve"> </w:t>
      </w:r>
      <w:r w:rsidRPr="005F0C03">
        <w:t>de la trascendencia</w:t>
      </w:r>
      <w:r>
        <w:t xml:space="preserve"> constitucional, por lo que ha sido necesario, desde la entrada en vigor de la reforma, una mayor concreción por parte del TC. </w:t>
      </w:r>
      <w:r w:rsidRPr="00BE2FE3">
        <w:t>El Tribunal comenzó</w:t>
      </w:r>
      <w:r>
        <w:t xml:space="preserve"> a concretar esta figura en un sentido negativo, es decir, determinando lo </w:t>
      </w:r>
      <w:r w:rsidRPr="00BE2FE3">
        <w:t>que no e</w:t>
      </w:r>
      <w:r>
        <w:t>ra</w:t>
      </w:r>
      <w:r w:rsidRPr="00BE2FE3">
        <w:t xml:space="preserve"> la especial trascendencia constitucional. </w:t>
      </w:r>
      <w:r>
        <w:t xml:space="preserve">En el anterior apartado hemos visto como el TC comenzó desligando este concepto del de la existencia de lesión, disponiendo que son conceptos independientes y necesariamente justificables. </w:t>
      </w:r>
      <w:r w:rsidRPr="00BE2FE3">
        <w:t xml:space="preserve">Sin embargo, </w:t>
      </w:r>
      <w:r>
        <w:t xml:space="preserve">a pesar de que el Tribunal comenzó a dar algunas pinceladas a este indefinido concepto, sigue sin existir </w:t>
      </w:r>
      <w:r w:rsidRPr="00BE2FE3">
        <w:t xml:space="preserve">un </w:t>
      </w:r>
      <w:r>
        <w:t xml:space="preserve">canon </w:t>
      </w:r>
      <w:r w:rsidRPr="00BE2FE3">
        <w:t>general</w:t>
      </w:r>
      <w:r>
        <w:t xml:space="preserve"> </w:t>
      </w:r>
      <w:r w:rsidRPr="00BE2FE3">
        <w:t xml:space="preserve">para conocer lo que </w:t>
      </w:r>
      <w:r>
        <w:t xml:space="preserve">éste </w:t>
      </w:r>
      <w:r w:rsidRPr="00BE2FE3">
        <w:t>considera que no tiene especial trascendencia</w:t>
      </w:r>
      <w:r>
        <w:t xml:space="preserve"> </w:t>
      </w:r>
      <w:r w:rsidRPr="00BE2FE3">
        <w:t>constitucional</w:t>
      </w:r>
      <w:r>
        <w:t xml:space="preserve">. A nuestro parecer, uno de los mayores problemas que impiden que esta figura se concrete es el referido a las </w:t>
      </w:r>
      <w:r w:rsidRPr="00BE2FE3">
        <w:t>providencias de inadmisión</w:t>
      </w:r>
      <w:r>
        <w:t>, las cuales</w:t>
      </w:r>
      <w:r w:rsidRPr="00BE2FE3">
        <w:t xml:space="preserve"> no se publican ni,</w:t>
      </w:r>
      <w:r>
        <w:t xml:space="preserve"> </w:t>
      </w:r>
      <w:r w:rsidRPr="00BE2FE3">
        <w:t xml:space="preserve">sobre todo, están motivadas. </w:t>
      </w:r>
      <w:r>
        <w:t>Por ello, si se pretende conocer las m</w:t>
      </w:r>
      <w:r w:rsidRPr="00BE2FE3">
        <w:t>otivaciones</w:t>
      </w:r>
      <w:r>
        <w:t xml:space="preserve"> sobre los casos en que se considera la inexistencia de esta figura, habrá que acudir a </w:t>
      </w:r>
      <w:r w:rsidRPr="00BE2FE3">
        <w:t>los autos que</w:t>
      </w:r>
      <w:r>
        <w:t xml:space="preserve"> </w:t>
      </w:r>
      <w:r w:rsidRPr="00BE2FE3">
        <w:t xml:space="preserve">desestiman los </w:t>
      </w:r>
      <w:r>
        <w:t>pocos</w:t>
      </w:r>
      <w:r w:rsidRPr="00BE2FE3">
        <w:t xml:space="preserve"> recursos de súplica del Ministerio Fiscal fundados en las</w:t>
      </w:r>
      <w:r>
        <w:t xml:space="preserve"> </w:t>
      </w:r>
      <w:r w:rsidRPr="00BE2FE3">
        <w:t>discrepancias de este respecto de la providencia de inadmisión</w:t>
      </w:r>
      <w:r>
        <w:t xml:space="preserve"> o los también poco numerosos casos </w:t>
      </w:r>
      <w:r w:rsidRPr="00BE2FE3">
        <w:t xml:space="preserve">en los que la falta de especial trascendencia constitucional </w:t>
      </w:r>
      <w:r>
        <w:t xml:space="preserve">es </w:t>
      </w:r>
      <w:r w:rsidR="00A257EC">
        <w:t xml:space="preserve">apreciada </w:t>
      </w:r>
      <w:r w:rsidR="00A257EC" w:rsidRPr="00BE2FE3">
        <w:t>en</w:t>
      </w:r>
      <w:r>
        <w:t xml:space="preserve"> </w:t>
      </w:r>
      <w:r w:rsidRPr="00BE2FE3">
        <w:t xml:space="preserve">sentencia. </w:t>
      </w:r>
      <w:r>
        <w:t>No obstante, es necesario destacar que  existen</w:t>
      </w:r>
      <w:r w:rsidRPr="00BE2FE3">
        <w:t xml:space="preserve"> autos</w:t>
      </w:r>
      <w:r>
        <w:t xml:space="preserve"> </w:t>
      </w:r>
      <w:r w:rsidRPr="00BE2FE3">
        <w:t>que resuelven mediante la somera afirmación de que no se da el motivo</w:t>
      </w:r>
      <w:r>
        <w:t xml:space="preserve"> </w:t>
      </w:r>
      <w:r w:rsidRPr="00BE2FE3">
        <w:t>expuesto por el Fiscal</w:t>
      </w:r>
      <w:r>
        <w:rPr>
          <w:rStyle w:val="Refdenotaalpie"/>
        </w:rPr>
        <w:footnoteReference w:id="269"/>
      </w:r>
      <w:r>
        <w:t>. Por último, otra opción para concretar esto sería la de acudir a los votos particulares</w:t>
      </w:r>
    </w:p>
    <w:p w14:paraId="2AA5DBEB" w14:textId="4E2D5B5A" w:rsidR="009326E5" w:rsidRDefault="006F44C0" w:rsidP="009326E5">
      <w:pPr>
        <w:spacing w:after="240"/>
      </w:pPr>
      <w:r>
        <w:t xml:space="preserve">Mayor problema ofrece, si cabe, determinar lo que sí es la especial trascendencia constitucional. Ya hemos apuntado que la LOTC hizo una pequeña (e insuficiente) </w:t>
      </w:r>
      <w:r>
        <w:lastRenderedPageBreak/>
        <w:t xml:space="preserve">concreción de esta figura </w:t>
      </w:r>
      <w:r w:rsidRPr="00E76AF5">
        <w:t xml:space="preserve">al conectarlo en el art. 50.1.b) con tres conceptos, </w:t>
      </w:r>
      <w:r>
        <w:t>muy</w:t>
      </w:r>
      <w:r w:rsidRPr="00E76AF5">
        <w:t xml:space="preserve"> amplios y abstractos. </w:t>
      </w:r>
      <w:r>
        <w:t xml:space="preserve">Debido a este problema </w:t>
      </w:r>
      <w:r w:rsidRPr="00E76AF5">
        <w:t xml:space="preserve">el Pleno del Tribunal se planteó </w:t>
      </w:r>
      <w:r>
        <w:t xml:space="preserve">la necesidad de arrojar luz sobre este indeterminado y problemático concepto. De este modo, </w:t>
      </w:r>
      <w:r w:rsidRPr="00E76AF5">
        <w:t xml:space="preserve">la STC 155/2009 </w:t>
      </w:r>
      <w:r>
        <w:t xml:space="preserve">fijó </w:t>
      </w:r>
      <w:r w:rsidRPr="00E76AF5">
        <w:t>una serie de supuestos en los que, sin pretender en principio ser exhaustivo, cabe apreciar la especial trascendencia constitucional</w:t>
      </w:r>
      <w:r>
        <w:t xml:space="preserve">. Cabe destacar que, desde esta Sentencia, el TC </w:t>
      </w:r>
      <w:r w:rsidRPr="00E76AF5">
        <w:t>permanece muy fiel a la doctrina allí fijada, de manera que en todos los casos en los que se ha apreciado la concurrencia de especial trascendencia constitucional se ha conectado ésta con algunos de los siete supuestos allí establecidos</w:t>
      </w:r>
      <w:r>
        <w:rPr>
          <w:rStyle w:val="Refdenotaalpie"/>
        </w:rPr>
        <w:footnoteReference w:id="270"/>
      </w:r>
      <w:r w:rsidRPr="00E76AF5">
        <w:t xml:space="preserve">. </w:t>
      </w:r>
      <w:r>
        <w:t xml:space="preserve">Bien es cierto que los supuestos recogidos en la Sentencia siguen siendo bastante abiertos y amplios, sin embargo, supuso un gran avance en la concreción del concepto de especial trascendencia </w:t>
      </w:r>
      <w:r w:rsidR="004B058B">
        <w:t>constitucional y</w:t>
      </w:r>
      <w:r w:rsidR="009326E5">
        <w:t xml:space="preserve"> así viene demostrado por la propia práctica del Tribunal y, además, así ha sido confirmado incluso por el Tribunal Europeo de Derechos Humanos en su Sentencia de 20 de enero de 2015, asunto Arribas Antón c. España.</w:t>
      </w:r>
    </w:p>
    <w:p w14:paraId="10D20F2D" w14:textId="42931213" w:rsidR="006F44C0" w:rsidRDefault="009326E5" w:rsidP="009326E5">
      <w:pPr>
        <w:spacing w:after="240"/>
      </w:pPr>
      <w:r>
        <w:t>Cabe destacar que, hasta ahora,</w:t>
      </w:r>
      <w:r w:rsidR="006F44C0">
        <w:t xml:space="preserve"> el TC se ha mantenido fiel a lo que dispuso </w:t>
      </w:r>
      <w:r>
        <w:t xml:space="preserve">en esta Sentencia </w:t>
      </w:r>
      <w:r w:rsidR="006F44C0">
        <w:t>en su posterior jurisprudencia</w:t>
      </w:r>
      <w:r>
        <w:t>,</w:t>
      </w:r>
      <w:r w:rsidR="006F44C0">
        <w:rPr>
          <w:rStyle w:val="Refdenotaalpie"/>
        </w:rPr>
        <w:footnoteReference w:id="271"/>
      </w:r>
      <w:r>
        <w:t xml:space="preserve"> reconduciendo a los supuestos de especial trascendencia constitucional allí recogidos todos los casos en que ésta es apreciada</w:t>
      </w:r>
      <w:r w:rsidR="006F44C0">
        <w:t>. Como destaca PÉREZ TREMPS, “</w:t>
      </w:r>
      <w:r w:rsidR="006F44C0" w:rsidRPr="00C63BEF">
        <w:rPr>
          <w:i/>
          <w:iCs/>
        </w:rPr>
        <w:t xml:space="preserve">la STC 155/2009 actúa con un contenido </w:t>
      </w:r>
      <w:r w:rsidR="006F44C0">
        <w:rPr>
          <w:i/>
          <w:iCs/>
        </w:rPr>
        <w:t>‘</w:t>
      </w:r>
      <w:proofErr w:type="spellStart"/>
      <w:r w:rsidR="006F44C0" w:rsidRPr="00C63BEF">
        <w:rPr>
          <w:i/>
          <w:iCs/>
        </w:rPr>
        <w:t>quasi</w:t>
      </w:r>
      <w:proofErr w:type="spellEnd"/>
      <w:r w:rsidR="006F44C0" w:rsidRPr="00C63BEF">
        <w:rPr>
          <w:i/>
          <w:iCs/>
        </w:rPr>
        <w:t xml:space="preserve"> normativo</w:t>
      </w:r>
      <w:r w:rsidR="006F44C0">
        <w:rPr>
          <w:i/>
          <w:iCs/>
        </w:rPr>
        <w:t>’</w:t>
      </w:r>
      <w:r w:rsidR="006F44C0" w:rsidRPr="00C63BEF">
        <w:rPr>
          <w:i/>
          <w:iCs/>
        </w:rPr>
        <w:t>, como una especie de «reglamento jurisprudencial» de desarrollo del art. 50.1.b LOTC</w:t>
      </w:r>
      <w:r w:rsidR="006F44C0">
        <w:t>”</w:t>
      </w:r>
      <w:r w:rsidR="006F44C0">
        <w:rPr>
          <w:rStyle w:val="Refdenotaalpie"/>
        </w:rPr>
        <w:footnoteReference w:id="272"/>
      </w:r>
      <w:r w:rsidR="006F44C0" w:rsidRPr="00E76AF5">
        <w:t>.</w:t>
      </w:r>
      <w:r w:rsidR="006F44C0">
        <w:t xml:space="preserve"> </w:t>
      </w:r>
    </w:p>
    <w:p w14:paraId="0EBAFD8E" w14:textId="03F9B529" w:rsidR="009326E5" w:rsidRPr="00BE2FE3" w:rsidRDefault="009326E5" w:rsidP="009326E5">
      <w:pPr>
        <w:spacing w:after="240"/>
      </w:pPr>
      <w:r>
        <w:t xml:space="preserve">Encontramos, sin embargo, el problema de </w:t>
      </w:r>
      <w:r w:rsidR="004B058B">
        <w:t>que,</w:t>
      </w:r>
      <w:r>
        <w:t xml:space="preserve"> en la mayoría de los casos, esta reconducción se hace de forma “automática”, limitándose meramente y sin excesivo razonamiento a indicar en qué hipótesis de la citada STC 155/2009 encaja el caso concreto y sin ofrecer una mayor explicación que ayude a ir determinando y entendiendo el significado de cada uno de los supuestos de la Sentencia.</w:t>
      </w:r>
    </w:p>
    <w:p w14:paraId="659CE233" w14:textId="079AEA7A" w:rsidR="006F44C0" w:rsidRDefault="009326E5" w:rsidP="002B2B12">
      <w:pPr>
        <w:spacing w:after="240"/>
      </w:pPr>
      <w:r>
        <w:t>Para más inri, l</w:t>
      </w:r>
      <w:r w:rsidR="006F44C0" w:rsidRPr="00624F02">
        <w:t xml:space="preserve">a </w:t>
      </w:r>
      <w:r w:rsidR="006F44C0">
        <w:t>S</w:t>
      </w:r>
      <w:r w:rsidR="006F44C0" w:rsidRPr="00624F02">
        <w:t xml:space="preserve">entencia </w:t>
      </w:r>
      <w:r w:rsidR="00A257EC">
        <w:t>afirmó</w:t>
      </w:r>
      <w:r w:rsidR="006F44C0" w:rsidRPr="00624F02">
        <w:t xml:space="preserve"> que esta enumeración de supuestos no establece un elenco cerrado</w:t>
      </w:r>
      <w:r w:rsidR="006F44C0">
        <w:rPr>
          <w:rStyle w:val="Refdenotaalpie"/>
        </w:rPr>
        <w:footnoteReference w:id="273"/>
      </w:r>
      <w:r w:rsidR="006F44C0" w:rsidRPr="00624F02">
        <w:t xml:space="preserve">, sino que, por el contrario, pueden surgir nuevos casos en los que exista </w:t>
      </w:r>
      <w:r w:rsidR="006F44C0" w:rsidRPr="00624F02">
        <w:lastRenderedPageBreak/>
        <w:t xml:space="preserve">la especial trascendencia constitucional. En palabras del propio TC en la citada sentencia: </w:t>
      </w:r>
      <w:r w:rsidR="006F44C0" w:rsidRPr="00624F02">
        <w:rPr>
          <w:i/>
        </w:rPr>
        <w:t>“tal relación no puede entenderse como un elenco definitivamente cerrado” sino que por “el carácter dinámico de la jurisdicción constitucional se podría redefinir o depurar conceptos, añadir nuevos supuestos o excluir algunos que ya han sido inicialmente incluidos”</w:t>
      </w:r>
      <w:r w:rsidR="006F44C0" w:rsidRPr="00624F02">
        <w:t>.</w:t>
      </w:r>
      <w:r w:rsidR="006F44C0">
        <w:t xml:space="preserve"> De este modo, nuestro TC dejó la puerta abierta al surgimiento de nuevas realidades que pueden ser objeto de interés para nuestro Alto Tribunal.</w:t>
      </w:r>
      <w:r>
        <w:t xml:space="preserve"> </w:t>
      </w:r>
      <w:r w:rsidR="007A1C01">
        <w:t>Debemos destacar la importancia de este hecho ya que, si tenemos en cuenta que la introducción de la especial trascendencia constitucional es consecuencia de una Ley que pretendía disminuir a toda costa la llegada de asuntos al TC, el hecho de dejar “la puerta abierta” a nuevos casos podría ser, a nuestro parecer, un hecho que anime a los recurrentes a “probar”, presentando su demanda, si su caso podría ser uno de los que tenga especial trascendencia fuera de esta enumeración. Entendemos que la intención del TC al dejar la puerta abierta es no cerrarse a la posibilidad de nuevos casos importantes y a mantenerse abierto al surgimiento de nuevas realidades, sin embargo, creemos que esta posibilidad puede ser un aliento a la llegada de nuevas demandas no ajustadas a ninguno de los casos de la STC 155/2009. No obstante</w:t>
      </w:r>
      <w:r>
        <w:t>, hasta la fecha, el TC no ha ampliado esta lista</w:t>
      </w:r>
      <w:r w:rsidR="007A1C01">
        <w:t xml:space="preserve"> expresamente, aunque sí ha sucedido, como veremos en el siguiente apartado, que ha admitido a trámite demandas que no han justificado su incursión en ninguno de los citados supuestos.</w:t>
      </w:r>
    </w:p>
    <w:p w14:paraId="4E9EA8DA" w14:textId="77777777" w:rsidR="006F44C0" w:rsidRDefault="006F44C0" w:rsidP="002B2B12">
      <w:pPr>
        <w:spacing w:after="240"/>
      </w:pPr>
      <w:r>
        <w:t xml:space="preserve">Algunos autores como PULIDO QUECEDO consideraron que estos criterios de “concreción” del artículo 50.1.b) LOTC no debieron hacerse a través del fundamento jurídico de una sentencia, ya que entendieron que el TC al hacer esto incurrió en la creación jurisprudencial de derecho. En su opinión, deberían haber recurrido al art. 2.2 </w:t>
      </w:r>
      <w:r w:rsidRPr="00E76AF5">
        <w:rPr>
          <w:i/>
          <w:iCs/>
        </w:rPr>
        <w:t>LOTC</w:t>
      </w:r>
      <w:r>
        <w:t xml:space="preserve"> para dictar un reglamento de admisión del recurso de amparo</w:t>
      </w:r>
      <w:r>
        <w:rPr>
          <w:rStyle w:val="Refdenotaalpie"/>
        </w:rPr>
        <w:footnoteReference w:id="274"/>
      </w:r>
      <w:r>
        <w:t xml:space="preserve">. </w:t>
      </w:r>
    </w:p>
    <w:p w14:paraId="37C0835F" w14:textId="77777777" w:rsidR="006F44C0" w:rsidRDefault="006F44C0" w:rsidP="002B2B12">
      <w:pPr>
        <w:spacing w:after="240"/>
      </w:pPr>
      <w:r>
        <w:lastRenderedPageBreak/>
        <w:t xml:space="preserve">Discrepamos en este punto ya que consideramos que no se estaría creando derecho mediante la jurisprudencia de nuestro TC, sino que se estaría concretando o perfilando un concepto indeterminado introducido en la LOTC dentro del marco establecido por esta, pero no se estaría creando derecho. No obstante, cabe plantearse si habría sido mejor opción la creación de un reglamento de admisión del recurso de amparo, sobre todo teniendo en cuenta la indeterminación del concepto de especial trascendencia constitucional incluso después de la STC 155/2009. Consideramos que este reglamente posiblemente habría facilitado mucho la labor de los operadores jurídicos, especialmente la de los abogados, además, la existencia de un reglamento que tratase esta materia unificaría más los pasos a seguir para la admisión a trámite del recurso que la dispersa jurisprudencia del TC. </w:t>
      </w:r>
    </w:p>
    <w:p w14:paraId="6F7C949F" w14:textId="77777777" w:rsidR="006F44C0" w:rsidRDefault="006F44C0" w:rsidP="002B2B12">
      <w:pPr>
        <w:spacing w:after="240"/>
      </w:pPr>
      <w:r>
        <w:t>El autor añade, además, que ha visto en este primer desarrollo jurisprudencial de los criterios de admisión del amparo constitucional, más que una precisión de tales criterios, una especie de “complemento legislativo” al art. 50.1 LOTC. Entiende por tanto que, en cierto modo, se podría estar respondiendo a aquellas propuestas de quienes entendían necesario, en la línea seguida por la reforma alemana de 1993, la concreción legislativa de los criterios de admisibilidad del recurso ante el TC una vez que al mismo se le dota de cierta discrecionalidad en la selección de los asuntos de que va a conocer</w:t>
      </w:r>
      <w:r>
        <w:rPr>
          <w:rStyle w:val="Refdenotaalpie"/>
        </w:rPr>
        <w:footnoteReference w:id="275"/>
      </w:r>
      <w:r>
        <w:t xml:space="preserve">. </w:t>
      </w:r>
    </w:p>
    <w:p w14:paraId="195E920C" w14:textId="77777777" w:rsidR="006F44C0" w:rsidRDefault="006F44C0" w:rsidP="002B2B12">
      <w:pPr>
        <w:spacing w:after="240"/>
      </w:pPr>
      <w:r>
        <w:t>Lo cierto es que, desde la publicación de esta sentencia, ésta actúa como un complemento del art. 50.1 LOTC debido a la inconcreción de este a la hora de definir la especial trascendencia constitucional. Pero, como ya hemos destacado, no consideramos que el TC creara derecho con esto.</w:t>
      </w:r>
    </w:p>
    <w:p w14:paraId="5C159A9E" w14:textId="77777777" w:rsidR="006F44C0" w:rsidRDefault="006F44C0" w:rsidP="002B2B12">
      <w:pPr>
        <w:spacing w:after="240"/>
      </w:pPr>
      <w:r>
        <w:t xml:space="preserve">Por otra parte, aunque en un principio pudiera parecer que el TC arrojó algo de luz sobre este abstracto concepto, la realidad fue que el carácter abierto de estos supuestos siguió suponiendo una dificultad para los operadores jurídicos a la hora de determinar en qué casos la demanda de amparo podría ser admitida a trámite. No quedó, por tanto, otra opción que esperar a que el TC, mediante su jurisprudencia, concretara cada supuesto de especial trascendencia constitucional. Es por ello que consideramos conveniente realizar </w:t>
      </w:r>
      <w:r>
        <w:lastRenderedPageBreak/>
        <w:t>un análisis de la evolución de los diferentes conceptos de especial trascendencia constitucional enumerados por el TC en su Sentencia de 2009.</w:t>
      </w:r>
    </w:p>
    <w:p w14:paraId="43D98B72" w14:textId="2685B43B" w:rsidR="006F44C0" w:rsidRPr="00325FB3" w:rsidRDefault="006F44C0" w:rsidP="001A4310">
      <w:pPr>
        <w:pStyle w:val="Ttulo3"/>
        <w:numPr>
          <w:ilvl w:val="0"/>
          <w:numId w:val="33"/>
        </w:numPr>
      </w:pPr>
      <w:bookmarkStart w:id="659" w:name="_Toc43034496"/>
      <w:bookmarkStart w:id="660" w:name="_Toc45731797"/>
      <w:bookmarkStart w:id="661" w:name="_Toc49423701"/>
      <w:bookmarkStart w:id="662" w:name="_Toc49708633"/>
      <w:bookmarkStart w:id="663" w:name="_Toc49790299"/>
      <w:bookmarkStart w:id="664" w:name="_Toc49866579"/>
      <w:bookmarkStart w:id="665" w:name="_Toc50373190"/>
      <w:r w:rsidRPr="00325FB3">
        <w:t>Recurso que plantea un problema o faceta de un derecho fundamental susceptible de amparo sobre el que no haya doctrina del Tribunal Constitucional</w:t>
      </w:r>
      <w:bookmarkEnd w:id="659"/>
      <w:bookmarkEnd w:id="660"/>
      <w:bookmarkEnd w:id="661"/>
      <w:bookmarkEnd w:id="662"/>
      <w:bookmarkEnd w:id="663"/>
      <w:bookmarkEnd w:id="664"/>
      <w:bookmarkEnd w:id="665"/>
      <w:r w:rsidRPr="00325FB3">
        <w:t xml:space="preserve"> </w:t>
      </w:r>
    </w:p>
    <w:p w14:paraId="0BC76B69" w14:textId="77777777" w:rsidR="006F44C0" w:rsidRDefault="006F44C0" w:rsidP="002B2B12">
      <w:pPr>
        <w:spacing w:after="240"/>
      </w:pPr>
      <w:r>
        <w:t>Lo primero que debemos destacar es que este supuesto es el único que fue reconocido de forma anticipada a la STC 155/2009, de 25 de junio. En efecto, la ya mencionada STC 70/2009, de 23 de marzo,  estableció que la especial trascendencia constitucional podía concurrir cuando el recurrente planteara una cuestión novedosa de la que aún no existiera doctrinal constitucional al respecto</w:t>
      </w:r>
      <w:r>
        <w:rPr>
          <w:rStyle w:val="Refdenotaalpie"/>
        </w:rPr>
        <w:footnoteReference w:id="276"/>
      </w:r>
      <w:r>
        <w:t xml:space="preserve">. </w:t>
      </w:r>
    </w:p>
    <w:p w14:paraId="7C704A32" w14:textId="77777777" w:rsidR="006F44C0" w:rsidRDefault="006F44C0" w:rsidP="002B2B12">
      <w:pPr>
        <w:spacing w:after="240"/>
      </w:pPr>
      <w:r>
        <w:t>Consideramos este supuesto, aunque como veremos existen excepciones, como muestra de la dimensión o</w:t>
      </w:r>
      <w:r w:rsidRPr="00590808">
        <w:t>bjetiva del recurso de</w:t>
      </w:r>
      <w:r>
        <w:t xml:space="preserve"> a</w:t>
      </w:r>
      <w:r w:rsidRPr="00590808">
        <w:t>mparo</w:t>
      </w:r>
      <w:r>
        <w:t xml:space="preserve"> ya que su función principal será la de </w:t>
      </w:r>
      <w:r w:rsidRPr="00590808">
        <w:t>establecer a través de la labor como intérprete supremo de la Constitución, el objeto, contenido y límites de</w:t>
      </w:r>
      <w:r>
        <w:t xml:space="preserve"> </w:t>
      </w:r>
      <w:r w:rsidRPr="00590808">
        <w:t>los derechos fundamentales. También</w:t>
      </w:r>
      <w:r>
        <w:t xml:space="preserve"> puede apreciarse su </w:t>
      </w:r>
      <w:r w:rsidRPr="00590808">
        <w:t>labor hermenéutica cuan</w:t>
      </w:r>
      <w:r>
        <w:t>do la dificultad del caso derive</w:t>
      </w:r>
      <w:r w:rsidRPr="00590808">
        <w:t xml:space="preserve"> de</w:t>
      </w:r>
      <w:r>
        <w:t xml:space="preserve"> la verificación de la especificación de la especial trascendencia constitucional atendiendo a </w:t>
      </w:r>
      <w:r w:rsidRPr="00590808">
        <w:t>la norma (problemas normativos) y/o en</w:t>
      </w:r>
      <w:r>
        <w:t xml:space="preserve"> </w:t>
      </w:r>
      <w:r w:rsidRPr="00590808">
        <w:t>relación a los hechos (problemas fácticos)</w:t>
      </w:r>
      <w:r>
        <w:rPr>
          <w:rStyle w:val="Refdenotaalpie"/>
        </w:rPr>
        <w:footnoteReference w:id="277"/>
      </w:r>
      <w:r w:rsidRPr="00590808">
        <w:t>.</w:t>
      </w:r>
    </w:p>
    <w:p w14:paraId="7ADB630F" w14:textId="77777777" w:rsidR="006F44C0" w:rsidRDefault="006F44C0" w:rsidP="002B2B12">
      <w:pPr>
        <w:spacing w:after="240"/>
      </w:pPr>
      <w:r>
        <w:t>Dentro de este supuesto podríamos encontrar asimismo casos</w:t>
      </w:r>
      <w:r w:rsidRPr="00590808">
        <w:t xml:space="preserve"> que supongan la</w:t>
      </w:r>
      <w:r>
        <w:t xml:space="preserve"> </w:t>
      </w:r>
      <w:r w:rsidRPr="00590808">
        <w:t>incorporación de la doctrina de los órganos de garantía encargados de la</w:t>
      </w:r>
      <w:r>
        <w:t xml:space="preserve"> </w:t>
      </w:r>
      <w:r w:rsidRPr="00590808">
        <w:t>interpretación de los tratados y acuerdos internacionales a los que se refiere</w:t>
      </w:r>
      <w:r>
        <w:t xml:space="preserve"> el art. 10.2 CE</w:t>
      </w:r>
      <w:r>
        <w:rPr>
          <w:rStyle w:val="Refdenotaalpie"/>
        </w:rPr>
        <w:footnoteReference w:id="278"/>
      </w:r>
      <w:r>
        <w:t>.</w:t>
      </w:r>
    </w:p>
    <w:p w14:paraId="4D74433D" w14:textId="1160341A" w:rsidR="006F44C0" w:rsidRDefault="006F44C0" w:rsidP="002B2B12">
      <w:pPr>
        <w:spacing w:after="240"/>
      </w:pPr>
      <w:r>
        <w:t xml:space="preserve">Para que pueda apreciarse la concurrencia de especial trascendencia constitucional dentro de este supuesto, es necesario que el recurso plantee un problema constitucional sobre el que no haya aún doctrina o que el concreto supuesto de hecho del que trae causa ese </w:t>
      </w:r>
      <w:r>
        <w:lastRenderedPageBreak/>
        <w:t>recurso no se haya planteado antes</w:t>
      </w:r>
      <w:r>
        <w:rPr>
          <w:rStyle w:val="Refdenotaalpie"/>
        </w:rPr>
        <w:footnoteReference w:id="279"/>
      </w:r>
      <w:r>
        <w:t>. En palabras de MONTAÑÉS PARDO, “</w:t>
      </w:r>
      <w:r>
        <w:rPr>
          <w:i/>
        </w:rPr>
        <w:t xml:space="preserve">no está de más precisar que una cuestión </w:t>
      </w:r>
      <w:r w:rsidR="004B058B">
        <w:rPr>
          <w:i/>
        </w:rPr>
        <w:t>nueva –</w:t>
      </w:r>
      <w:r>
        <w:rPr>
          <w:i/>
        </w:rPr>
        <w:t>sobre la que «que no haya doctrina»- no es, sin más, la falta de precedente en la jurisprudencia constitucional en atención a las singulares circunstancias del caso, pues la novedad se refiere no al supuesto fáctico sino al contenido o elemento del derecho fundamental invocado y sobre el cual no hubiera aún doctrina constitucional. Lo que se exige, por tanto, es que se plantee una «cuestión constitucional nueva», y no una casuística nueva en cuestiones ya resueltas por la jurisprudencia constitucional</w:t>
      </w:r>
      <w:r>
        <w:t>”</w:t>
      </w:r>
      <w:r>
        <w:rPr>
          <w:rStyle w:val="Refdenotaalpie"/>
        </w:rPr>
        <w:t xml:space="preserve"> </w:t>
      </w:r>
      <w:r>
        <w:rPr>
          <w:rStyle w:val="Refdenotaalpie"/>
        </w:rPr>
        <w:footnoteReference w:id="280"/>
      </w:r>
      <w:r>
        <w:t>.</w:t>
      </w:r>
    </w:p>
    <w:p w14:paraId="004460B1" w14:textId="167BD2F4" w:rsidR="006F44C0" w:rsidRDefault="006F44C0" w:rsidP="002B2B12">
      <w:pPr>
        <w:spacing w:after="240"/>
      </w:pPr>
      <w:r>
        <w:t xml:space="preserve">Coincidimos con la autora en esta precisión pues creemos que la interpretación más correcta de este supuesto sería la de entender que no nos referimos a la casuística en sí misma </w:t>
      </w:r>
      <w:r w:rsidRPr="001C6C30">
        <w:t>sino al contenido o elemento del derecho fundamental</w:t>
      </w:r>
      <w:r>
        <w:t xml:space="preserve">, es decir, el carácter “novedoso” no va a depender </w:t>
      </w:r>
      <w:r w:rsidR="004B058B">
        <w:t xml:space="preserve">del </w:t>
      </w:r>
      <w:r w:rsidR="004B058B" w:rsidRPr="001C6C30">
        <w:t>supuesto</w:t>
      </w:r>
      <w:r>
        <w:t xml:space="preserve"> fáctico, sino de la faceta del derecho fundamental de que se trate. Por tanto, habría que entender este supuesto de una forma un tanto restrictiva pues no va a servir cualquier ‘caso novedoso’, a lo que se deberá atender será a esa nueva y distinta faceta o elemento del derecho fundamental sobre la que el TC no se haya manifestado antes.</w:t>
      </w:r>
    </w:p>
    <w:p w14:paraId="5A3E1E7F" w14:textId="77777777" w:rsidR="006F44C0" w:rsidRDefault="006F44C0" w:rsidP="002B2B12">
      <w:pPr>
        <w:spacing w:after="240"/>
      </w:pPr>
      <w:r>
        <w:t>Atendiendo a ORTEGA GUTIÉRREZ, este supuesto introduciría un “elemento casuístico, vivificador del derecho que obliga necesariamente a un pronunciamiento, debido a la importancia de dar respuesta constitucional a una nueva realidad”</w:t>
      </w:r>
      <w:r>
        <w:rPr>
          <w:rStyle w:val="Refdenotaalpie"/>
        </w:rPr>
        <w:footnoteReference w:id="281"/>
      </w:r>
      <w:r>
        <w:t xml:space="preserve">. </w:t>
      </w:r>
    </w:p>
    <w:p w14:paraId="1C24D0D2" w14:textId="77777777" w:rsidR="006F44C0" w:rsidRDefault="006F44C0" w:rsidP="002B2B12">
      <w:pPr>
        <w:spacing w:after="240"/>
      </w:pPr>
      <w:r>
        <w:t>Para CABAÑAS GARCÍA</w:t>
      </w:r>
      <w:r>
        <w:rPr>
          <w:rStyle w:val="Refdenotaalpie"/>
        </w:rPr>
        <w:footnoteReference w:id="282"/>
      </w:r>
      <w:r>
        <w:t xml:space="preserve"> </w:t>
      </w:r>
      <w:r w:rsidRPr="003D0612">
        <w:t>el primer aspecto se ref</w:t>
      </w:r>
      <w:r>
        <w:t>eriría</w:t>
      </w:r>
      <w:r w:rsidRPr="003D0612">
        <w:t xml:space="preserve"> tanto a precisiones o añadidos (nueva doctrina) que procediere formular sobre la naturaleza del derecho ya previamente definido, su titularidad, contenido, ejercicio y canon constitucional de enjuiciamiento, como también a la (nueva) identificación de hechos o actos que evidencian su lesión y que todavía no se habían considerado como tales por</w:t>
      </w:r>
      <w:r>
        <w:t xml:space="preserve"> </w:t>
      </w:r>
      <w:r w:rsidRPr="003D0612">
        <w:t xml:space="preserve">la jurisprudencia; así la especificación de aspectos procesales del propio recurso de amparo. Por su parte, la </w:t>
      </w:r>
      <w:r w:rsidRPr="003D0612">
        <w:lastRenderedPageBreak/>
        <w:t>«faceta» del derecho fundamental, parece concernir más a una inédita manifestación o expresión del derecho, o su proyección sobre determinado tipo de resoluciones judiciales para los que no existía aún un pronunciamiento del Tribunal.</w:t>
      </w:r>
    </w:p>
    <w:p w14:paraId="4B6BD29E" w14:textId="77777777" w:rsidR="006F44C0" w:rsidRDefault="006F44C0" w:rsidP="002B2B12">
      <w:pPr>
        <w:spacing w:after="240"/>
      </w:pPr>
      <w:r>
        <w:t>Dentro de los casos que concurren dentro de este primer supuesto podemos ver cómo el TC admite recursos de amparo por este primer supuesto de ETC cuando en la demanda de amparo se alega uno de estos tres motivos:</w:t>
      </w:r>
    </w:p>
    <w:p w14:paraId="027BD86F" w14:textId="77777777" w:rsidR="006F44C0" w:rsidRDefault="006F44C0" w:rsidP="001A4310">
      <w:pPr>
        <w:pStyle w:val="Prrafodelista"/>
        <w:numPr>
          <w:ilvl w:val="0"/>
          <w:numId w:val="24"/>
        </w:numPr>
      </w:pPr>
      <w:r w:rsidRPr="00A22E70">
        <w:t>El primero de ellos consiste en que en la demanda de amparo se observe un caso novedoso. Esto es, cuando sea la primera vez que el TC tiene la oportunidad de pronunciarse sobre un asunto. Este primer motivo parece obedecer a un criterio objetivo y determinado ya que en los casos en que la demanda de amparo plantee alguna cuestión no resuelta o insuficientemente desarrollada por el TC, el recurso de amparo presentaría especial trascendencia constitucional.</w:t>
      </w:r>
    </w:p>
    <w:p w14:paraId="642AD66A" w14:textId="77777777" w:rsidR="006F44C0" w:rsidRPr="00A22E70" w:rsidRDefault="006F44C0" w:rsidP="002B2B12">
      <w:pPr>
        <w:pStyle w:val="Prrafodelista"/>
        <w:rPr>
          <w:i/>
          <w:iCs/>
        </w:rPr>
      </w:pPr>
      <w:r>
        <w:t xml:space="preserve">En la </w:t>
      </w:r>
      <w:r w:rsidRPr="00A22E70">
        <w:t>STC 112/2016, de 20 de junio</w:t>
      </w:r>
      <w:r>
        <w:t xml:space="preserve">, el Tribunal sostuvo que </w:t>
      </w:r>
      <w:r w:rsidRPr="00A22E70">
        <w:rPr>
          <w:i/>
          <w:iCs/>
        </w:rPr>
        <w:t xml:space="preserve">“la especial trascendencia constitucional de este recurso, radica en la posibilidad de que el TC tenga la oportunidad de pronunciarse sobre una cuestión hasta ahora no planteada ante esta jurisdicción constitucional, como es el eventual conflicto que puede generar, la interpretación y aplicación del delito de enaltecimiento al terrorismo (art. 578 CP) con el derecho a la libertad de expresión (art. 20.1 CE)”. </w:t>
      </w:r>
    </w:p>
    <w:p w14:paraId="5A709446" w14:textId="77777777" w:rsidR="006F44C0" w:rsidRDefault="006F44C0" w:rsidP="002B2B12">
      <w:pPr>
        <w:pStyle w:val="Prrafodelista"/>
      </w:pPr>
      <w:r>
        <w:t xml:space="preserve">Otro ejemplo sería la </w:t>
      </w:r>
      <w:r w:rsidRPr="00A22E70">
        <w:t>STC 77/2015, de 27 de abril. En este caso, el TC manifestó que, aunque la relación genérica entre los beneficios fiscales y las familias ya había sido tratada por el mismo, no se había manifestado aún respecto de la aplicación de estos beneficios en las familias que tienen la condición de numerosas.</w:t>
      </w:r>
    </w:p>
    <w:p w14:paraId="2BF52443" w14:textId="77777777" w:rsidR="006F44C0" w:rsidRDefault="006F44C0" w:rsidP="002B2B12">
      <w:pPr>
        <w:pStyle w:val="Prrafodelista"/>
      </w:pPr>
      <w:r w:rsidRPr="00A22E70">
        <w:t>La STC 15/2011, FJ 4</w:t>
      </w:r>
      <w:r>
        <w:t xml:space="preserve">, </w:t>
      </w:r>
      <w:r w:rsidRPr="00A22E70">
        <w:t>establece</w:t>
      </w:r>
      <w:r>
        <w:t xml:space="preserve"> </w:t>
      </w:r>
      <w:r w:rsidRPr="00A22E70">
        <w:t>que</w:t>
      </w:r>
      <w:r>
        <w:t xml:space="preserve"> </w:t>
      </w:r>
      <w:r w:rsidRPr="00A22E70">
        <w:rPr>
          <w:i/>
          <w:iCs/>
        </w:rPr>
        <w:t xml:space="preserve">“el recurso plantea un problema atinente a la delimitación del contenido constitucionalmente protegido del citado derecho fundamental sobre el que este Tribunal no ha tenido ocasión de pronunciarse, como es el de si vulnera o no el derecho al secreto de las comunicaciones la exigencia de que se indique el tipo de asunto de que trata la comunicación escrita dirigida a un órgano judicial y cursada en sobre cerrado por los internos de un centro penitenciario, de tal manera que si éstos no la satisfacen la Administración </w:t>
      </w:r>
      <w:r w:rsidRPr="00A22E70">
        <w:rPr>
          <w:i/>
          <w:iCs/>
        </w:rPr>
        <w:lastRenderedPageBreak/>
        <w:t>penitenciaria no da curso al escrito [STC 155/2009, de 25 de junio, FJ 3, letra a)].”</w:t>
      </w:r>
    </w:p>
    <w:p w14:paraId="767CE837" w14:textId="77777777" w:rsidR="006F44C0" w:rsidRPr="00A22E70" w:rsidRDefault="006F44C0" w:rsidP="002B2B12">
      <w:pPr>
        <w:pStyle w:val="Prrafodelista"/>
      </w:pPr>
    </w:p>
    <w:p w14:paraId="30E589EE" w14:textId="77777777" w:rsidR="006F44C0" w:rsidRDefault="006F44C0" w:rsidP="001A4310">
      <w:pPr>
        <w:pStyle w:val="Prrafodelista"/>
        <w:numPr>
          <w:ilvl w:val="0"/>
          <w:numId w:val="24"/>
        </w:numPr>
      </w:pPr>
      <w:r w:rsidRPr="00A22E70">
        <w:t>El segundo motivo atiende a casos en los que el recurso de amparo plantea una nueva faceta o problema de un derecho fundamental sobre el que no hay doctrina constitucional debido a que trae su causa en una reciente modificación legislativa.</w:t>
      </w:r>
    </w:p>
    <w:p w14:paraId="70E9445A" w14:textId="3EFF2242" w:rsidR="006F44C0" w:rsidRPr="00772C23" w:rsidRDefault="006F44C0" w:rsidP="002B2B12">
      <w:pPr>
        <w:pStyle w:val="Prrafodelista"/>
        <w:rPr>
          <w:i/>
          <w:iCs/>
        </w:rPr>
      </w:pPr>
      <w:r>
        <w:t xml:space="preserve">En la </w:t>
      </w:r>
      <w:r w:rsidRPr="00A22E70">
        <w:t>STC 165/2011, de 3 de noviembre</w:t>
      </w:r>
      <w:r>
        <w:t xml:space="preserve">, el TC admitió la demanda </w:t>
      </w:r>
      <w:r w:rsidR="004B058B">
        <w:t xml:space="preserve">porque </w:t>
      </w:r>
      <w:r w:rsidR="004B058B" w:rsidRPr="00A22E70">
        <w:t>“</w:t>
      </w:r>
      <w:r w:rsidRPr="00772C23">
        <w:rPr>
          <w:i/>
          <w:iCs/>
        </w:rPr>
        <w:t xml:space="preserve">El recurso plantea un problema o faceta de un derecho fundamental susceptible de amparo sobre el que no hay doctrina del TC, por provenir de una reciente modificación legislativa”. </w:t>
      </w:r>
    </w:p>
    <w:p w14:paraId="3FF0292E" w14:textId="77777777" w:rsidR="006F44C0" w:rsidRDefault="006F44C0" w:rsidP="002B2B12">
      <w:pPr>
        <w:pStyle w:val="Prrafodelista"/>
      </w:pPr>
      <w:r>
        <w:t xml:space="preserve">Igualmente, la </w:t>
      </w:r>
      <w:r w:rsidRPr="00A22E70">
        <w:t>STC 124/2011, de 14 de julio</w:t>
      </w:r>
      <w:r>
        <w:t>, afirma que el caso tiene especial trascendencia constitucional debido a que no existe jurisprudencia alguna por existir una reforma reciente de la Ley</w:t>
      </w:r>
      <w:r w:rsidRPr="00A22E70">
        <w:t xml:space="preserve">: </w:t>
      </w:r>
      <w:r w:rsidRPr="00772C23">
        <w:rPr>
          <w:i/>
          <w:iCs/>
        </w:rPr>
        <w:t>“el presente recurso de amparo tiene especial trascendencia constitucional, pues permite que el Tribunal pueda pronunciarse sobre el alcance del principio de inalterabilidad de la papeleta tras la reforma del art. 96.2 LOREG operada por la Ley Orgánica 2/2011, de 28 de enero, cuestión sobre la que no existe jurisprudencia constitucional”.</w:t>
      </w:r>
    </w:p>
    <w:p w14:paraId="78CA24B8" w14:textId="77777777" w:rsidR="006F44C0" w:rsidRDefault="006F44C0" w:rsidP="001A4310">
      <w:pPr>
        <w:pStyle w:val="Prrafodelista"/>
        <w:numPr>
          <w:ilvl w:val="0"/>
          <w:numId w:val="24"/>
        </w:numPr>
      </w:pPr>
      <w:r w:rsidRPr="00A22E70">
        <w:t>El tercer y último motivo se refiere a casos surgidos debido a nuevas realidades. Podemos apreciar en este apartado casos relacionados con las nuevas tecnologías u otros supuestos en los que de una nueva realidad se desprendan elementos que afecten a la configuración de un derecho fundamental y que, debido a esta novedad, el TC aún no se haya pronunciado al respecto.</w:t>
      </w:r>
    </w:p>
    <w:p w14:paraId="7DEF9B5B" w14:textId="77777777" w:rsidR="006F44C0" w:rsidRDefault="006F44C0" w:rsidP="002B2B12">
      <w:pPr>
        <w:pStyle w:val="Prrafodelista"/>
        <w:rPr>
          <w:i/>
          <w:iCs/>
        </w:rPr>
      </w:pPr>
      <w:r w:rsidRPr="00772C23">
        <w:t xml:space="preserve">Como ejemplo de estos casos podemos ver la STC 12/2012, de 30 de enero: </w:t>
      </w:r>
      <w:r w:rsidRPr="00772C23">
        <w:rPr>
          <w:i/>
          <w:iCs/>
        </w:rPr>
        <w:t>“No hay duda de que ello hace necesario reforzar la vigilancia en la protección de la vida privada para luchar contra los peligros derivados de un uso invasivo de las nuevas tecnologías de la comunicación, las cuales, entre otras cosas, facilitan la toma sistemática de imágenes sin que la persona afectada pueda percatarse de ello, así como su difusión a amplios segmentos del público, como subrayaba el Tribunal Europeo de Derechos Humanos en relación a un caso de captación fotográfica a cientos de metros de distancia.”</w:t>
      </w:r>
    </w:p>
    <w:p w14:paraId="6C27DD47" w14:textId="77777777" w:rsidR="006F44C0" w:rsidRPr="00772C23" w:rsidRDefault="006F44C0" w:rsidP="002B2B12">
      <w:pPr>
        <w:spacing w:after="240"/>
      </w:pPr>
      <w:r>
        <w:lastRenderedPageBreak/>
        <w:t>Viendo estos tres motivos, puede entenderse el sentido de la especial trascendencia constitucional de este supuesto. El primero de los casos, referido a un ‘caso novedoso’ puede ser el que mayor problema suscite puesto que presenta cierta subjetividad entender qué es lo novedoso del caso. Sin embargo, los dos motivos siguientes, son entendibles teniendo en cuenta que al hablar de ‘algo nuevo’ como lo es la reforma de una Ley o una nueva realidad como las nuevas tecnologías, es lógico pensar que aún no existirá doctrina del TC al respecto ya que no ha habido tiempo de manifestarse sobre el tema.</w:t>
      </w:r>
    </w:p>
    <w:p w14:paraId="5060EA4C" w14:textId="77777777" w:rsidR="006F44C0" w:rsidRDefault="006F44C0" w:rsidP="002B2B12">
      <w:pPr>
        <w:spacing w:after="240"/>
      </w:pPr>
      <w:r>
        <w:t>Parecer ser, atendiendo a la jurisprudencia del TC, que son muchos los casos en los que el Tribunal aprecia la concurrencia de esta causa de especial trascendencia constitucional. Esto puede ser debido a que este supuesto es uno de los más concretos de todos los que aparecen en el elenco de la STC 155/2009, al ser éste cierto y determinado. Por este motivo, el margen de apreciación del TC sobre su concurrencia es menor que en el resto de los supuestos descritos en la citada sentencia.</w:t>
      </w:r>
    </w:p>
    <w:p w14:paraId="3109490A" w14:textId="77777777" w:rsidR="006F44C0" w:rsidRDefault="006F44C0" w:rsidP="002B2B12">
      <w:pPr>
        <w:spacing w:after="240"/>
      </w:pPr>
      <w:r>
        <w:t>Entre otros muchos casos en los que el TC ha apreciado la concurrencia de esta causa podemos destacar los siguientes:</w:t>
      </w:r>
    </w:p>
    <w:p w14:paraId="4C43DFE5" w14:textId="77777777" w:rsidR="006F44C0" w:rsidRDefault="006F44C0" w:rsidP="002B2B12">
      <w:pPr>
        <w:spacing w:after="240"/>
      </w:pPr>
      <w:r>
        <w:t>La STC 174/2011, de 7 de noviembre, en su FJ 3, en la que podemos ver que el Tribunal consideró que era una cuestión nueva analizar si la limitación de las garantías procesales que se había impuesto al acusado de un delito de abusos sexuales (no se le permitió interrogar al menor que había sido víctima de los abusos) podían estar justificadas en la exigencia de salvaguardar al menor.</w:t>
      </w:r>
    </w:p>
    <w:p w14:paraId="62F1372B" w14:textId="77777777" w:rsidR="006F44C0" w:rsidRDefault="006F44C0" w:rsidP="002B2B12">
      <w:pPr>
        <w:spacing w:after="240"/>
      </w:pPr>
      <w:r>
        <w:t>La STC 96/2012, de 7 mayo, versa sobre la entrega de datos personales de clientes de entidades bancarias sin el consentimiento de éstos a las asociaciones de consumidores para el ejercicio de futuras acciones colectivas</w:t>
      </w:r>
      <w:r>
        <w:rPr>
          <w:rStyle w:val="Refdenotaalpie"/>
        </w:rPr>
        <w:footnoteReference w:id="283"/>
      </w:r>
      <w:r>
        <w:t xml:space="preserve">. </w:t>
      </w:r>
    </w:p>
    <w:p w14:paraId="5ADE6ACD" w14:textId="77777777" w:rsidR="006F44C0" w:rsidRDefault="006F44C0" w:rsidP="002B2B12">
      <w:pPr>
        <w:spacing w:after="240"/>
      </w:pPr>
      <w:r>
        <w:lastRenderedPageBreak/>
        <w:t>En la STC 141/2012, de 2 julio, podemos ver que por primera vez se aborda el derecho fundamental a la libertad personal en un caso de internamiento psiquiátrico urgente acordado sin intervención judicial.</w:t>
      </w:r>
    </w:p>
    <w:p w14:paraId="21B40FD1" w14:textId="77777777" w:rsidR="006F44C0" w:rsidRDefault="006F44C0" w:rsidP="002B2B12">
      <w:pPr>
        <w:spacing w:after="240"/>
      </w:pPr>
      <w:r>
        <w:t>El caso que dio lugar a la STC 145/2012, de 2 de julio, en el que el problema constitucional planteado era determinar si vulneraba el art. 24.1 CE que un órgano judicial se apartarse de lo establecido en una sentencia dictada por el Tribunal de Justicia de la Unión Europea en un recuso por incumplimiento.</w:t>
      </w:r>
    </w:p>
    <w:p w14:paraId="13CF9A7F" w14:textId="77777777" w:rsidR="006F44C0" w:rsidRDefault="006F44C0" w:rsidP="002B2B12">
      <w:pPr>
        <w:spacing w:after="240"/>
      </w:pPr>
      <w:r>
        <w:t>También podemos destacar la STC 125/2013, de 23 mayo, en la que se presenta un recurso de amparo electoral contra una sentencia del Tribunal Superior de Justicia de Asturias, en el que un grupo político recurre el nombramiento del alcalde de un municipio. El TC considera que el hecho de si podía ser nombrado alcalde un concejal no presentado a las elecciones constituía un problema o faceta de un derecho fundamental susceptible de amparo</w:t>
      </w:r>
      <w:r>
        <w:rPr>
          <w:rStyle w:val="Refdenotaalpie"/>
        </w:rPr>
        <w:footnoteReference w:id="284"/>
      </w:r>
      <w:r>
        <w:t xml:space="preserve">.  En materia de fondo el TC determinó que sólo puede ser alcalde quien </w:t>
      </w:r>
      <w:r>
        <w:lastRenderedPageBreak/>
        <w:t xml:space="preserve">obtuvo la legitimación de las urnas por su integración en alguna de las listas electorales concurrentes a las elecciones municipales, con la consecuente estimación de la vulneración del contenido constitucional del derecho reconocido en el art. 23 CE (FJ 8º). </w:t>
      </w:r>
    </w:p>
    <w:p w14:paraId="1E66BE40" w14:textId="77777777" w:rsidR="006F44C0" w:rsidRDefault="006F44C0" w:rsidP="002B2B12">
      <w:pPr>
        <w:spacing w:after="240"/>
      </w:pPr>
      <w:r>
        <w:t>También podemos ver la STC 130/2014, de 21 julio, sobre el derecho de igualdad ante la Ley. Radio Castellón plantea un recurso por la vulneración de sus derechos a la igualdad y prohibición de la discriminación, así como de su derecho a la libertad de información, debido a que no había sido receptora de ninguna campaña publicitaria institucional en cinco años por parte del Ayuntamiento de Vila Real a pesar de mantenerse como líderes de audiencia en el ámbito territorial de Castellón</w:t>
      </w:r>
      <w:r>
        <w:rPr>
          <w:rStyle w:val="Refdenotaalpie"/>
        </w:rPr>
        <w:footnoteReference w:id="285"/>
      </w:r>
      <w:r>
        <w:t xml:space="preserve">. </w:t>
      </w:r>
    </w:p>
    <w:p w14:paraId="669D54FF" w14:textId="77777777" w:rsidR="006F44C0" w:rsidRDefault="006F44C0" w:rsidP="002B2B12">
      <w:pPr>
        <w:spacing w:after="240"/>
        <w:rPr>
          <w:i/>
        </w:rPr>
      </w:pPr>
      <w:r>
        <w:t xml:space="preserve">El resuelto por la STC 83/2016, de 28 de abril, en la que se suscita el problema de si los Reales Decretos mediante los cuales se había declarado el Estado de alarma y se acordó posteriormente su prórroga podían ser objeto de impugnación ante la jurisdicción contencioso-administrativa. Según afirma la sentencia en su FJ 1, </w:t>
      </w:r>
      <w:r>
        <w:rPr>
          <w:i/>
        </w:rPr>
        <w:t>“la cuestión nuclear suscitada, novedosa y de indiscutible relevancia constitucional, no es otra que la de la fiscalización jurisdiccional, con la consiguiente delimitación en nuestro ordenamiento de los ámbitos propios de la jurisdicción ordinaria y de la jurisdicción constitucional, de los Reales Decretos por los que se declara el estado de alarma y se acuerda su prorroga, respectivamente, lo que, a su vez, presenta una indudable incidencia en el contenido del derecho de los ciudadanos a la tutela judicial efectiva en defensa de sus derechos e intereses legítimos, en la vertiente primigenia de este derecho, esto es, la del acceso a la jurisdicción (art. 24.1 CE).”</w:t>
      </w:r>
    </w:p>
    <w:p w14:paraId="3CD299DF" w14:textId="77777777" w:rsidR="006F44C0" w:rsidRDefault="006F44C0" w:rsidP="002B2B12">
      <w:pPr>
        <w:spacing w:after="240"/>
      </w:pPr>
      <w:r>
        <w:lastRenderedPageBreak/>
        <w:t>La STC 143/2016, de 19 de septiembre, FJ 2, en el que el Tribunal consideró que tenía especial trascendencia constitucional porque, entre otros motivos, planteaba una cuestión -el acortamiento excepcional de plazos en la tramitación de leyes presupuestarias- sobre el que era preciso establecer un pronunciamiento constitucional.</w:t>
      </w:r>
    </w:p>
    <w:p w14:paraId="7665D4AD" w14:textId="77777777" w:rsidR="006F44C0" w:rsidRDefault="006F44C0" w:rsidP="002B2B12">
      <w:pPr>
        <w:spacing w:after="240"/>
      </w:pPr>
      <w:r>
        <w:t>La STC 8/2017, de 19 de enero, en la que el Tribunal apreció que el recurso se refería a una faceta del derecho fundamental a la presunción de inocencia sobre el que no había doctrina constitucional, en concreto, a la eficacia que, según la doctrina del Tribunal Europeo de Derechos Humanos, puede tener este derecho en los procedimientos administrativos y contencioso-administrativos seguidos por responsabilidad del Estado por prisión preventiva.</w:t>
      </w:r>
    </w:p>
    <w:p w14:paraId="3B9CFACB" w14:textId="77777777" w:rsidR="006F44C0" w:rsidRDefault="006F44C0" w:rsidP="002B2B12">
      <w:pPr>
        <w:spacing w:after="240"/>
      </w:pPr>
      <w:r>
        <w:t>La mayor dificultad que, a nuestro parecer, podemos encontrar en esta causa de especial trascendencia constitucional es la de diferenciar los casos en los que exista una cuestión constitucional nueva de aquellos otros casos en los que la novedad no esté en el problema constitucional que suscite el asunto, sino en el caso del que traiga su causa el recurso en cuestión</w:t>
      </w:r>
      <w:r>
        <w:rPr>
          <w:rStyle w:val="Refdenotaalpie"/>
        </w:rPr>
        <w:footnoteReference w:id="286"/>
      </w:r>
      <w:r>
        <w:t>.</w:t>
      </w:r>
    </w:p>
    <w:p w14:paraId="104E00A9" w14:textId="77777777" w:rsidR="006F44C0" w:rsidRDefault="006F44C0" w:rsidP="002B2B12">
      <w:pPr>
        <w:spacing w:after="240"/>
      </w:pPr>
      <w:r>
        <w:t>DUQUE VILLANUEVA manifiesta que es frecuente que el TC aprecie este supuesto de especial trascendencia constitucional o el supuesto de aclaración o modificación de doctrina en los casos en que la resolución del recurso en cuestión permita al Tribunal no sólo la creación de nueva doctrina o el cambio de la ya existente, sino también en aquellos otros casos en los que el recurso le permita aplicar la doctrina existente a supuestos de hecho que presenten elementos fácticos novedosos</w:t>
      </w:r>
      <w:r>
        <w:rPr>
          <w:rStyle w:val="Refdenotaalpie"/>
        </w:rPr>
        <w:footnoteReference w:id="287"/>
      </w:r>
      <w:r>
        <w:t xml:space="preserve">. </w:t>
      </w:r>
    </w:p>
    <w:p w14:paraId="1B7C0EBE" w14:textId="67105E24" w:rsidR="006F44C0" w:rsidRDefault="006F44C0" w:rsidP="002B2B12">
      <w:pPr>
        <w:spacing w:after="240"/>
      </w:pPr>
      <w:r>
        <w:t xml:space="preserve">Podemos ver un ejemplo de esta dificultad en la STC 58/2010, de 4 de octubre. En este caso, el TC consideró que las comunicaciones procesales por fax planteaban un problema constitucional nuevo ya que hasta entonces no se había pronunciado sobre este medio de notificación. La cuestión constitucional planteada en este recurso versaba </w:t>
      </w:r>
      <w:r w:rsidR="004B058B">
        <w:t>sobre si</w:t>
      </w:r>
      <w:r>
        <w:t xml:space="preserve"> la notificación practicada mediante fax, debido a que no quedaba constancia de que su destinatario la recibiese, podía ser considerada eficaz. El problema planteado por esta </w:t>
      </w:r>
      <w:r>
        <w:lastRenderedPageBreak/>
        <w:t>sentencia, sin embargo, no era nuevo, ya que habían sido planteados con anterioridad otros supuestos en los que la notificación se realizaba a través de terceras personas que no eran los destinatarios del acto (conserjes, vecinos…). De hecho, el recurso se resolvió aplicando la doctrina establecida en los casos en los que la notificación se práctica a quien no es el interesado. La STC 58/2010, no obstante, consideró que la novedad consistía en el medio utilizado para efectuar la comunicación y en precisar si aquel reunía o no las condiciones para considerar que la notificación se había efectuado conforme a las garantías que se derivan del art. 24.1 CE.</w:t>
      </w:r>
    </w:p>
    <w:p w14:paraId="014E3D1C" w14:textId="67AD95DB" w:rsidR="006F44C0" w:rsidRDefault="006F44C0" w:rsidP="002B2B12">
      <w:pPr>
        <w:spacing w:after="240"/>
      </w:pPr>
      <w:r>
        <w:t xml:space="preserve">También podemos encontrar </w:t>
      </w:r>
      <w:r w:rsidR="004B058B">
        <w:t>en la</w:t>
      </w:r>
      <w:r>
        <w:t xml:space="preserve"> doctrina autores que consideran que el nuevo problema o faceta no versa sobre derechos fundamentales, sino sobre las normas que regulan y delimitan su validez. Un ejemplo de esto podemos verlo en BORRAJO INIESTA, el cual considera que podrían incluirse dentro de este supuesto aspectos relativos a su vigencia temporal, a principios fundamentales como el imperio de la ley o la seguridad jurídica, a la interpretación de los derechos con la ley o el orden constitucional de competencia</w:t>
      </w:r>
      <w:r>
        <w:rPr>
          <w:rStyle w:val="Refdenotaalpie"/>
        </w:rPr>
        <w:footnoteReference w:id="288"/>
      </w:r>
      <w:r>
        <w:t xml:space="preserve">. En nuestra opinión, esta afirmación es válida, pero entendemos que siempre teniendo en cuenta el carácter novedoso del problema o faceta del derecho fundamental. </w:t>
      </w:r>
    </w:p>
    <w:p w14:paraId="318B037C" w14:textId="77777777" w:rsidR="006F44C0" w:rsidRDefault="006F44C0" w:rsidP="002B2B12">
      <w:pPr>
        <w:spacing w:after="240"/>
      </w:pPr>
      <w:r>
        <w:t>Destacar que esta nueva faceta o problema de un derecho fundamental lo será únicamente hasta que por primera vez deje de serlo, es decir, hasta que se dicte la primera resolución del TC en torno a ella. De este modo, que ya no cabría, como es lógico, acogerse a esta fórmula para sentar criterio en una segunda o ulterior ocasión</w:t>
      </w:r>
      <w:r>
        <w:rPr>
          <w:rStyle w:val="Refdenotaalpie"/>
        </w:rPr>
        <w:footnoteReference w:id="289"/>
      </w:r>
      <w:r>
        <w:t>.</w:t>
      </w:r>
      <w:r>
        <w:tab/>
      </w:r>
    </w:p>
    <w:p w14:paraId="3D117B3F" w14:textId="1B3AD222" w:rsidR="006F44C0" w:rsidRDefault="006F44C0" w:rsidP="002B2B12">
      <w:pPr>
        <w:spacing w:after="240"/>
      </w:pPr>
      <w:r>
        <w:t xml:space="preserve">Podría suceder, sin </w:t>
      </w:r>
      <w:r w:rsidR="004B058B">
        <w:t>embargo, que</w:t>
      </w:r>
      <w:r>
        <w:t xml:space="preserve"> el recurrente interpusiese su demanda de amparo alegando este supuesto pero que otra demanda similar hubiese sido ya resuelta sin que todavía se haya publicado en el BOE. En este caso, a pesar de que esa nueva faceta que plantea el recurso ya hubiese sido resuelta por el TC, entendemos que éste tendría que dar por cumplidos los requisitos de los arts. 49.1 y 50.1.b) LOTC y </w:t>
      </w:r>
      <w:r w:rsidRPr="00C3344C">
        <w:t xml:space="preserve">tendrá que dar una respuesta, aunque estrictamente la causa de especial trascendencia, esto es, la razón objetiva y no subjetiva que la inspiraba, </w:t>
      </w:r>
      <w:r>
        <w:t xml:space="preserve">ya no sea estrictamente ‘nueva’. Sin embargo, </w:t>
      </w:r>
      <w:r>
        <w:lastRenderedPageBreak/>
        <w:t>v</w:t>
      </w:r>
      <w:r w:rsidRPr="00C3344C">
        <w:t>olver a declarar ésta, sólo para no castigar al recurrente de turno,</w:t>
      </w:r>
      <w:r>
        <w:t xml:space="preserve"> sería</w:t>
      </w:r>
      <w:r w:rsidRPr="00C3344C">
        <w:t xml:space="preserve"> un enfoque subjetivo e individual, no objetivo</w:t>
      </w:r>
      <w:r>
        <w:rPr>
          <w:rStyle w:val="Refdenotaalpie"/>
        </w:rPr>
        <w:footnoteReference w:id="290"/>
      </w:r>
      <w:r>
        <w:t>.</w:t>
      </w:r>
    </w:p>
    <w:p w14:paraId="62B20500" w14:textId="77777777" w:rsidR="006F44C0" w:rsidRDefault="006F44C0" w:rsidP="002B2B12">
      <w:pPr>
        <w:spacing w:after="240"/>
      </w:pPr>
      <w:r>
        <w:t>Es pertinente señalar, además, el TC no siempre expresa las causas por las cuales entiende que concurre este supuesto, es decir, no señala en qué consiste la novedad del problema constitucional. Por el contrario, en ocasiones se limita solamente a señalar que ésta es la causa de especial trascendencia constitucional apreciada. Un ejemplo de esto podemos verlo, entre otras, en la STC 65/2016, de 11 de abril, FJ 2, en la que nuestro TC se limitó a afirmar que “este Tribunal decidió admitir este recurso de amparo apreciando que concurre en el mismo una especial trascendencia constitucional [art. 50.1 de la Ley Orgánica del Tribunal Constitucional (LOTC)] porque el recurso plantea un problema o afecta a una faceta de un derecho fundamental sobre el que no hay doctrina de este Tribunal [STC 155/2009, FJ 2 a)]”.</w:t>
      </w:r>
    </w:p>
    <w:p w14:paraId="6276C2BD" w14:textId="77777777" w:rsidR="006F44C0" w:rsidRDefault="006F44C0" w:rsidP="002B2B12">
      <w:pPr>
        <w:spacing w:after="240"/>
      </w:pPr>
      <w:r>
        <w:t>Es cierto que, en muchas ocasiones, esta explicación no es necesaria ya que la lectura de la sentencia lo pone de manifiesto, pero en otras ocasiones, en cambio, la novedad de la cuestión suscitada no es fácil de apreciar, por lo que resulta un impedimento la falta de información acerca de ésta.</w:t>
      </w:r>
    </w:p>
    <w:p w14:paraId="0993F56C" w14:textId="15D20D93" w:rsidR="009428C3" w:rsidRDefault="006F44C0" w:rsidP="009428C3">
      <w:pPr>
        <w:spacing w:after="240"/>
      </w:pPr>
      <w:r>
        <w:t xml:space="preserve">Por tanto, nos encontraríamos antes casos que activen de un modo u otro la labor interpretativa del TC pronunciándose acerca de la afectación de derechos fundamentales por causa de cambios que se evidencien en el recurso sobre los que no exista aún un precedente constitucional. </w:t>
      </w:r>
      <w:r w:rsidR="009428C3">
        <w:t>E</w:t>
      </w:r>
      <w:r>
        <w:t>ste supuesto es</w:t>
      </w:r>
      <w:r w:rsidR="009428C3">
        <w:t>, a nuestro modo de ver,</w:t>
      </w:r>
      <w:r>
        <w:t xml:space="preserve"> uno de los </w:t>
      </w:r>
      <w:r w:rsidR="004B058B">
        <w:t>que ofrecen</w:t>
      </w:r>
      <w:r>
        <w:t xml:space="preserve"> un campo más amplio a la hora de justificar la especial trascendencia constitucional. Por ello, en la práctica es el más utilizado junto con el supuesto b).</w:t>
      </w:r>
      <w:r w:rsidR="009428C3">
        <w:t xml:space="preserve">  Sin embargo, creemos que el TC desperdicia en muchas ocasiones la posibilidad de perfilar más su contenido o explicar por qué un caso es “digno” de estar incluido en este supuesto ya que, en la mayoría de ocasiones, se limita meramente a constatar la existencia de un problema o una faceta nueva de un derecho fundamental y, como mucho, a señalar cuál es esa novedad sin ofrecer una mayor – y necesaria- explicación.</w:t>
      </w:r>
    </w:p>
    <w:p w14:paraId="77437A7B" w14:textId="77777777" w:rsidR="006F44C0" w:rsidRDefault="006F44C0" w:rsidP="002B2B12">
      <w:pPr>
        <w:pStyle w:val="Ttulo3"/>
      </w:pPr>
      <w:bookmarkStart w:id="666" w:name="_Toc522831269"/>
      <w:bookmarkStart w:id="667" w:name="_Toc532198486"/>
      <w:bookmarkStart w:id="668" w:name="_Toc43034497"/>
      <w:bookmarkStart w:id="669" w:name="_Toc45731798"/>
      <w:bookmarkStart w:id="670" w:name="_Toc49423702"/>
      <w:bookmarkStart w:id="671" w:name="_Toc49708634"/>
      <w:bookmarkStart w:id="672" w:name="_Toc49790300"/>
      <w:bookmarkStart w:id="673" w:name="_Toc49866580"/>
      <w:bookmarkStart w:id="674" w:name="_Toc50373191"/>
      <w:r>
        <w:lastRenderedPageBreak/>
        <w:t>Aclaración o cambio de doctrina como consecuencia de un proceso de reflexión interna, surgimiento de nuevas realidades sociales o cambios normativos relevantes, o cambio en la doctrina de órganos de garantía</w:t>
      </w:r>
      <w:bookmarkEnd w:id="666"/>
      <w:bookmarkEnd w:id="667"/>
      <w:bookmarkEnd w:id="668"/>
      <w:bookmarkEnd w:id="669"/>
      <w:bookmarkEnd w:id="670"/>
      <w:bookmarkEnd w:id="671"/>
      <w:bookmarkEnd w:id="672"/>
      <w:bookmarkEnd w:id="673"/>
      <w:bookmarkEnd w:id="674"/>
      <w:r>
        <w:t xml:space="preserve"> </w:t>
      </w:r>
    </w:p>
    <w:p w14:paraId="72BEB365" w14:textId="77777777" w:rsidR="006F44C0" w:rsidRDefault="006F44C0" w:rsidP="002B2B12">
      <w:pPr>
        <w:spacing w:after="240"/>
      </w:pPr>
      <w:r w:rsidRPr="00B63DD4">
        <w:t>Este supuesto</w:t>
      </w:r>
      <w:r>
        <w:t xml:space="preserve">, al igual que el anterior, </w:t>
      </w:r>
      <w:r w:rsidRPr="00B63DD4">
        <w:t>puede considerarse como</w:t>
      </w:r>
      <w:r>
        <w:t xml:space="preserve"> </w:t>
      </w:r>
      <w:r w:rsidRPr="00B63DD4">
        <w:t xml:space="preserve">una de las vertientes de </w:t>
      </w:r>
      <w:r>
        <w:t xml:space="preserve">la </w:t>
      </w:r>
      <w:r w:rsidRPr="00B63DD4">
        <w:t>dimensión objetiva del recurso de</w:t>
      </w:r>
      <w:r>
        <w:t xml:space="preserve"> </w:t>
      </w:r>
      <w:r w:rsidRPr="00B63DD4">
        <w:t>amparo</w:t>
      </w:r>
      <w:r>
        <w:t xml:space="preserve">. Nos encontraríamos ante casos en los que el TC </w:t>
      </w:r>
      <w:r w:rsidRPr="00B63DD4">
        <w:t>sí ha realizado una labor previa de interpretación</w:t>
      </w:r>
      <w:r>
        <w:t xml:space="preserve"> </w:t>
      </w:r>
      <w:r w:rsidRPr="00B63DD4">
        <w:t>y concreción de las normas</w:t>
      </w:r>
      <w:r>
        <w:t>,</w:t>
      </w:r>
      <w:r w:rsidRPr="00B63DD4">
        <w:t xml:space="preserve"> </w:t>
      </w:r>
      <w:r>
        <w:t xml:space="preserve">pero se hace necesario un cambio en la doctrina por motivos como un </w:t>
      </w:r>
      <w:r w:rsidRPr="00B63DD4">
        <w:t xml:space="preserve">proceso de reflexión interna, surgimiento de nuevas realidades sociales o cambios normativos relevantes, o </w:t>
      </w:r>
      <w:r>
        <w:t xml:space="preserve">un </w:t>
      </w:r>
      <w:r w:rsidRPr="00B63DD4">
        <w:t>cambio en la doctrina de órganos de garantía</w:t>
      </w:r>
      <w:r>
        <w:t xml:space="preserve">. También puede suceder que esa necesidad de aclaración o cambio de doctrina </w:t>
      </w:r>
      <w:r w:rsidRPr="00B63DD4">
        <w:t>venga impuesta por doctrina novedosa de los órganos de</w:t>
      </w:r>
      <w:r>
        <w:t xml:space="preserve"> </w:t>
      </w:r>
      <w:r w:rsidRPr="00B63DD4">
        <w:t>garantía encargados de la interpretación de los tratados y acuerdos</w:t>
      </w:r>
      <w:r>
        <w:t xml:space="preserve"> </w:t>
      </w:r>
      <w:r w:rsidRPr="00B63DD4">
        <w:t>internacionales y, en concreto, respecto a la jurisprudencia del TEDH.</w:t>
      </w:r>
    </w:p>
    <w:p w14:paraId="18F52D7E" w14:textId="2671CDF3" w:rsidR="006F44C0" w:rsidRDefault="006F44C0" w:rsidP="002B2B12">
      <w:pPr>
        <w:spacing w:after="240"/>
      </w:pPr>
      <w:r>
        <w:t xml:space="preserve">Este supuesto de aclaración o cambio de doctrina del TC es </w:t>
      </w:r>
      <w:r w:rsidR="00FF1187">
        <w:t xml:space="preserve">el más utilizado </w:t>
      </w:r>
      <w:r>
        <w:t>por los recurrentes en amparo</w:t>
      </w:r>
      <w:r w:rsidR="00FF1187">
        <w:t xml:space="preserve"> junto al anterior</w:t>
      </w:r>
      <w:r>
        <w:t>. Nuestro TC ha establecido que este supuesto de especial trascendencia constitucional se puede originar por cuatro razones que a continuación analizaremos.</w:t>
      </w:r>
    </w:p>
    <w:p w14:paraId="10DF01BC" w14:textId="77777777" w:rsidR="006F44C0" w:rsidRDefault="006F44C0" w:rsidP="001A4310">
      <w:pPr>
        <w:pStyle w:val="Ttulo4"/>
        <w:numPr>
          <w:ilvl w:val="0"/>
          <w:numId w:val="34"/>
        </w:numPr>
      </w:pPr>
      <w:bookmarkStart w:id="675" w:name="_Toc43034498"/>
      <w:bookmarkStart w:id="676" w:name="_Toc45731799"/>
      <w:bookmarkStart w:id="677" w:name="_Toc49866581"/>
      <w:r>
        <w:t>Proceso de reflexión interna</w:t>
      </w:r>
      <w:bookmarkEnd w:id="675"/>
      <w:bookmarkEnd w:id="676"/>
      <w:bookmarkEnd w:id="677"/>
    </w:p>
    <w:p w14:paraId="56523D4C" w14:textId="77777777" w:rsidR="006F44C0" w:rsidRDefault="006F44C0" w:rsidP="002B2B12">
      <w:pPr>
        <w:spacing w:after="240"/>
      </w:pPr>
      <w:r>
        <w:t>El primero de los casos que podemos encontrar dentro de este segundo supuesto es que el cambio o la aclaración de la doctrina del TC se deban a un proceso de reflexión interna de los Magistrados.</w:t>
      </w:r>
    </w:p>
    <w:p w14:paraId="2C0668B3" w14:textId="77777777" w:rsidR="006F44C0" w:rsidRDefault="006F44C0" w:rsidP="002B2B12">
      <w:pPr>
        <w:spacing w:after="240"/>
      </w:pPr>
      <w:r>
        <w:t>La cuestión que se nos puede plantear a este tenor es si ese proceso de “reflexión interna” sólo puede ser consecuencia de la petición del demandante de amparo o si éste puede deberse a que el propio TC se plantee la necesidad de un proceso de reflexión interna en relación a un caso planteado por un particular. Un ejemplo de ello es la STC 58/2014 de 5 de mayo,</w:t>
      </w:r>
      <w:r>
        <w:rPr>
          <w:rStyle w:val="Refdenotaalpie"/>
        </w:rPr>
        <w:footnoteReference w:id="291"/>
      </w:r>
      <w:r>
        <w:t xml:space="preserve"> en la que el recurrente ‘invitó’ al TC a llevar a cabo una nueva reflexión. </w:t>
      </w:r>
      <w:r>
        <w:lastRenderedPageBreak/>
        <w:t>Si revisamos la jurisprudencia constitucional, podemos apreciar ambos supuestos, como veremos a continuación. No obstante, sigue siendo carga del recurrente justificar la ETC del recurso de amparo en base a esta argumentación</w:t>
      </w:r>
      <w:r>
        <w:rPr>
          <w:rStyle w:val="Refdenotaalpie"/>
        </w:rPr>
        <w:footnoteReference w:id="292"/>
      </w:r>
      <w:r>
        <w:t>.</w:t>
      </w:r>
    </w:p>
    <w:p w14:paraId="0CEB5793" w14:textId="77777777" w:rsidR="006F44C0" w:rsidRDefault="006F44C0" w:rsidP="002B2B12">
      <w:pPr>
        <w:spacing w:after="240"/>
      </w:pPr>
      <w:r>
        <w:t>En este primer supuesto, podemos apreciar que el presupuesto clave para que se lleva a cabo este proceso de reflexión interna consiste en que en la demanda de amparo se evidencie la existencia de jurisprudencia constitucional vacilante respecto a un concreto derecho fundamental. Precisamente, esto fue lo que ocurrió en la STC 155/2009, de 25 de junio, en la que el propio TC fue el que entendió que el recurso planteado poseía especial trascendencia constitucional porque le permitía aclarar su doctrina constitucional, como consecuencia de un proceso de reflexión interna, acerca de la exigencia de congruencia entre la acusación y el fallo en el extremo referido a la pena a imponer, en cuanto manifestación del principio acusatorio, al evidenciarse en la demanda  jurisprudencia constitucional contradictoria en relación al principio acusatorio.</w:t>
      </w:r>
    </w:p>
    <w:p w14:paraId="3B8B4CE3" w14:textId="56C47943" w:rsidR="006F44C0" w:rsidRDefault="006F44C0" w:rsidP="002B2B12">
      <w:pPr>
        <w:spacing w:after="240"/>
      </w:pPr>
      <w:r>
        <w:t xml:space="preserve">Otro ejemplo sería el de la ya citada STC 216/2013, </w:t>
      </w:r>
      <w:r w:rsidR="004B058B">
        <w:t>de 19</w:t>
      </w:r>
      <w:r>
        <w:t xml:space="preserve"> de diciembre, en la que el TC revisó su doctrina respecto a la exigencia del incidente de nulidad de actuaciones como requisito previo para considerar agotada la vía judicial previa a la interposición del recurso de amparo. En este caso, dispuso el Tribunal: </w:t>
      </w:r>
      <w:r>
        <w:rPr>
          <w:i/>
        </w:rPr>
        <w:t xml:space="preserve">“Al margen de lo anterior, lo cual es suficiente para evitar el óbice procesal, debemos establecer que la conclusión a la que llegó el ATC 200/2010 al exigir en estos supuestos la interposición del incidente de nulidad de actuaciones como condición para poder considerar cumplido el requisito del agotamiento de la vía judicial previa, debe ser revisada. Este requisito del art. 44.1 a) LOTC responde, según ha sostenido de forma unánime y constante la doctrina de este Tribunal, "a la finalidad de preservar el carácter subsidiario del recurso de amparo, evitando que el acceso a esta jurisdicción constitucional se produzca per </w:t>
      </w:r>
      <w:proofErr w:type="spellStart"/>
      <w:r>
        <w:rPr>
          <w:i/>
        </w:rPr>
        <w:t>saltum</w:t>
      </w:r>
      <w:proofErr w:type="spellEnd"/>
      <w:r>
        <w:rPr>
          <w:i/>
        </w:rPr>
        <w:t xml:space="preserve">, es decir, sin brindar a los órganos judiciales la oportunidad de pronunciarse y, en su caso, </w:t>
      </w:r>
      <w:r>
        <w:rPr>
          <w:i/>
        </w:rPr>
        <w:lastRenderedPageBreak/>
        <w:t>remediar la lesión invocada como fundamento del recurso de amparo constitucional" (por todas, últimamente, SSTC 42/2010, de 26 de julio, 91/2010, de 15 de noviembre, y 12/2011, de 28 de febrero). De modo que, en supuestos como el que ahora nos ocupa, basta comprobar que los órganos judiciales han tenido la oportunidad de pronunciarse sobre los derechos fundamentales luego invocados en vía de amparo constitucional, para estimar cumplido el mencionado requisito. Lo contrario supondría cerrar la vía de amparo constitucional con un enfoque formalista y confundir la lógica del carácter subsidiario de su configuración”.</w:t>
      </w:r>
    </w:p>
    <w:p w14:paraId="6A1179ED" w14:textId="77777777" w:rsidR="006F44C0" w:rsidRDefault="006F44C0" w:rsidP="002B2B12">
      <w:pPr>
        <w:spacing w:after="240"/>
      </w:pPr>
      <w:r>
        <w:t xml:space="preserve">La STC 98/2015, también ilustra este caso. En ella, se pretende aclarar la doctrina sobre el incidente de nulidad de actuaciones. El TC sostuvo en su FJ 2 que </w:t>
      </w:r>
      <w:r>
        <w:rPr>
          <w:i/>
        </w:rPr>
        <w:t xml:space="preserve">“el asunto da ocasión al Tribunal Constitucional de garantizar el cumplimiento de su jurisprudencia en la materia” […], evitando dudas ulteriores sobre su alcance que puedan dar lugar a nuevas inaplicaciones objetivas de la misma, y atendiendo así a uno de los criterios legales que dotan de especial trascendencia constitucional al recurso de amparo, citado en el art. 50.1 b) LOTC, a saber: aquél que se dirige a velar por la aplicación y general eficacia de la Constitución (por todas, STC 21/2015, de 16 de febrero, FJ 2).” </w:t>
      </w:r>
    </w:p>
    <w:p w14:paraId="3B7F74A8" w14:textId="77777777" w:rsidR="006F44C0" w:rsidRDefault="006F44C0" w:rsidP="002B2B12">
      <w:pPr>
        <w:spacing w:after="240"/>
      </w:pPr>
      <w:r>
        <w:t>Sin embargo, si vemos el razonamiento del TC en esta sentencia de la fundamentación de esta Sentencia no se deduce que el Tribunal haya “perfilado o aclarado” su doctrina anterior, ya que según vemos, se limita a reiterar la jurisprudencia en la que se establece la obligación de motivar suficientemente la decisión de inadmitir el incidente de nulidad de actuaciones, invocando expresamente a la STC 204/2014. Por tanto, a nuestro parecer, lo que se hace en este caso más que aclarar o perfilar doctrina, es reiterar o fijar la doctrina anterior.</w:t>
      </w:r>
    </w:p>
    <w:p w14:paraId="23AB18AA" w14:textId="77777777" w:rsidR="006F44C0" w:rsidRDefault="006F44C0" w:rsidP="002B2B12">
      <w:pPr>
        <w:spacing w:after="240"/>
      </w:pPr>
      <w:r w:rsidRPr="00E678A5">
        <w:t xml:space="preserve">Otro ejemplo similar podemos encontrarlo en la STC 99/2014, de 23 de julio. En este caso, el TC manifiesta la justificación de la especial trascendencia constitucional no se ha realizado de manera expresa, sino que se ha justificado implícitamente. En efecto, según el TC, la relevancia constitucional del recurso radica en el contraste de la resolución judicial impugnada y la doctrina que el TC había ido elaborando en relación a la incidencia de las deficiencias estructurales y las dilaciones indebidas, la cual sí que aparecía reflejada en algunas de las sentencias que el demandante de amparo citaba en el recurso presentado. Finalmente, el TC admitió el recurso al entender que este caso podría </w:t>
      </w:r>
      <w:r w:rsidRPr="00E678A5">
        <w:lastRenderedPageBreak/>
        <w:t>llevarlo a un proceso de reflexión interno dirigido a un posible cambio de doctrina en la materia anteriormente citada.</w:t>
      </w:r>
    </w:p>
    <w:p w14:paraId="75DDFE1B" w14:textId="77777777" w:rsidR="006F44C0" w:rsidRDefault="006F44C0" w:rsidP="002B2B12">
      <w:pPr>
        <w:spacing w:after="240"/>
      </w:pPr>
      <w:r>
        <w:t>Este primer caso, dentro de los expuestos por el supuesto b), está siendo interpretado por el TC de un modo abierto, de tal manera que, incluso en los casos en que esa jurisprudencia contradictoria manifestada por el recurrente no haya sido calificada por éste como un supuesto de reflexión interna del TC, éste está admitiendo las demandas de amparo dentro de este supuesto</w:t>
      </w:r>
      <w:r>
        <w:rPr>
          <w:rStyle w:val="Refdenotaalpie"/>
        </w:rPr>
        <w:footnoteReference w:id="293"/>
      </w:r>
      <w:r>
        <w:t xml:space="preserve">. </w:t>
      </w:r>
    </w:p>
    <w:p w14:paraId="606A5588" w14:textId="77777777" w:rsidR="006F44C0" w:rsidRDefault="006F44C0" w:rsidP="002B2B12">
      <w:pPr>
        <w:spacing w:after="240"/>
      </w:pPr>
      <w:r>
        <w:t>Como vemos, el objetivo de este primer supuesto parece ser que el TC unifique su doctrina en determinados supuestos en los que se le plantea que ha ido resolviendo supuestos aparentemente de forma contradictoria. Todo ello, mediante un proceso de reflexión interna y con el objetivo de unificar su jurisprudencia asegurando así la seguridad jurídica en materia de derechos fundamentales.</w:t>
      </w:r>
    </w:p>
    <w:p w14:paraId="6A6028D5" w14:textId="77777777" w:rsidR="006F44C0" w:rsidRDefault="006F44C0" w:rsidP="002B2B12">
      <w:pPr>
        <w:spacing w:after="240"/>
      </w:pPr>
      <w:r>
        <w:t>Según puede apreciarse en la jurisprudencia este</w:t>
      </w:r>
      <w:r w:rsidRPr="00DA04A1">
        <w:t xml:space="preserve"> proceso de «reflexión</w:t>
      </w:r>
      <w:r>
        <w:t xml:space="preserve"> </w:t>
      </w:r>
      <w:r w:rsidRPr="00DA04A1">
        <w:t xml:space="preserve">interna» </w:t>
      </w:r>
      <w:r>
        <w:t xml:space="preserve">puede ser planteada por el TC </w:t>
      </w:r>
      <w:r w:rsidRPr="00DA04A1">
        <w:rPr>
          <w:i/>
          <w:iCs/>
        </w:rPr>
        <w:t>motu proprio</w:t>
      </w:r>
      <w:r w:rsidRPr="00DA04A1">
        <w:t xml:space="preserve"> o </w:t>
      </w:r>
      <w:r>
        <w:t xml:space="preserve">puede ser a petición del demandante, como puede verse en algunos casos, </w:t>
      </w:r>
      <w:r w:rsidRPr="00DA04A1">
        <w:t>STC 58/2014, FJ 2, por</w:t>
      </w:r>
      <w:r>
        <w:t xml:space="preserve"> </w:t>
      </w:r>
      <w:r w:rsidRPr="00DA04A1">
        <w:t xml:space="preserve">ejemplo). </w:t>
      </w:r>
    </w:p>
    <w:p w14:paraId="060B58D6" w14:textId="25997570" w:rsidR="006F44C0" w:rsidRDefault="006F44C0" w:rsidP="002B2B12">
      <w:pPr>
        <w:spacing w:after="240"/>
      </w:pPr>
      <w:r>
        <w:t xml:space="preserve">Sin embargo, cabe plantearse si esta apreciación por parte del propio Tribunal de la necesidad de reflexión interna no deja de ser </w:t>
      </w:r>
      <w:r w:rsidRPr="00DA04A1">
        <w:t>una</w:t>
      </w:r>
      <w:r>
        <w:t xml:space="preserve"> </w:t>
      </w:r>
      <w:r w:rsidRPr="00DA04A1">
        <w:t>cierta apreciación de oficio de la especial trascendencia constitucional</w:t>
      </w:r>
      <w:r>
        <w:t>, ya que es el TC quien está planteándose esa necesidad. En lo</w:t>
      </w:r>
      <w:r w:rsidR="00FF1187">
        <w:t>s</w:t>
      </w:r>
      <w:r>
        <w:t xml:space="preserve"> casos en que lo hace el demandante es claro ver que es éste el que plantea la especial trascendencia constitucional. </w:t>
      </w:r>
      <w:r w:rsidR="00FF1187">
        <w:t xml:space="preserve">A nuestro modo de ver, sí que sería una apreciación de oficio, de hecho, estaría realizando una importante labor ya que, </w:t>
      </w:r>
      <w:r w:rsidR="00FF1187" w:rsidRPr="00FF1187">
        <w:rPr>
          <w:i/>
          <w:iCs/>
        </w:rPr>
        <w:t>motu propio</w:t>
      </w:r>
      <w:r w:rsidR="00FF1187">
        <w:t xml:space="preserve"> estaría decidiendo que ese caso en cuestión necesita de un proceso de reflexión interna para replantearse su doctrina. Son estos casos los que, en nuestra opinión, ponen de relieve la actuación del TC como garante e intérprete de los derechos fundamentales.</w:t>
      </w:r>
    </w:p>
    <w:p w14:paraId="7C5BBAF7" w14:textId="77777777" w:rsidR="006F44C0" w:rsidRDefault="006F44C0" w:rsidP="002B2B12">
      <w:pPr>
        <w:pStyle w:val="Ttulo4"/>
      </w:pPr>
      <w:bookmarkStart w:id="678" w:name="_Toc43034499"/>
      <w:bookmarkStart w:id="679" w:name="_Toc45731800"/>
      <w:bookmarkStart w:id="680" w:name="_Toc49866582"/>
      <w:r>
        <w:lastRenderedPageBreak/>
        <w:t>Surgimiento de nuevas realidades sociales</w:t>
      </w:r>
      <w:bookmarkEnd w:id="678"/>
      <w:bookmarkEnd w:id="679"/>
      <w:bookmarkEnd w:id="680"/>
    </w:p>
    <w:p w14:paraId="6620A2E5" w14:textId="77777777" w:rsidR="006F44C0" w:rsidRDefault="006F44C0" w:rsidP="002B2B12">
      <w:pPr>
        <w:spacing w:after="240"/>
      </w:pPr>
      <w:r>
        <w:t>El segundo caso expuesto en el supuesto b) es el relativo al surgimiento de nuevas realidades sociales que afecten a la configuración de los derechos fundamentales y que, por tanto, generen la necesidad de cambiar, aclarar o perfilar la doctrina existente al respecto.</w:t>
      </w:r>
    </w:p>
    <w:p w14:paraId="0D160D20" w14:textId="77777777" w:rsidR="006F44C0" w:rsidRDefault="006F44C0" w:rsidP="002B2B12">
      <w:pPr>
        <w:spacing w:after="240"/>
      </w:pPr>
      <w:r>
        <w:t>El problema de este supuesto radica en que la admisión del recurso de amparo no va a depender sólo de la existencia de nuevas realidades sociales, sino que va a ser necesario además que tales novedades posean relevancia constitucional.</w:t>
      </w:r>
    </w:p>
    <w:p w14:paraId="2202479D" w14:textId="77777777" w:rsidR="006F44C0" w:rsidRDefault="006F44C0" w:rsidP="002B2B12">
      <w:pPr>
        <w:spacing w:after="240"/>
      </w:pPr>
      <w:r>
        <w:t xml:space="preserve">El TC ha determinado que, para que se dé este segundo caso deben concurrir dos presupuestos: </w:t>
      </w:r>
    </w:p>
    <w:p w14:paraId="4C821459" w14:textId="77777777" w:rsidR="006F44C0" w:rsidRDefault="006F44C0" w:rsidP="001A4310">
      <w:pPr>
        <w:pStyle w:val="Prrafodelista"/>
        <w:numPr>
          <w:ilvl w:val="0"/>
          <w:numId w:val="24"/>
        </w:numPr>
      </w:pPr>
      <w:r w:rsidRPr="009F3B94">
        <w:t>En primer lugar, que esa nueva realidad social afecte a la configuración del derecho fundamental en cuestión</w:t>
      </w:r>
      <w:r>
        <w:t>.</w:t>
      </w:r>
    </w:p>
    <w:p w14:paraId="35536AA8" w14:textId="77777777" w:rsidR="006F44C0" w:rsidRPr="009F3B94" w:rsidRDefault="006F44C0" w:rsidP="001A4310">
      <w:pPr>
        <w:pStyle w:val="Prrafodelista"/>
        <w:numPr>
          <w:ilvl w:val="0"/>
          <w:numId w:val="24"/>
        </w:numPr>
      </w:pPr>
      <w:r>
        <w:t>E</w:t>
      </w:r>
      <w:r w:rsidRPr="009F3B94">
        <w:t>n segundo lugar, que los efectos que deriven de esa nueva realidad trasciendan del caso concreto que se plantea</w:t>
      </w:r>
      <w:r>
        <w:rPr>
          <w:rStyle w:val="Refdenotaalpie"/>
        </w:rPr>
        <w:footnoteReference w:id="294"/>
      </w:r>
      <w:r w:rsidRPr="009F3B94">
        <w:t>.</w:t>
      </w:r>
    </w:p>
    <w:p w14:paraId="5C2F7E14" w14:textId="77777777" w:rsidR="006F44C0" w:rsidRDefault="006F44C0" w:rsidP="002B2B12">
      <w:pPr>
        <w:spacing w:after="240"/>
      </w:pPr>
      <w:r w:rsidRPr="00E678A5">
        <w:t>Debemos</w:t>
      </w:r>
      <w:r>
        <w:t xml:space="preserve"> destacar que, para que el TC aprecie la relevancia constitucional en el recurso de amparo, deben concurrir conjuntamente ambos presupuestos. No obstante, el propio Tribunal ha determinado que ello no significa que éstos sean los únicos presupuestos </w:t>
      </w:r>
      <w:r>
        <w:lastRenderedPageBreak/>
        <w:t>aptos para que se aprecie la especial trascendencia constitucional en este supuesto, sino que cabe la posibilidad de que se vayan añadiendo otros nuevos.</w:t>
      </w:r>
    </w:p>
    <w:p w14:paraId="2504B74F" w14:textId="77777777" w:rsidR="006F44C0" w:rsidRDefault="006F44C0" w:rsidP="002B2B12">
      <w:pPr>
        <w:spacing w:after="240"/>
      </w:pPr>
      <w:r>
        <w:t>Parece ser, que el objeto de este supuesto es que, a raíz de una nueva realidad social, se haga necesaria una modificación o aclaración en la doctrina constitucional de nuestro TC. Podría aparentar, en un primer momento, que se tratase del mismo razonamiento que el que hemos visto en el supuesto a), “la existencia de un nuevo supuesto de hecho que permita un nuevo pronunciamiento, sobre la configuración de un derecho fundamental”, sin embargo, en el presente caso vemos que esa necesidad de modificación o aclaración de la doctrina constitucional debe venir determinada por una afectación general consecuencia de una nueva realidad social.</w:t>
      </w:r>
    </w:p>
    <w:p w14:paraId="40F916B5" w14:textId="77777777" w:rsidR="006F44C0" w:rsidRDefault="006F44C0" w:rsidP="002B2B12">
      <w:pPr>
        <w:spacing w:after="240"/>
      </w:pPr>
      <w:r w:rsidRPr="00567298">
        <w:t>Podemos apreciar un ejemplo en la STC 145/2015, de 25 de junio. En el caso que se nos plantea, la nueva realidad versaba de la creación y comercialización de medicamentos con efectos abortivos. El TC admitió el recurso por la concurrencia de los citados presupuestos. En primer lugar, consideró que esa nueva realidad (la comercialización de medicamento con efectos abortivos) afectaba a la configuración ya existente del derecho a la objeción de conciencia de los farmacéuticos. En segundo lugar, entendió que esa nueva realidad social provocaría unos efectos que trascenderían del caso concreto.</w:t>
      </w:r>
    </w:p>
    <w:p w14:paraId="2EE902C2" w14:textId="77777777" w:rsidR="006F44C0" w:rsidRDefault="006F44C0" w:rsidP="002B2B12">
      <w:pPr>
        <w:spacing w:after="240"/>
      </w:pPr>
      <w:r>
        <w:t xml:space="preserve">Otro </w:t>
      </w:r>
      <w:r w:rsidRPr="00567298">
        <w:t xml:space="preserve">ejemplo </w:t>
      </w:r>
      <w:r>
        <w:t xml:space="preserve">sería </w:t>
      </w:r>
      <w:r w:rsidRPr="00567298">
        <w:t xml:space="preserve">la STC 26/2011, FJ 2. En el caso resuelto por esta sentencia el Tribunal </w:t>
      </w:r>
      <w:r>
        <w:t>determinó</w:t>
      </w:r>
      <w:r w:rsidRPr="00567298">
        <w:t xml:space="preserve"> que concurría la especial trascendencia constitucional porque ese recurso le permitía “perfilar, como consecuencia del surgimiento de nuevas realidades sociales, la doctrina constitucional sobre el derecho a la no discriminación en el ámbito laboral, cuando es un varón el que insta una modificación de sus condiciones de trabajo para el efectivo logro de la conciliación laboral y familiar”.</w:t>
      </w:r>
    </w:p>
    <w:p w14:paraId="3C1BA09F" w14:textId="77777777" w:rsidR="006F44C0" w:rsidRDefault="006F44C0" w:rsidP="002B2B12">
      <w:pPr>
        <w:spacing w:after="240"/>
      </w:pPr>
      <w:r>
        <w:t>Por tanto, para que el TC admita un recurso de amparo que justifique su especial trascendencia constitucional en el surgimiento de nuevas realidades va a ser determinante que el justiciable evidencie en su demanda que esa nueva realidad social afecta a la configuración de un derecho fundamental y que, los efectos que derivan de esa nueva realidad social trascienden del caso concreto que se plantea, es decir, que los efectos que provoca esa nueva realidad no afectan solamente en el demandante de amparo sino que esa nueva realidad repercute a un determinado colectivo de nuestra sociedad.</w:t>
      </w:r>
    </w:p>
    <w:p w14:paraId="0AEDCCEE" w14:textId="77777777" w:rsidR="006F44C0" w:rsidRPr="005749EF" w:rsidRDefault="006F44C0" w:rsidP="002B2B12">
      <w:pPr>
        <w:pStyle w:val="Ttulo4"/>
      </w:pPr>
      <w:bookmarkStart w:id="681" w:name="_Toc43034500"/>
      <w:bookmarkStart w:id="682" w:name="_Toc45731801"/>
      <w:bookmarkStart w:id="683" w:name="_Toc49866583"/>
      <w:r w:rsidRPr="005749EF">
        <w:lastRenderedPageBreak/>
        <w:t>Cambios normativos relevantes para la configuración del contenido del derecho fundamental</w:t>
      </w:r>
      <w:bookmarkEnd w:id="681"/>
      <w:bookmarkEnd w:id="682"/>
      <w:bookmarkEnd w:id="683"/>
    </w:p>
    <w:p w14:paraId="5FDB7FC8" w14:textId="77777777" w:rsidR="006F44C0" w:rsidRDefault="006F44C0" w:rsidP="002B2B12">
      <w:pPr>
        <w:spacing w:after="240"/>
      </w:pPr>
      <w:r>
        <w:t>El tercer supuesto en el que, según la STC 155/2009, puede ser necesario un cambio o aclaración de doctrina es cuando existan cambios normativos relevantes para la configuración del contenido del derecho fundamental. Esto ocurrirá, por ejemplo, en el caso de los derechos de configuración legal si se modifica la ley que los regula.</w:t>
      </w:r>
    </w:p>
    <w:p w14:paraId="02C1F3C7" w14:textId="77777777" w:rsidR="006F44C0" w:rsidRDefault="006F44C0" w:rsidP="002B2B12">
      <w:pPr>
        <w:spacing w:after="240"/>
      </w:pPr>
      <w:r>
        <w:t>Este motivo de especial trascendencia constitucional fue expresamente acogido por la STC 105/2012, de 11 de mayo</w:t>
      </w:r>
      <w:r>
        <w:rPr>
          <w:rStyle w:val="Refdenotaalpie"/>
        </w:rPr>
        <w:footnoteReference w:id="295"/>
      </w:r>
      <w:r>
        <w:t xml:space="preserve">, FJ 3. El TC entendió que la admisión de este recurso daba al Tribunal la oportunidad de perfilar su doctrina por el surgimiento </w:t>
      </w:r>
      <w:r>
        <w:rPr>
          <w:i/>
        </w:rPr>
        <w:t>“de cambios normativos relevantes para la configuración del contenido del derecho fundamental”.</w:t>
      </w:r>
      <w:r>
        <w:t xml:space="preserve"> Estos cambios normativos se introdujeron mediante la LO 2/2011, de 28 de enero, en relación con el voto por correo de los residentes ausentes.</w:t>
      </w:r>
    </w:p>
    <w:p w14:paraId="65B1BDC8" w14:textId="77777777" w:rsidR="006F44C0" w:rsidRDefault="006F44C0" w:rsidP="002B2B12">
      <w:pPr>
        <w:spacing w:after="240"/>
      </w:pPr>
      <w:r>
        <w:t xml:space="preserve">Podemos apreciar también esta causa de “especial trascendencia constitucional” en el recurso resuelto por la STC 181/2015, de 7 de septiembre. En este caso, el TC consideró que, como consecuencia del cambio normativo llevado a cabo por la Ley 19/2009, de 23 de noviembre, </w:t>
      </w:r>
      <w:r w:rsidRPr="00135F68">
        <w:t>de medidas de fomento y agilización procesal del alquiler y de la eficiencia energética de los edificios</w:t>
      </w:r>
      <w:r>
        <w:t>,</w:t>
      </w:r>
      <w:r w:rsidRPr="00135F68">
        <w:t xml:space="preserve"> </w:t>
      </w:r>
      <w:r>
        <w:t xml:space="preserve">era conveniente aclarar que la referida reforma legal tenía que interpretarse de acuerdo con la doctrina establecida por el Tribunal en materia de emplazamiento y notificaciones y, que, consecuentemente, no cabía realizar </w:t>
      </w:r>
      <w:r>
        <w:rPr>
          <w:i/>
        </w:rPr>
        <w:t xml:space="preserve">“una interpretación literal y restrictiva del precepto en relación con la labor y la diligencia </w:t>
      </w:r>
      <w:r>
        <w:rPr>
          <w:i/>
        </w:rPr>
        <w:lastRenderedPageBreak/>
        <w:t>que deben desplegar [los órganos judiciales] a la hora de realizar los actos de comunicación dirigidos a quienes están llamados a ser parte en el procedimiento”</w:t>
      </w:r>
      <w:r>
        <w:t>.</w:t>
      </w:r>
    </w:p>
    <w:p w14:paraId="6ECA8D1A" w14:textId="77777777" w:rsidR="006F44C0" w:rsidRDefault="006F44C0" w:rsidP="002B2B12">
      <w:pPr>
        <w:spacing w:after="240"/>
      </w:pPr>
      <w:r>
        <w:t xml:space="preserve">Otro ejemplo sería precisamente, el tema que nos ocupa. La </w:t>
      </w:r>
      <w:r w:rsidRPr="005749EF">
        <w:t>STC 9/2014, de 27 de enero</w:t>
      </w:r>
      <w:r>
        <w:t xml:space="preserve">, </w:t>
      </w:r>
      <w:r w:rsidRPr="005749EF">
        <w:t>en</w:t>
      </w:r>
      <w:r>
        <w:t xml:space="preserve"> la que s</w:t>
      </w:r>
      <w:r w:rsidRPr="005749EF">
        <w:t>e alega la vulneración del derecho a la tutela judicial efectiva (art.</w:t>
      </w:r>
      <w:r>
        <w:t xml:space="preserve"> </w:t>
      </w:r>
      <w:r w:rsidRPr="005749EF">
        <w:t>24.1 CE), como consecuencia de la inadmisión del incidente de nulidad de</w:t>
      </w:r>
      <w:r>
        <w:t xml:space="preserve"> </w:t>
      </w:r>
      <w:r w:rsidRPr="005749EF">
        <w:t>actuaciones, ya que la interpretación que realiza el órgano judicial es</w:t>
      </w:r>
      <w:r>
        <w:t xml:space="preserve"> </w:t>
      </w:r>
      <w:r w:rsidRPr="005749EF">
        <w:t>restrictiva respecto a la nueva configuración que otorga la reforma efectuada</w:t>
      </w:r>
      <w:r>
        <w:t xml:space="preserve"> </w:t>
      </w:r>
      <w:r w:rsidRPr="005749EF">
        <w:t>por la L.O. 6/2007</w:t>
      </w:r>
      <w:r>
        <w:t xml:space="preserve">. Este caso le dio al TC la oportunidad de </w:t>
      </w:r>
      <w:r w:rsidRPr="005749EF">
        <w:t>aplicar y reafirmar su doctrina</w:t>
      </w:r>
      <w:r>
        <w:t xml:space="preserve"> </w:t>
      </w:r>
      <w:r w:rsidRPr="005749EF">
        <w:t>sobre el incid</w:t>
      </w:r>
      <w:r>
        <w:t>ente de nulidad de actuaciones.</w:t>
      </w:r>
    </w:p>
    <w:p w14:paraId="6B94216B" w14:textId="77777777" w:rsidR="006F44C0" w:rsidRDefault="006F44C0" w:rsidP="002B2B12">
      <w:pPr>
        <w:spacing w:after="240"/>
      </w:pPr>
      <w:r>
        <w:t xml:space="preserve">En nuestra opinión, este supuesto sería uno de los más claros ya que, debido a la continua evolución de la normativa, ésta debe ser concretada e interpretada en razón de estos cambios. Más aún en lo que se refiere a normas que afectan la configuración de un derecho fundamental. </w:t>
      </w:r>
    </w:p>
    <w:p w14:paraId="2CD2F331" w14:textId="77777777" w:rsidR="006F44C0" w:rsidRPr="00713DA8" w:rsidRDefault="006F44C0" w:rsidP="002B2B12">
      <w:pPr>
        <w:pStyle w:val="Ttulo4"/>
      </w:pPr>
      <w:bookmarkStart w:id="684" w:name="_Toc43034501"/>
      <w:bookmarkStart w:id="685" w:name="_Toc45731802"/>
      <w:bookmarkStart w:id="686" w:name="_Toc49866584"/>
      <w:r w:rsidRPr="00713DA8">
        <w:t>Cambios en la doctrina de los órganos de garantía encargados de la interpretación de los tratados y acuerdos internacionales a los que se refiere el art. 10.2 CE</w:t>
      </w:r>
      <w:bookmarkEnd w:id="684"/>
      <w:bookmarkEnd w:id="685"/>
      <w:bookmarkEnd w:id="686"/>
    </w:p>
    <w:p w14:paraId="33C8793E" w14:textId="77777777" w:rsidR="006F44C0" w:rsidRDefault="006F44C0" w:rsidP="002B2B12">
      <w:pPr>
        <w:spacing w:after="240"/>
      </w:pPr>
      <w:r>
        <w:t>La cuarta razón que puede originar un cambio o aclaración en la doctrina constitucional consiste en supuestos en los que estos cambios o aclaraciones vienen motivados por la doctrina establecida por los órganos internacionales de garantía de los tratados suscritos por España</w:t>
      </w:r>
      <w:r>
        <w:rPr>
          <w:rStyle w:val="Refdenotaalpie"/>
        </w:rPr>
        <w:footnoteReference w:id="296"/>
      </w:r>
      <w:r>
        <w:t>.</w:t>
      </w:r>
    </w:p>
    <w:p w14:paraId="756CB24F" w14:textId="77777777" w:rsidR="00611B3E" w:rsidRDefault="006F44C0" w:rsidP="002B2B12">
      <w:pPr>
        <w:spacing w:after="240"/>
      </w:pPr>
      <w:r>
        <w:t>Cabe destacar en este punto que algún autor como ESQUIVEL ALONSO,  consideran necesario que el TC identifique cuales son los órganos de garantía encargados de la interpretación de los tratados y acuerdos internacionales, cuyo cambio de doctrina puede afectar a los derechos fundamentales</w:t>
      </w:r>
      <w:r>
        <w:rPr>
          <w:rStyle w:val="Refdenotaalpie"/>
        </w:rPr>
        <w:footnoteReference w:id="297"/>
      </w:r>
      <w:r>
        <w:t xml:space="preserve">. </w:t>
      </w:r>
    </w:p>
    <w:p w14:paraId="30E6386D" w14:textId="2F28C25F" w:rsidR="006F44C0" w:rsidRDefault="00611B3E" w:rsidP="002B2B12">
      <w:pPr>
        <w:spacing w:after="240"/>
      </w:pPr>
      <w:r>
        <w:t xml:space="preserve">En nuestra opinión, los límites y el alcance del art. 10.2 CE ha sido convenientemente desarrollado por el propio TC, por lo que consideramos que no cabrían dudas sobre </w:t>
      </w:r>
      <w:r w:rsidRPr="00611B3E">
        <w:t xml:space="preserve">los </w:t>
      </w:r>
      <w:r w:rsidRPr="00611B3E">
        <w:lastRenderedPageBreak/>
        <w:t>órganos de garantía encargados de la interpretación de los tratados y acuerdos internacionales</w:t>
      </w:r>
      <w:r>
        <w:t xml:space="preserve"> a los que se refiere este artículo.</w:t>
      </w:r>
    </w:p>
    <w:p w14:paraId="49B57886" w14:textId="0923D579" w:rsidR="00611B3E" w:rsidRDefault="00611B3E" w:rsidP="002B2B12">
      <w:pPr>
        <w:spacing w:after="240"/>
      </w:pPr>
      <w:r>
        <w:t>Sin embargo, son muy pocos los casos en los que el TC ha utilizado este supuesto expresamente</w:t>
      </w:r>
      <w:r w:rsidR="007347DF">
        <w:t>.</w:t>
      </w:r>
    </w:p>
    <w:p w14:paraId="0B0F838B" w14:textId="77777777" w:rsidR="006F44C0" w:rsidRDefault="006F44C0" w:rsidP="002B2B12">
      <w:pPr>
        <w:pStyle w:val="Ttulo3"/>
      </w:pPr>
      <w:bookmarkStart w:id="687" w:name="_Toc522831270"/>
      <w:bookmarkStart w:id="688" w:name="_Toc532198487"/>
      <w:bookmarkStart w:id="689" w:name="_Toc43034502"/>
      <w:bookmarkStart w:id="690" w:name="_Toc45731803"/>
      <w:bookmarkStart w:id="691" w:name="_Toc49423703"/>
      <w:bookmarkStart w:id="692" w:name="_Toc49708635"/>
      <w:bookmarkStart w:id="693" w:name="_Toc49790301"/>
      <w:bookmarkStart w:id="694" w:name="_Toc49866585"/>
      <w:bookmarkStart w:id="695" w:name="_Toc50373192"/>
      <w:r>
        <w:t>Cuando la vulneración del derecho fundamental proviene de la ley o de otra disposición con carácter general</w:t>
      </w:r>
      <w:bookmarkEnd w:id="687"/>
      <w:bookmarkEnd w:id="688"/>
      <w:bookmarkEnd w:id="689"/>
      <w:bookmarkEnd w:id="690"/>
      <w:bookmarkEnd w:id="691"/>
      <w:bookmarkEnd w:id="692"/>
      <w:bookmarkEnd w:id="693"/>
      <w:bookmarkEnd w:id="694"/>
      <w:bookmarkEnd w:id="695"/>
    </w:p>
    <w:p w14:paraId="6D362C15" w14:textId="77777777" w:rsidR="006F44C0" w:rsidRDefault="006F44C0" w:rsidP="002B2B12">
      <w:pPr>
        <w:spacing w:after="240"/>
      </w:pPr>
      <w:r>
        <w:t xml:space="preserve">Otro de los motivos que, según establece la STC 155/2009, determina que un recurso de amparo tenga especial trascendencia constitucional es que </w:t>
      </w:r>
      <w:r>
        <w:rPr>
          <w:i/>
        </w:rPr>
        <w:t>“la vulneración del derecho fundamental que se denuncia provenga de la ley o de otra disposición de carácter general”.</w:t>
      </w:r>
    </w:p>
    <w:p w14:paraId="5246117F" w14:textId="77777777" w:rsidR="006F44C0" w:rsidRDefault="006F44C0" w:rsidP="002B2B12">
      <w:pPr>
        <w:spacing w:after="240"/>
      </w:pPr>
      <w:r>
        <w:t>La redacción dada a</w:t>
      </w:r>
      <w:r w:rsidRPr="00A4795C">
        <w:t xml:space="preserve"> la STC 155/2009 no parece que introduzca ninguna limitación</w:t>
      </w:r>
      <w:r>
        <w:t xml:space="preserve"> </w:t>
      </w:r>
      <w:r w:rsidRPr="00A4795C">
        <w:t>en cuanto al tipo de norma por lo que su rango puede ser legal o reglamentario,</w:t>
      </w:r>
      <w:r>
        <w:t xml:space="preserve"> </w:t>
      </w:r>
      <w:r w:rsidRPr="00A4795C">
        <w:t>y de origen</w:t>
      </w:r>
      <w:r>
        <w:t xml:space="preserve"> tanto estatal como autonómico. No encontramos, por tanto, ante supuestos en los que la vulneración del derecho fundamental que se invoca trae su causa en la norma aplicada por el acto recurrido en amparo; norma que puede tener rango de ley, pero también puede ser un reglamento o una norma de Derecho internacional, pues debemos </w:t>
      </w:r>
      <w:r w:rsidRPr="00A4795C">
        <w:t xml:space="preserve">considerar incluidos los tratados internacionales, </w:t>
      </w:r>
      <w:r>
        <w:t xml:space="preserve">sobre todo si consideramos </w:t>
      </w:r>
      <w:r w:rsidRPr="00A4795C">
        <w:t xml:space="preserve">el valor que les da el art. 10.2 CE y el propio protagonismo de los tratados en otros supuestos de concurrencia de especial trascendencia constitucional </w:t>
      </w:r>
      <w:r>
        <w:t>de l</w:t>
      </w:r>
      <w:r w:rsidRPr="00A4795C">
        <w:t xml:space="preserve">a STC 155/2009, </w:t>
      </w:r>
      <w:r>
        <w:t xml:space="preserve">supuesto ya </w:t>
      </w:r>
      <w:r w:rsidRPr="00A4795C">
        <w:t xml:space="preserve"> incluido</w:t>
      </w:r>
      <w:r>
        <w:t xml:space="preserve"> </w:t>
      </w:r>
      <w:r w:rsidRPr="00A4795C">
        <w:t>en el apartado b).</w:t>
      </w:r>
      <w:r>
        <w:rPr>
          <w:rStyle w:val="Refdenotaalpie"/>
        </w:rPr>
        <w:footnoteReference w:id="298"/>
      </w:r>
    </w:p>
    <w:p w14:paraId="651A1651" w14:textId="77777777" w:rsidR="006F44C0" w:rsidRDefault="006F44C0" w:rsidP="002B2B12">
      <w:pPr>
        <w:spacing w:after="240"/>
      </w:pPr>
      <w:r>
        <w:t>La admisión del recurso en estos casos tendrá especial trascendencia constitucional debido a que permitirá al Tribunal enjuiciar la norma aplicada y, si procede, expulsarla del ordenamiento jurídico, por lo que la resolución del recurso de amparo trascenderá del caso concreto.</w:t>
      </w:r>
    </w:p>
    <w:p w14:paraId="34D711D2" w14:textId="77777777" w:rsidR="006F44C0" w:rsidRDefault="006F44C0" w:rsidP="002B2B12">
      <w:pPr>
        <w:spacing w:after="240"/>
      </w:pPr>
      <w:r>
        <w:lastRenderedPageBreak/>
        <w:t>Seguiremos la clasificación distinguida por BELADÍEZ ROJO en la apreciación de los distintos casos que podemos encontrarnos en este tercer supuesto, la cual nos parece muy acertada y ejemplificativa</w:t>
      </w:r>
      <w:r>
        <w:rPr>
          <w:rStyle w:val="Refdenotaalpie"/>
        </w:rPr>
        <w:footnoteReference w:id="299"/>
      </w:r>
      <w:r>
        <w:t>:</w:t>
      </w:r>
    </w:p>
    <w:p w14:paraId="39D36A73" w14:textId="77777777" w:rsidR="006F44C0" w:rsidRPr="008F406E" w:rsidRDefault="006F44C0" w:rsidP="001A4310">
      <w:pPr>
        <w:pStyle w:val="Ttulo4"/>
        <w:numPr>
          <w:ilvl w:val="0"/>
          <w:numId w:val="35"/>
        </w:numPr>
      </w:pPr>
      <w:bookmarkStart w:id="696" w:name="_Toc45731804"/>
      <w:bookmarkStart w:id="697" w:name="_Toc49866586"/>
      <w:r w:rsidRPr="008F406E">
        <w:t>Actos dictados en virtud de normas con rango de ley que se consideren contrarias a derechos a fundamentales</w:t>
      </w:r>
      <w:bookmarkEnd w:id="696"/>
      <w:bookmarkEnd w:id="697"/>
    </w:p>
    <w:p w14:paraId="7EA78A5A" w14:textId="77777777" w:rsidR="006F44C0" w:rsidRPr="00822783" w:rsidRDefault="006F44C0" w:rsidP="002B2B12">
      <w:pPr>
        <w:spacing w:after="240"/>
        <w:rPr>
          <w:highlight w:val="yellow"/>
        </w:rPr>
      </w:pPr>
      <w:r w:rsidRPr="00822783">
        <w:t xml:space="preserve">Los supuestos más frecuentes en los que </w:t>
      </w:r>
      <w:r>
        <w:t xml:space="preserve">apreciaremos </w:t>
      </w:r>
      <w:r w:rsidRPr="00822783">
        <w:t xml:space="preserve">esta causa de especial trascendencia constitucional </w:t>
      </w:r>
      <w:r>
        <w:t xml:space="preserve">serán </w:t>
      </w:r>
      <w:r w:rsidRPr="00822783">
        <w:t>aquellos en los que se aleg</w:t>
      </w:r>
      <w:r>
        <w:t>ue</w:t>
      </w:r>
      <w:r w:rsidRPr="00822783">
        <w:t xml:space="preserve"> la vulneración del derecho fundamental </w:t>
      </w:r>
      <w:r>
        <w:t>por la</w:t>
      </w:r>
      <w:r w:rsidRPr="00822783">
        <w:t xml:space="preserve"> ley que el acto recurrido en amparo aplicaba. En estos casos, al imputarse la vulneración de los derechos fundamentales a una norma con rango de ley, si el Tribunal considera que el recurso de amparo debe ser est</w:t>
      </w:r>
      <w:r>
        <w:t>imado, como regla general, habrá que</w:t>
      </w:r>
      <w:r w:rsidRPr="00822783">
        <w:t xml:space="preserve"> plantear previamente la cuestión interna de inconstitucionalidad y, una vez que recaiga Sentencia en este proceso, dictar la que resuelva el recurso de amparo (art. 55.2 LOTC).</w:t>
      </w:r>
    </w:p>
    <w:p w14:paraId="7C7390F5" w14:textId="77777777" w:rsidR="006F44C0" w:rsidRDefault="006F44C0" w:rsidP="002B2B12">
      <w:pPr>
        <w:spacing w:after="240"/>
      </w:pPr>
      <w:r>
        <w:t>Nos referimos, por tanto, a aquellos casos en los que la ley o disposición general que se utiliza como base del acto impugnado en amparo resulte ella misma inconstitucional por vulnerar un derecho fundamental. En los casos en los que el órgano judicial se haya limitado a aplicar dicha norma, habrá provocado una supuesta inconstitucionalidad en el acto en cuestión. Así pues, la lesión del derecho que se alega en la demanda procederá de la propia norma que es la que vulnera el derecho y no, como podría pensarse, de la sentencia que haya dictado el juez ordinario en aplicación de la misma</w:t>
      </w:r>
      <w:r>
        <w:rPr>
          <w:rStyle w:val="Refdenotaalpie"/>
        </w:rPr>
        <w:footnoteReference w:id="300"/>
      </w:r>
      <w:r>
        <w:t>.</w:t>
      </w:r>
    </w:p>
    <w:p w14:paraId="788D075A" w14:textId="77777777" w:rsidR="006F44C0" w:rsidRDefault="006F44C0" w:rsidP="002B2B12">
      <w:pPr>
        <w:spacing w:after="240"/>
      </w:pPr>
      <w:r>
        <w:t xml:space="preserve">Este supuesto de especial trascendencia constitucional posee una particularidad. Esta consiste en la facultad ofrecida para estos casos en la propia LOTC, la cual no ha permanecido ajena a la posibilidad de que la lesión de un derecho fundamental sea imputable a la propia ley o disposición de carácter general. Para solventar estos casos, el </w:t>
      </w:r>
      <w:r>
        <w:lastRenderedPageBreak/>
        <w:t>art. 55.2 LOTC</w:t>
      </w:r>
      <w:r>
        <w:rPr>
          <w:rStyle w:val="Refdenotaalpie"/>
        </w:rPr>
        <w:footnoteReference w:id="301"/>
      </w:r>
      <w:r>
        <w:t xml:space="preserve"> prevé un pronunciamiento adicional en la sentencia de amparo, que es el planteamiento de la denominada doctrinalmente “auto cuestión de inconstitucionalidad”.</w:t>
      </w:r>
    </w:p>
    <w:p w14:paraId="55600DBE" w14:textId="42CBC862" w:rsidR="006F44C0" w:rsidRDefault="006F44C0" w:rsidP="002B2B12">
      <w:pPr>
        <w:spacing w:after="240"/>
      </w:pPr>
      <w:r>
        <w:t xml:space="preserve">Recordemos que esta figura permite al TC hacer aquello que no le está permitido hacer a través del recurso de amparo: eliminar una ley del ordenamiento jurídico por resultar inconstitucional. Debemos observar, no obstante, dado que se excluye del recurso de amparo la posibilidad de declarar la inconstitucionalidad de cualquier norma con fuerza de ley, el término “ley” del </w:t>
      </w:r>
      <w:r w:rsidR="007347DF">
        <w:t>artículo</w:t>
      </w:r>
      <w:r>
        <w:t xml:space="preserve"> 55.2 LOTC se ha venido utilizando en la práctica para cualquier norma con fuerza de ley. Entre otros casos, podemos apreciar que hasta ahora han sido objeto de control leyes orgánicas (STC 120/2010), textos refundidos (STC 34/1981) y textos articulados (STC 48/1995), entre otros.</w:t>
      </w:r>
      <w:r>
        <w:rPr>
          <w:rStyle w:val="Refdenotaalpie"/>
        </w:rPr>
        <w:footnoteReference w:id="302"/>
      </w:r>
      <w:r>
        <w:t xml:space="preserve"> </w:t>
      </w:r>
    </w:p>
    <w:p w14:paraId="60FC0A36" w14:textId="77777777" w:rsidR="006F44C0" w:rsidRDefault="006F44C0" w:rsidP="002B2B12">
      <w:pPr>
        <w:spacing w:after="240"/>
      </w:pPr>
      <w:r>
        <w:t>Cabría preguntarse qué debería hacer el TC cuando se le presenten estos casos. A primera vista, podemos apreciar dos opciones: que el demandante presente una demanda de amparo alegando esta causa como motivo de especial trascendencia constitucional, pero que el TC no aprecie dicha vulneración producida por una Ley, en cuyo caso, parece claro que el Tribunal debería desestimar la demanda. La segunda opción y la que más nos interesa para nuestro trabajo, es el caso de se admita una demanda de amparo alegando esta causa y que, además, nuestro TC entienda que el amparo debe ser estimado porque la ley aplicada resulta inconstitucional por vulnerar derechos fundamentales. ¿Estará entonces obligado a interponer la auto cuestión de inconstitucionalidad?</w:t>
      </w:r>
      <w:r>
        <w:rPr>
          <w:rStyle w:val="Refdenotaalpie"/>
        </w:rPr>
        <w:footnoteReference w:id="303"/>
      </w:r>
    </w:p>
    <w:p w14:paraId="4020B1CD" w14:textId="77777777" w:rsidR="006F44C0" w:rsidRDefault="006F44C0" w:rsidP="002B2B12">
      <w:pPr>
        <w:spacing w:after="240"/>
      </w:pPr>
      <w:r>
        <w:t xml:space="preserve">Según podemos observar, parece que el art. 55.2 LOTC establece una verdadera obligación para la Sala o, en su caso, la Sección. Muchos autores, además, consideran que la expresión “se elevará”, contenida en el artículo 55.2 LOTC, impondría una verdadera </w:t>
      </w:r>
      <w:r>
        <w:lastRenderedPageBreak/>
        <w:t>obligación para que la Sala o, en su caso, la Sección planteen la auto cuestión de inconstitucionalidad.</w:t>
      </w:r>
      <w:r>
        <w:rPr>
          <w:rStyle w:val="Refdenotaalpie"/>
        </w:rPr>
        <w:footnoteReference w:id="304"/>
      </w:r>
    </w:p>
    <w:p w14:paraId="4151ECCD" w14:textId="1E03D545" w:rsidR="006F44C0" w:rsidRDefault="006F44C0" w:rsidP="002B2B12">
      <w:pPr>
        <w:spacing w:after="240"/>
      </w:pPr>
      <w:r>
        <w:t xml:space="preserve">Por tanto, podemos afirmar que nos encontraríamos ante una obligación imperativa para el TC de interponer la auto cuestión de inconstitucionalidad en los casos en que existan dudas respecto a la constitucionalidad de una norma, más </w:t>
      </w:r>
      <w:r w:rsidR="004B058B">
        <w:t>aún</w:t>
      </w:r>
      <w:r w:rsidR="00834F51">
        <w:t>,</w:t>
      </w:r>
      <w:r>
        <w:t xml:space="preserve"> teniendo en cuenta que el fallo de la sentencia del recurso de amparo dependerá de esta consideración acerca la constitucionalidad de la ley en cuestión. En cambio, no existirá tal obligación, en los casos en que, pese a que el demandante alegue la especial trascendencia constitucional en relación con este supuesto, el TC considere que dicha norma puede ser interpretada conforme con la Constitución, por lo que no existirá duda respecto a la constitucionalidad de la misma.</w:t>
      </w:r>
    </w:p>
    <w:p w14:paraId="7EF63A74" w14:textId="77777777" w:rsidR="006F44C0" w:rsidRDefault="006F44C0" w:rsidP="002B2B12">
      <w:pPr>
        <w:spacing w:after="240"/>
      </w:pPr>
      <w:r>
        <w:t>Podemos pensar pues que el objetivo de este motivo de relevancia constitucional es el de permitir al TC eliminar cualquier duda que pueda surgir acerca de la constitucionalidad de una ley u otro precepto de manera previa a la sentencia de amparo, a través de la cuestión interna de inconstitucionalidad. Una vez planteada la auto cuestión, se dictará sentencia en un procedimiento distinto y de manera previa a la sentencia de amparo en el que se decidirá acerca de la constitucionalidad de la norma en cuestión. Una vez que el TC haya disipado sus dudas, dictará sentencia vía amparo en relación a la posible afectación del derecho fundamental por dicho precepto.</w:t>
      </w:r>
    </w:p>
    <w:p w14:paraId="472D6701" w14:textId="77777777" w:rsidR="006F44C0" w:rsidRDefault="006F44C0" w:rsidP="002B2B12">
      <w:pPr>
        <w:spacing w:after="240"/>
      </w:pPr>
      <w:r>
        <w:t xml:space="preserve">De esta manera, se solventarían dos problemas paralelos. Por una parte, en caso de que la ley o disposición general fuese contraria a la CE, se conseguirían los efectos generales propios de la declaración de inconstitucionalidad de esa normativa y, por otra parte, frente a los efectos </w:t>
      </w:r>
      <w:r w:rsidRPr="00A63DC2">
        <w:rPr>
          <w:i/>
        </w:rPr>
        <w:t>inter partes</w:t>
      </w:r>
      <w:r>
        <w:t xml:space="preserve"> que se producen en la sentencia de amparo. En este concreto supuesto, a diferencia de los otros, sólo el TC podría reparar la lesión. </w:t>
      </w:r>
    </w:p>
    <w:p w14:paraId="33D57CBD" w14:textId="77777777" w:rsidR="006F44C0" w:rsidRDefault="006F44C0" w:rsidP="002B2B12">
      <w:pPr>
        <w:spacing w:after="240"/>
      </w:pPr>
      <w:r w:rsidRPr="00A63DC2">
        <w:t>Algunos recursos de amparo que podemos ubicar en este supuesto serían los siguientes:</w:t>
      </w:r>
    </w:p>
    <w:p w14:paraId="201F1D4D" w14:textId="77777777" w:rsidR="006F44C0" w:rsidRDefault="006F44C0" w:rsidP="002B2B12">
      <w:pPr>
        <w:spacing w:after="240"/>
      </w:pPr>
      <w:r>
        <w:t>STC 165/2011, de 12 de noviembre. FJ 2.</w:t>
      </w:r>
    </w:p>
    <w:p w14:paraId="64B3E71D" w14:textId="77777777" w:rsidR="006F44C0" w:rsidRDefault="006F44C0" w:rsidP="002B2B12">
      <w:pPr>
        <w:spacing w:after="240"/>
      </w:pPr>
      <w:r>
        <w:lastRenderedPageBreak/>
        <w:t xml:space="preserve">La sentencia razonaba la problemática de Unificación Comunista de España, partido político que presentó una candidatura en Navarra que no fue proclamada porque no contaba con los avales suficientes, negándosele la posibilidad de subsanar el defecto precedido. La especial trascendencia constitucional derivaba de la vulneración aducida del derecho a acceder en condiciones de igualdad a las funciones y cargos públicos con los requisitos que señalen las leyes. En este caso el TC otorgó el amparo, declarando la nulidad del acuerdo que impide subsanar la omisión en la presentación de avales. </w:t>
      </w:r>
    </w:p>
    <w:p w14:paraId="64B64310" w14:textId="77777777" w:rsidR="006F44C0" w:rsidRDefault="006F44C0" w:rsidP="002B2B12">
      <w:pPr>
        <w:spacing w:after="240"/>
      </w:pPr>
      <w:r>
        <w:t xml:space="preserve">Sentencia núm. 77/2013 de 8 abril. RTC 2013\77. FJ 2º. </w:t>
      </w:r>
    </w:p>
    <w:p w14:paraId="3F379C7F" w14:textId="77777777" w:rsidR="006F44C0" w:rsidRDefault="006F44C0" w:rsidP="002B2B12">
      <w:pPr>
        <w:spacing w:after="240"/>
      </w:pPr>
      <w:r>
        <w:t xml:space="preserve"> Los recurrentes, una pareja transexual, plantean una vulneración de su derecho fundamental a la igualdad, al reclamar una pensión de viudedad de parejas de hecho estables puesto que requisito de concesión se basaba en que el causante y el beneficiario hubieran tenido hijos comunes para el cobro de la prestación.</w:t>
      </w:r>
    </w:p>
    <w:p w14:paraId="537B8C40" w14:textId="77777777" w:rsidR="006F44C0" w:rsidRDefault="006F44C0" w:rsidP="002B2B12">
      <w:pPr>
        <w:spacing w:after="240"/>
      </w:pPr>
      <w:r>
        <w:t xml:space="preserve"> «</w:t>
      </w:r>
      <w:r w:rsidRPr="00A63DC2">
        <w:rPr>
          <w:i/>
        </w:rPr>
        <w:t>Con carácter previo al enjuiciamiento de la cuestión de fondo, debemos analizar en primer lugar el óbice procesal puesto de manifiesto por el Ministerio Fiscal, para quien el recurso de amparo resultaría inadmisible -lo que, en este momento procesal habría de conducir a su desestimación- por falta de cumplimiento del requisito previsto en el último inciso del artículo 49.1 LOTC (RCL 1979, 2383) , toda vez que, según señala, la demanda, ni justifica, ni contiene referencia alguna a la especial trascendencia constitucional del recurso. La mera lectura de la demanda de amparo pone, sin embargo, de manifiesto la inexistencia de tal óbice procesal y el exacto cumplimiento por la demandante del requisito considerado. En efecto, en el último párrafo del fundamento jurídico séptimo de la demanda la recurrente señala expresamente que entiende «que la cuestión que se plantea en este recurso es de relevancia constitucional al amparo de la STC 155/2009, de 25 de junio (RTC 2009, 155) , ya que la exigencia de la disposición adicional tercera letra c) de la Ley 40/2007 (RCL 2007, 2208) excluye al colectivo de transexuales de facto y, por lo tanto, rompe el principio de igualdad del artículo 14 de la Constitución por la imposibilidad física de tener hijos».</w:t>
      </w:r>
      <w:r>
        <w:t xml:space="preserve"> Con ello hace la recurrente referencia expresa a uno de los casos específicamente contemplados en el fundamento jurídico 2 de nuestra STC 155/2009, de 25 de junio, cual es aquel en el que «la vulneración del derecho fundamental que se denuncia provenga de la ley o de otra disposición de carácter general».”</w:t>
      </w:r>
    </w:p>
    <w:p w14:paraId="45C06477" w14:textId="77777777" w:rsidR="006F44C0" w:rsidRDefault="006F44C0" w:rsidP="002B2B12">
      <w:pPr>
        <w:spacing w:after="240"/>
      </w:pPr>
      <w:r>
        <w:lastRenderedPageBreak/>
        <w:t>Otro ejemplo fue el que se presentó en la STC116/2013, de 20 mayo. FJ 3º.</w:t>
      </w:r>
    </w:p>
    <w:p w14:paraId="00DB14AF" w14:textId="77777777" w:rsidR="006F44C0" w:rsidRDefault="006F44C0" w:rsidP="002B2B12">
      <w:pPr>
        <w:spacing w:after="240"/>
      </w:pPr>
      <w:r>
        <w:t xml:space="preserve"> El recurso se fundamenta en una diferencia de trato legislativo entre trabajadores a tiempo parcial y jornada completa en el cómputo de los periodos de cotización de los cálculos de la pensión de jubilación. En este caso el TC admitió el recurso de amparo al considerar que los órganos judiciales han aplicado al caso una norma que contraviene el art. 14 CE por permitir una desigualdad de trato y una discriminación entre trabajadores a tiempo completo y a tiempo parcial en materia de cotización para el cálculo de las pensiones de la Seguridad Social. Por consiguiente, el TC considero cumplido el requisito de ETC al que se refiere el art. 49.1 LOTC. La queja en que se fundamenta este recurso es la incompatibilidad con el art. 14 CE de la regulación contenida en la regla segunda del apartado 1 de la disposición adicional séptima de la Ley General de la Seguridad Social y desarrollada por el Real Decreto 1131/2002, normativa cuya aplicación por las resoluciones impugnadas en amparo ha determinado la denegación al demandante de la pensión de jubilación solicitada. Una vez elevada la auto cuestión de inconstitucionalidad al Pleno del TC, el TC decidió declarar inconstitucional y nula la regla segunda del apartado 1 de la disposición adicional séptima de la LGSS, en la redacción dada por el Real Decreto- ley 15/1998. Finalmente, el TC que la norma cuestionada vulnera el art. 14 CE, tanto por lesionar el derecho a la igualdad, como también, a la vista de su predominante incidencia sobre el empleo femenino, por provocar una discriminación indirecta por razón de sexo. En el presente caso el TC otorga el amparo solicitado por vulneración del derecho a la igualdad ante la ley ( art. 14 CE).</w:t>
      </w:r>
      <w:r>
        <w:rPr>
          <w:rStyle w:val="Refdenotaalpie"/>
        </w:rPr>
        <w:footnoteReference w:id="305"/>
      </w:r>
    </w:p>
    <w:p w14:paraId="6FB51CD1" w14:textId="77777777" w:rsidR="006F44C0" w:rsidRDefault="006F44C0" w:rsidP="002B2B12">
      <w:pPr>
        <w:spacing w:after="240"/>
      </w:pPr>
      <w:r>
        <w:t xml:space="preserve">Sentencia del TC núm. 128/2014 de 21 julio. RTC 2014\128. FJ 2º. </w:t>
      </w:r>
    </w:p>
    <w:p w14:paraId="121F7451" w14:textId="77777777" w:rsidR="006F44C0" w:rsidRDefault="006F44C0" w:rsidP="002B2B12">
      <w:pPr>
        <w:spacing w:after="240"/>
      </w:pPr>
      <w:r>
        <w:lastRenderedPageBreak/>
        <w:t xml:space="preserve">El recurso se fundamentaba en la utilización del doble del salario mínimo profesional por cada uno de los miembros de la unidad familiar como límite de la justicia gratuita plena. Aunque se deniega el amparo, el tribunal aprecia una causa de especial trascendencia constitucional.   El recurrente de amparo alegaba que el artículo 3 LAJG, que regula los requisitos básicos para acceder a la asistencia jurídica gratuita, vulneraba el derecho a la igualdad consagrado en el art. 14 CE. La Sala Primera del TC elevo la auto cuestión de inconstitucionalidad al pleno del TC por tener dudas respecto a la constitucionalidad de la norma en cuestión. Finalmente, el TC considero que dicha norma era conforme al contenido de la Constitución y concretamente acorde al derecho a la igualdad (art. 14 CE), por lo que acabo desestimando el recurso de amparo. </w:t>
      </w:r>
      <w:r>
        <w:rPr>
          <w:rStyle w:val="Refdenotaalpie"/>
        </w:rPr>
        <w:footnoteReference w:id="306"/>
      </w:r>
    </w:p>
    <w:p w14:paraId="5BBE0624" w14:textId="77777777" w:rsidR="006F44C0" w:rsidRDefault="006F44C0" w:rsidP="002B2B12">
      <w:pPr>
        <w:spacing w:after="240"/>
      </w:pPr>
      <w:r>
        <w:t>Nos parece curioso destacar que, viendo ciertos supuestos podría parecer que este supuesto de especial trascendencia constitucional podría convertirse en el cauce de impugnación constitucional de una ley por un particular.</w:t>
      </w:r>
      <w:r>
        <w:rPr>
          <w:rStyle w:val="Refdenotaalpie"/>
        </w:rPr>
        <w:footnoteReference w:id="307"/>
      </w:r>
    </w:p>
    <w:p w14:paraId="23FE6E31" w14:textId="77777777" w:rsidR="006F44C0" w:rsidRDefault="006F44C0" w:rsidP="002B2B12">
      <w:pPr>
        <w:spacing w:after="240"/>
      </w:pPr>
      <w:r w:rsidRPr="00A63DC2">
        <w:t>Cabe destacar dentro de este apartado, los  supuestos referidos a aquellos casos en los que el TC haya declarado inconstitucional una norma y un órgano judicial posteriormente, por desconocimiento de ello y de manera involuntaria, resolviese un asunto conforme a la norma ya jurídicamente inexistente.</w:t>
      </w:r>
      <w:r w:rsidRPr="00A63DC2">
        <w:rPr>
          <w:rStyle w:val="Refdenotaalpie"/>
        </w:rPr>
        <w:footnoteReference w:id="308"/>
      </w:r>
    </w:p>
    <w:p w14:paraId="72D622D7" w14:textId="77777777" w:rsidR="006F44C0" w:rsidRDefault="006F44C0" w:rsidP="002B2B12">
      <w:pPr>
        <w:spacing w:after="240"/>
      </w:pPr>
      <w:r>
        <w:t xml:space="preserve">Este supuesto ha sido calificado como “supuesto impropio” por autores como CABAÑAS GARCIA, entendiendo que, el ‘supuesto propio’ sería </w:t>
      </w:r>
      <w:r w:rsidRPr="00A63DC2">
        <w:t xml:space="preserve">el que se deriva de la lectura literal del apartado </w:t>
      </w:r>
      <w:r>
        <w:t xml:space="preserve">al que </w:t>
      </w:r>
      <w:r w:rsidRPr="00A63DC2">
        <w:t xml:space="preserve">se refiere a que la disposición general (ley orgánica, ley, o incluso norma de rango </w:t>
      </w:r>
      <w:proofErr w:type="spellStart"/>
      <w:r w:rsidRPr="00A63DC2">
        <w:t>infralegal</w:t>
      </w:r>
      <w:proofErr w:type="spellEnd"/>
      <w:r w:rsidRPr="00A63DC2">
        <w:t>)</w:t>
      </w:r>
      <w:r>
        <w:t xml:space="preserve"> y, el ‘impropio’ sería aquel en el que el Tribunal declare</w:t>
      </w:r>
      <w:r w:rsidRPr="00A63DC2">
        <w:t xml:space="preserve"> inconstitucional una norma general y un órgano judicial </w:t>
      </w:r>
      <w:r w:rsidRPr="00A63DC2">
        <w:rPr>
          <w:i/>
        </w:rPr>
        <w:t>a posteriori</w:t>
      </w:r>
      <w:r w:rsidRPr="00A63DC2">
        <w:t xml:space="preserve">, por </w:t>
      </w:r>
      <w:r w:rsidRPr="00A63DC2">
        <w:lastRenderedPageBreak/>
        <w:t>desconocimiento de ello, resuelva la controversia con arreglo a la norma ya jurídicamente inexistente.</w:t>
      </w:r>
      <w:r>
        <w:t xml:space="preserve"> </w:t>
      </w:r>
      <w:r>
        <w:rPr>
          <w:rStyle w:val="Refdenotaalpie"/>
        </w:rPr>
        <w:footnoteReference w:id="309"/>
      </w:r>
      <w:r>
        <w:t xml:space="preserve"> </w:t>
      </w:r>
    </w:p>
    <w:p w14:paraId="1C039888" w14:textId="77777777" w:rsidR="006F44C0" w:rsidRDefault="006F44C0" w:rsidP="002B2B12">
      <w:pPr>
        <w:spacing w:after="240"/>
      </w:pPr>
      <w:r>
        <w:t>Cabe destacar que este “supuesto impropio” ha generado muchas dudas con respecto a los dos siguientes motivos de especial trascendencia constitucional mencionados en la STC 155/2009.</w:t>
      </w:r>
      <w:r>
        <w:rPr>
          <w:rStyle w:val="Refdenotaalpie"/>
        </w:rPr>
        <w:footnoteReference w:id="310"/>
      </w:r>
    </w:p>
    <w:p w14:paraId="50FF47C9" w14:textId="77777777" w:rsidR="006F44C0" w:rsidRDefault="006F44C0" w:rsidP="002B2B12">
      <w:pPr>
        <w:spacing w:after="240"/>
      </w:pPr>
      <w:r>
        <w:t>El problema que este supuesto nos plantea es la dificultad manifiesta a la hora de demostrar que la actuación de un juez contrario a la legislación no se debe a una voluntad intencional de contravenir la jurisprudencia del TC, en este caso, a la declaración de la inconstitucionalidad de una ley o precepto legal. Pero, además, con respecto a la fina línea que separa este supuesto de los anteriormente mencionados, si la actuación del juez, contraria a la jurisprudencia, se diese como causa de una negativa manifiesta al acatamiento de la doctrina, no nos encontraríamos en este supuesto, sino que se trataría del penúltimo supuesto de los enumerados por la STC 155/2009, de 25 de junio.</w:t>
      </w:r>
    </w:p>
    <w:p w14:paraId="6C71D491" w14:textId="77777777" w:rsidR="006F44C0" w:rsidRDefault="006F44C0" w:rsidP="002B2B12">
      <w:pPr>
        <w:spacing w:after="240"/>
      </w:pPr>
      <w:r>
        <w:t>Por tanto, lo relevante en este supuesto de relevancia constitucional y, a la vez, lo más difícil de identificar y demostrar, es la intención que haya tenido el órgano incumplidor. Es decir, que en los casos en que el órgano judicial aplique una norma que el TC haya declarado inconstitucional sin tener conocimiento de esa declaración de inconstitucionalidad en concreto, nos encontraríamos ante este supuesto. Sin embargo, en el caso de que el órgano aplique a sabiendas (voluntad rebelde) de que la misma ha sido declarada inconstitucional por el TC, no encajaría en este supuesto. En resumen, la clave para la distinción entre este supuesto y los siguientes es la voluntad que haya tenido el órgano judicial incumplidor.</w:t>
      </w:r>
    </w:p>
    <w:p w14:paraId="65F4A3C1" w14:textId="77777777" w:rsidR="006F44C0" w:rsidRDefault="006F44C0" w:rsidP="002B2B12">
      <w:pPr>
        <w:spacing w:after="240"/>
      </w:pPr>
      <w:r>
        <w:t xml:space="preserve">Hasta el momento, esta segunda manifestación del supuesto c) no ha sido expresamente apreciada por el TC en ninguna de sus resoluciones. No obstante, sí que existen ejemplos </w:t>
      </w:r>
      <w:r>
        <w:lastRenderedPageBreak/>
        <w:t>de sentencias en las que el TC ha admitido el recurso de amparo por entender que la vulneración de un concreto derecho fundamental proviene exclusivamente de la inconstitucionalidad de una ley vigente en el ordenamiento jurídico (primer presupuesto).</w:t>
      </w:r>
    </w:p>
    <w:p w14:paraId="753AFE4C" w14:textId="77777777" w:rsidR="006F44C0" w:rsidRDefault="006F44C0" w:rsidP="002B2B12">
      <w:pPr>
        <w:pStyle w:val="Ttulo4"/>
      </w:pPr>
      <w:bookmarkStart w:id="698" w:name="_Toc45731805"/>
      <w:bookmarkStart w:id="699" w:name="_Toc49866587"/>
      <w:r w:rsidRPr="00A63DC2">
        <w:t>Actos dictados en aplicación de reglamentos y normas de Derecho internacional que pudieran ser cont</w:t>
      </w:r>
      <w:r>
        <w:t>rarias a derechos fundamentales</w:t>
      </w:r>
      <w:bookmarkEnd w:id="698"/>
      <w:bookmarkEnd w:id="699"/>
    </w:p>
    <w:p w14:paraId="733AABFB" w14:textId="77777777" w:rsidR="006F44C0" w:rsidRDefault="006F44C0" w:rsidP="002B2B12">
      <w:pPr>
        <w:spacing w:after="240"/>
      </w:pPr>
      <w:r>
        <w:t>Este segundo supuesto sería aplicable a los casos en los que e</w:t>
      </w:r>
      <w:r w:rsidRPr="005D4E3E">
        <w:t xml:space="preserve">l acto recurrido en amparo </w:t>
      </w:r>
      <w:r>
        <w:t xml:space="preserve">tenga su fundamentación en una vulneración acaecida en </w:t>
      </w:r>
      <w:r w:rsidRPr="005D4E3E">
        <w:t>aplicación de una norma reglamentaria o una norma derecho internacional que se considera lesiva de derechos fundamentales.</w:t>
      </w:r>
    </w:p>
    <w:p w14:paraId="2CE4BE7C" w14:textId="77777777" w:rsidR="006F44C0" w:rsidRDefault="006F44C0" w:rsidP="002B2B12">
      <w:pPr>
        <w:spacing w:after="240"/>
      </w:pPr>
      <w:r>
        <w:t xml:space="preserve">Cabe plantearse si la </w:t>
      </w:r>
      <w:r w:rsidRPr="005D4E3E">
        <w:t>STC 155/2009, al establecer que tienen especial trascendencia constitucional los casos en los que la vulneración de derechos fundamentales proviene de una dispo</w:t>
      </w:r>
      <w:r>
        <w:t>sición de carácter general, estaría</w:t>
      </w:r>
      <w:r w:rsidRPr="005D4E3E">
        <w:t xml:space="preserve"> considerando que</w:t>
      </w:r>
      <w:r>
        <w:t>,</w:t>
      </w:r>
      <w:r w:rsidRPr="005D4E3E">
        <w:t xml:space="preserve"> cuando la vulneración</w:t>
      </w:r>
      <w:r>
        <w:t xml:space="preserve"> de derechos fundamentales tenga</w:t>
      </w:r>
      <w:r w:rsidRPr="005D4E3E">
        <w:t xml:space="preserve"> su origen en un reglamento</w:t>
      </w:r>
      <w:r>
        <w:t>, el Tribunal debería</w:t>
      </w:r>
      <w:r w:rsidRPr="005D4E3E">
        <w:t xml:space="preserve"> declarar la nulidad no solo del acto impugnado, sino también la de la norma de </w:t>
      </w:r>
      <w:r>
        <w:t>en cuestión;</w:t>
      </w:r>
      <w:r w:rsidRPr="005D4E3E">
        <w:t xml:space="preserve"> pues, al declarar nula la nor</w:t>
      </w:r>
      <w:r>
        <w:t>ma, la estimación del amparo, iría</w:t>
      </w:r>
      <w:r w:rsidRPr="005D4E3E">
        <w:t xml:space="preserve"> más allá de la reparación subjetiva del derec</w:t>
      </w:r>
      <w:r>
        <w:t>ho fundamental vulnerado y podría</w:t>
      </w:r>
      <w:r w:rsidRPr="005D4E3E">
        <w:t xml:space="preserve"> tener ese alcance general o cumplir esa función objetiva que determina que estos supuestos tengan especia</w:t>
      </w:r>
      <w:r>
        <w:t>l trascendencia constitucional</w:t>
      </w:r>
      <w:r>
        <w:rPr>
          <w:rStyle w:val="Refdenotaalpie"/>
        </w:rPr>
        <w:footnoteReference w:id="311"/>
      </w:r>
      <w:r w:rsidRPr="005D4E3E">
        <w:t>.</w:t>
      </w:r>
      <w:r>
        <w:t xml:space="preserve"> De no ser así, este supuesto no plantearía una función objetiva, pues se limitaría a la reparación de la lesión.</w:t>
      </w:r>
      <w:r w:rsidRPr="005D4E3E">
        <w:t xml:space="preserve"> </w:t>
      </w:r>
    </w:p>
    <w:p w14:paraId="5E6C7017" w14:textId="77777777" w:rsidR="006F44C0" w:rsidRPr="005D4E3E" w:rsidRDefault="006F44C0" w:rsidP="002B2B12">
      <w:pPr>
        <w:spacing w:after="240"/>
      </w:pPr>
      <w:r>
        <w:t xml:space="preserve">Un ejemplo de ello sería la STC 15/2011, de 28 de febrero, en la que el TC </w:t>
      </w:r>
      <w:r w:rsidRPr="005D4E3E">
        <w:t>estimó el amparo y anuló la disposición general que contenía la determinación contraria a los derechos fundamentales.</w:t>
      </w:r>
      <w:r>
        <w:t xml:space="preserve"> Se </w:t>
      </w:r>
      <w:r w:rsidRPr="005D4E3E">
        <w:t xml:space="preserve">apreció “la especial trascendencia constitucional” del recurso, porque, </w:t>
      </w:r>
      <w:r>
        <w:t xml:space="preserve">no sólo planteaba </w:t>
      </w:r>
      <w:r w:rsidRPr="005D4E3E">
        <w:t>une cuestión nueva en relación con el derecho al</w:t>
      </w:r>
      <w:r>
        <w:t xml:space="preserve"> secreto de las comunicaciones, sino que también se daba la existencia de una </w:t>
      </w:r>
      <w:r w:rsidRPr="005D4E3E">
        <w:t>vulneración</w:t>
      </w:r>
      <w:r>
        <w:t xml:space="preserve"> </w:t>
      </w:r>
      <w:r w:rsidRPr="005D4E3E">
        <w:t xml:space="preserve">denunciada </w:t>
      </w:r>
      <w:r>
        <w:t xml:space="preserve">que </w:t>
      </w:r>
      <w:r w:rsidRPr="005D4E3E">
        <w:t xml:space="preserve">traía </w:t>
      </w:r>
      <w:r>
        <w:t xml:space="preserve">su </w:t>
      </w:r>
      <w:r w:rsidRPr="005D4E3E">
        <w:t>ca</w:t>
      </w:r>
      <w:r>
        <w:t>usa en una disposición general</w:t>
      </w:r>
      <w:r w:rsidRPr="005D4E3E">
        <w:t>.</w:t>
      </w:r>
    </w:p>
    <w:p w14:paraId="0115026B" w14:textId="77777777" w:rsidR="006F44C0" w:rsidRDefault="006F44C0" w:rsidP="002B2B12">
      <w:pPr>
        <w:spacing w:after="240"/>
      </w:pPr>
      <w:r>
        <w:t>En este supuesto t</w:t>
      </w:r>
      <w:r w:rsidRPr="005D4E3E">
        <w:t>ambién quedarían incluidos los casos en los que el acto impugnado fuera</w:t>
      </w:r>
      <w:r>
        <w:t xml:space="preserve"> en</w:t>
      </w:r>
      <w:r w:rsidRPr="005D4E3E">
        <w:t xml:space="preserve"> aplicación de una norm</w:t>
      </w:r>
      <w:r>
        <w:t>a de Derecho internacional</w:t>
      </w:r>
      <w:r w:rsidRPr="005D4E3E">
        <w:t xml:space="preserve"> contrari</w:t>
      </w:r>
      <w:r>
        <w:t>a</w:t>
      </w:r>
      <w:r w:rsidRPr="005D4E3E">
        <w:t xml:space="preserve"> a los dere</w:t>
      </w:r>
      <w:r>
        <w:t xml:space="preserve">chos </w:t>
      </w:r>
      <w:r>
        <w:lastRenderedPageBreak/>
        <w:t>fundamentales que garantiza</w:t>
      </w:r>
      <w:r w:rsidRPr="005D4E3E">
        <w:t xml:space="preserve"> la Constitución. </w:t>
      </w:r>
      <w:r>
        <w:t>Este supuesto resultaría de gran interés ya que</w:t>
      </w:r>
      <w:r w:rsidRPr="005D4E3E">
        <w:t xml:space="preserve">, a través de la impugnación del acto de aplicación de ese tratado, </w:t>
      </w:r>
      <w:r>
        <w:t xml:space="preserve">el TC </w:t>
      </w:r>
      <w:r w:rsidRPr="005D4E3E">
        <w:t>podría analizar</w:t>
      </w:r>
      <w:r>
        <w:t xml:space="preserve"> a su vez </w:t>
      </w:r>
      <w:r w:rsidRPr="005D4E3E">
        <w:t xml:space="preserve">la </w:t>
      </w:r>
      <w:r>
        <w:t xml:space="preserve">posible </w:t>
      </w:r>
      <w:r w:rsidRPr="005D4E3E">
        <w:t>in</w:t>
      </w:r>
      <w:r>
        <w:t>constitucionalidad del Tratado. Al igual que en el supuesto anterior, en caso de realizarse este control de constitucionalidad, en este caso de los tratados</w:t>
      </w:r>
      <w:r>
        <w:rPr>
          <w:rStyle w:val="Refdenotaalpie"/>
        </w:rPr>
        <w:footnoteReference w:id="312"/>
      </w:r>
      <w:r>
        <w:t>.</w:t>
      </w:r>
    </w:p>
    <w:p w14:paraId="1E0A711B" w14:textId="77777777" w:rsidR="006F44C0" w:rsidRDefault="006F44C0" w:rsidP="002B2B12">
      <w:pPr>
        <w:pStyle w:val="Ttulo3"/>
      </w:pPr>
      <w:bookmarkStart w:id="700" w:name="_Toc522831271"/>
      <w:bookmarkStart w:id="701" w:name="_Toc532198488"/>
      <w:bookmarkStart w:id="702" w:name="_Toc43034505"/>
      <w:bookmarkStart w:id="703" w:name="_Toc45731806"/>
      <w:bookmarkStart w:id="704" w:name="_Toc49423704"/>
      <w:bookmarkStart w:id="705" w:name="_Toc49708636"/>
      <w:bookmarkStart w:id="706" w:name="_Toc49790302"/>
      <w:bookmarkStart w:id="707" w:name="_Toc49866588"/>
      <w:bookmarkStart w:id="708" w:name="_Toc50373193"/>
      <w:r>
        <w:t>Si la vulneración trae causa de una interpretación jurisprudencial de la ley que el Tribunal Constitucional considera lesiva y cree necesario proclamar otra interpretación</w:t>
      </w:r>
      <w:bookmarkEnd w:id="700"/>
      <w:bookmarkEnd w:id="701"/>
      <w:bookmarkEnd w:id="702"/>
      <w:r>
        <w:t xml:space="preserve"> conforme a la Constitución</w:t>
      </w:r>
      <w:bookmarkEnd w:id="703"/>
      <w:bookmarkEnd w:id="704"/>
      <w:bookmarkEnd w:id="705"/>
      <w:bookmarkEnd w:id="706"/>
      <w:bookmarkEnd w:id="707"/>
      <w:bookmarkEnd w:id="708"/>
    </w:p>
    <w:p w14:paraId="11A1CF10" w14:textId="03366963" w:rsidR="006F44C0" w:rsidRDefault="006F44C0" w:rsidP="002B2B12">
      <w:pPr>
        <w:spacing w:after="240"/>
      </w:pPr>
      <w:r>
        <w:t>En este caso, a diferencia del anterior, la vulneración del derecho fundamental no proviene de la norma aplicada ni de la aplicación de una norma cuya constitucionalidad esté en entredicho, sino del modo en el que la están aplicando los órganos judiciales, es decir, de su interpretación y aplicación por parte de estos.</w:t>
      </w:r>
    </w:p>
    <w:p w14:paraId="5975A539" w14:textId="37ACAAAB" w:rsidR="001B1FA4" w:rsidRDefault="001B1FA4" w:rsidP="002B2B12">
      <w:pPr>
        <w:spacing w:after="240"/>
      </w:pPr>
      <w:r>
        <w:t xml:space="preserve">La </w:t>
      </w:r>
      <w:r w:rsidRPr="001B1FA4">
        <w:t xml:space="preserve">STC 155/2009 </w:t>
      </w:r>
      <w:r>
        <w:t xml:space="preserve">utiliza el término </w:t>
      </w:r>
      <w:r w:rsidRPr="001B1FA4">
        <w:t xml:space="preserve">“jurisprudencia”, </w:t>
      </w:r>
      <w:r>
        <w:t>por lo que entendemos que podría estar aludiéndose a</w:t>
      </w:r>
      <w:r w:rsidRPr="001B1FA4">
        <w:t xml:space="preserve"> la interpretación que realizan los órganos judiciales</w:t>
      </w:r>
      <w:r>
        <w:t xml:space="preserve"> -en general-</w:t>
      </w:r>
      <w:r w:rsidRPr="001B1FA4">
        <w:t xml:space="preserve"> de las normas que tienen que aplicar. </w:t>
      </w:r>
      <w:r>
        <w:t>Por otra parte, cabría preguntarse si</w:t>
      </w:r>
      <w:r w:rsidRPr="001B1FA4">
        <w:t xml:space="preserve"> para que resulte apreciar la especial trascendencia constitucional del recurso por este motivo </w:t>
      </w:r>
      <w:r>
        <w:t>sería necesario</w:t>
      </w:r>
      <w:r w:rsidRPr="001B1FA4">
        <w:t xml:space="preserve"> que esa interpretación la efect</w:t>
      </w:r>
      <w:r>
        <w:t>uasen</w:t>
      </w:r>
      <w:r w:rsidRPr="001B1FA4">
        <w:t xml:space="preserve"> diversos órganos judiciales</w:t>
      </w:r>
      <w:r>
        <w:t xml:space="preserve"> o sólo uno</w:t>
      </w:r>
      <w:r w:rsidRPr="001B1FA4">
        <w:t>.</w:t>
      </w:r>
      <w:r>
        <w:t xml:space="preserve"> A nuestro modo de ver, resulta difícil plantearse que una interpretación lesiva de la Ley llegue a plantearse en el mismo sentido por varios órganos judiciales distintos de modo sucesivo. Además, teniendo en cuenta la importancia de este hecho, entendemos que bastaría c</w:t>
      </w:r>
      <w:r w:rsidRPr="001B1FA4">
        <w:t>on que un solo órgano judicial efectú</w:t>
      </w:r>
      <w:r>
        <w:t>e</w:t>
      </w:r>
      <w:r w:rsidRPr="001B1FA4">
        <w:t xml:space="preserve"> una interpretación de la norma que se consider</w:t>
      </w:r>
      <w:r>
        <w:t>e</w:t>
      </w:r>
      <w:r w:rsidRPr="001B1FA4">
        <w:t xml:space="preserve"> lesiva de algún derecho fundamental.</w:t>
      </w:r>
      <w:r>
        <w:t xml:space="preserve"> Y así parece entenderse de la jurisprudencia del TC. </w:t>
      </w:r>
    </w:p>
    <w:p w14:paraId="079144E9" w14:textId="6F414085" w:rsidR="006F44C0" w:rsidRDefault="006F44C0" w:rsidP="002B2B12">
      <w:pPr>
        <w:spacing w:after="240"/>
      </w:pPr>
      <w:r>
        <w:t>En nuestra opinión, el Tribunal parece entender que esa jurisprudencia, lesiva o contraria a la CE pod</w:t>
      </w:r>
      <w:r w:rsidR="001B1FA4">
        <w:t>r</w:t>
      </w:r>
      <w:r>
        <w:t>ía consolidarse, y es lo que esta causa de especial trascendencia constitucional trataría de evitar.</w:t>
      </w:r>
      <w:r w:rsidR="001B1FA4">
        <w:t xml:space="preserve"> De ahí el hecho de que sólo sea necesaria la interpretación lesiva por parte de un solo órgano judicial ya que, en caso contrario, esta jurisprudencia se consolidaría y causaría mayores daños.</w:t>
      </w:r>
    </w:p>
    <w:p w14:paraId="2106BED0" w14:textId="77777777" w:rsidR="009353B5" w:rsidRDefault="006F44C0" w:rsidP="002B2B12">
      <w:pPr>
        <w:spacing w:after="240"/>
      </w:pPr>
      <w:r>
        <w:lastRenderedPageBreak/>
        <w:t xml:space="preserve">No obstante, existen muy pocas </w:t>
      </w:r>
      <w:r w:rsidRPr="00BE05CE">
        <w:t>referencias a este supuesto</w:t>
      </w:r>
      <w:r>
        <w:t xml:space="preserve"> en la jurisprudencia. </w:t>
      </w:r>
    </w:p>
    <w:p w14:paraId="6B0D614A" w14:textId="1B518277" w:rsidR="006F44C0" w:rsidRDefault="006F44C0" w:rsidP="002B2B12">
      <w:pPr>
        <w:spacing w:after="240"/>
      </w:pPr>
      <w:r>
        <w:t xml:space="preserve">Algunos ejemplos de este supuesto serían los siguientes: </w:t>
      </w:r>
    </w:p>
    <w:p w14:paraId="7B5A56BE" w14:textId="77777777" w:rsidR="006F44C0" w:rsidRDefault="006F44C0" w:rsidP="002B2B12">
      <w:pPr>
        <w:spacing w:after="240"/>
      </w:pPr>
      <w:r>
        <w:t>STC 167/2013, de 7 de octubre.</w:t>
      </w:r>
    </w:p>
    <w:p w14:paraId="53BEAD2F" w14:textId="77777777" w:rsidR="006F44C0" w:rsidRDefault="006F44C0" w:rsidP="002B2B12">
      <w:pPr>
        <w:spacing w:after="240"/>
      </w:pPr>
      <w:r>
        <w:t xml:space="preserve">En este caso el Tribunal apreció la especial trascendencia constitucional del recurso por este motivo al considerar que el órgano judicial podía estar efectuando una interpretación de las normas relativas al orden de los apellidos contraria a los derechos fundamentales. </w:t>
      </w:r>
    </w:p>
    <w:p w14:paraId="5506CF25" w14:textId="77777777" w:rsidR="006F44C0" w:rsidRDefault="006F44C0" w:rsidP="002B2B12">
      <w:pPr>
        <w:spacing w:after="240"/>
      </w:pPr>
      <w:r>
        <w:t xml:space="preserve">STC 131/2016, de 18 de julio y 14/2017, de 30 de enero. </w:t>
      </w:r>
    </w:p>
    <w:p w14:paraId="0145ADF0" w14:textId="77777777" w:rsidR="006F44C0" w:rsidRDefault="006F44C0" w:rsidP="002B2B12">
      <w:pPr>
        <w:spacing w:after="240"/>
      </w:pPr>
      <w:r>
        <w:t>Según se afirma en estas sentencias, el órgano judicial estaba efectuando una interpretación del art. 57.2 LO de extranjería que podía lesionar el derecho a la tutela judicial efectiva, pues entendían que este precepto permitía acordar la expulsión de los extranjeros que hubieran sido condenado a una pena privativa de libertad superior a un año sin haber ponderado sus circunstancias personales.</w:t>
      </w:r>
    </w:p>
    <w:p w14:paraId="692E8E73" w14:textId="77777777" w:rsidR="006F44C0" w:rsidRDefault="006F44C0" w:rsidP="002B2B12">
      <w:pPr>
        <w:spacing w:after="240"/>
      </w:pPr>
      <w:r>
        <w:t xml:space="preserve">En la STC 131/2016, de 18 de julio, además, el TC consideró que el recurso podía tener especial trascendencia constitucional porque el asunto suscitado trascendía del caso concreto porque planteaba una cuestión jurídica de relevante y general repercusión social o económica [STC 155/2009, FJ 2 g)]. La citada sentencia afirma que la cuestión planteada en el recurso tenía trascendencia social dado que </w:t>
      </w:r>
      <w:r>
        <w:rPr>
          <w:i/>
        </w:rPr>
        <w:t>“afecta potencialmente a numerosos residentes de terceros países inmersos en un proceso de expulsión”.</w:t>
      </w:r>
      <w:r>
        <w:t xml:space="preserve"> </w:t>
      </w:r>
    </w:p>
    <w:p w14:paraId="3A1BCFCF" w14:textId="77777777" w:rsidR="006F44C0" w:rsidRDefault="006F44C0" w:rsidP="002B2B12">
      <w:pPr>
        <w:spacing w:after="240"/>
      </w:pPr>
      <w:r>
        <w:t xml:space="preserve">STC 133/2016, de 18 de julio, FJ 2. </w:t>
      </w:r>
    </w:p>
    <w:p w14:paraId="58000B12" w14:textId="77777777" w:rsidR="006F44C0" w:rsidRDefault="006F44C0" w:rsidP="002B2B12">
      <w:pPr>
        <w:spacing w:after="240"/>
      </w:pPr>
      <w:r>
        <w:t xml:space="preserve">En este caso, la Sala de lo Contencioso-Administrativo del Tribunal Superior de Justicia de Asturias estaba efectuando una interpretación del art. 239.6 LGT que era contraria al derecho de acceso a la jurisdicción que garantiza el art. 24.1 CE, tal y como declaró la STC 23/2011 en un supuesto idéntico. La interpretación lesiva del derecho fundamental se atribuye únicamente al Tribunal Superior de Justicia de Asturias que efectúo esa interpretación en las resoluciones impugnadas en los amparos acumulados que la referida sentencia resuelve. </w:t>
      </w:r>
    </w:p>
    <w:p w14:paraId="14B58756" w14:textId="77777777" w:rsidR="006F44C0" w:rsidRDefault="006F44C0" w:rsidP="002B2B12">
      <w:pPr>
        <w:spacing w:after="240"/>
      </w:pPr>
      <w:r w:rsidRPr="00BE05CE">
        <w:t>STC 206/2011</w:t>
      </w:r>
    </w:p>
    <w:p w14:paraId="1315A0E6" w14:textId="77777777" w:rsidR="006F44C0" w:rsidRDefault="006F44C0" w:rsidP="002B2B12">
      <w:pPr>
        <w:spacing w:after="240"/>
      </w:pPr>
      <w:r>
        <w:lastRenderedPageBreak/>
        <w:t xml:space="preserve">Se consideró que </w:t>
      </w:r>
      <w:r w:rsidRPr="004E054C">
        <w:t>la Sección Cuarta de la Sala de lo Contencioso-Administrativo del Tribunal Supremo</w:t>
      </w:r>
      <w:r>
        <w:t>,</w:t>
      </w:r>
      <w:r w:rsidRPr="004E054C">
        <w:t xml:space="preserve"> en su Sentencia de 25 de marzo de 2009</w:t>
      </w:r>
      <w:r>
        <w:t>,</w:t>
      </w:r>
      <w:r w:rsidRPr="004E054C">
        <w:t xml:space="preserve"> que determin</w:t>
      </w:r>
      <w:r>
        <w:t>ó</w:t>
      </w:r>
      <w:r w:rsidRPr="004E054C">
        <w:t xml:space="preserve"> la anulación del protocolo para la atención a personas internas en centros penitenciarios de 28 de octubre de 2004</w:t>
      </w:r>
      <w:r>
        <w:t xml:space="preserve"> realizó una interpretación contraria a derecho de la </w:t>
      </w:r>
      <w:r w:rsidRPr="004E054C">
        <w:t>Ley Orgánica 6/2003, de 30 de junio</w:t>
      </w:r>
      <w:r>
        <w:t xml:space="preserve">, </w:t>
      </w:r>
      <w:r w:rsidRPr="004E054C">
        <w:t>de modificación de la Ley Orgánica 1/1979, de 26 de septiembre, General Penitenciaria.</w:t>
      </w:r>
      <w:r>
        <w:t xml:space="preserve"> D</w:t>
      </w:r>
      <w:r w:rsidRPr="004E054C">
        <w:t>icha interpretación vacia</w:t>
      </w:r>
      <w:r>
        <w:t>ba</w:t>
      </w:r>
      <w:r w:rsidRPr="004E054C">
        <w:t xml:space="preserve"> de contenido el derecho a la autonomía universitaria reconocido en el art. 27.10 CE</w:t>
      </w:r>
      <w:r>
        <w:t>.</w:t>
      </w:r>
    </w:p>
    <w:p w14:paraId="3FCA42F0" w14:textId="77777777" w:rsidR="006F44C0" w:rsidRDefault="006F44C0" w:rsidP="002B2B12">
      <w:pPr>
        <w:spacing w:after="240"/>
      </w:pPr>
      <w:r>
        <w:t xml:space="preserve">STS </w:t>
      </w:r>
      <w:r w:rsidRPr="00BE05CE">
        <w:t>189/2012</w:t>
      </w:r>
    </w:p>
    <w:p w14:paraId="4D76D18B" w14:textId="77777777" w:rsidR="006F44C0" w:rsidRDefault="006F44C0" w:rsidP="002B2B12">
      <w:pPr>
        <w:spacing w:after="240"/>
      </w:pPr>
      <w:r>
        <w:t xml:space="preserve">Se consideraron vulnerados los </w:t>
      </w:r>
      <w:r w:rsidRPr="004E054C">
        <w:t>derechos a la igualdad en la ley (art. 14 CE), en relación con el art. 25.2 CE, y a la tutela judicial efectiva (art. 24.1 CE), como consecuencia de la decisión administrativa, posteriormente confirmada en la vía judicial, de deducir del importe de la pensión no con</w:t>
      </w:r>
      <w:r>
        <w:t xml:space="preserve">tributiva de invalidez que tenía </w:t>
      </w:r>
      <w:r w:rsidRPr="004E054C">
        <w:t>reconocid</w:t>
      </w:r>
      <w:r>
        <w:t>o el recurrente</w:t>
      </w:r>
      <w:r w:rsidRPr="004E054C">
        <w:t>, durante el tiempo de su internamiento penitenciario, la cantidad imputada en concepto de manutención, al computar la misma como rentas o ingresos propios.</w:t>
      </w:r>
    </w:p>
    <w:p w14:paraId="71D0EC60" w14:textId="77777777" w:rsidR="006F44C0" w:rsidRDefault="006F44C0" w:rsidP="002B2B12">
      <w:pPr>
        <w:pStyle w:val="Ttulo3"/>
      </w:pPr>
      <w:bookmarkStart w:id="709" w:name="_Toc522831273"/>
      <w:bookmarkStart w:id="710" w:name="_Toc532198490"/>
      <w:bookmarkStart w:id="711" w:name="_Toc43034506"/>
      <w:bookmarkStart w:id="712" w:name="_Toc45731807"/>
      <w:bookmarkStart w:id="713" w:name="_Toc49423705"/>
      <w:bookmarkStart w:id="714" w:name="_Toc49708637"/>
      <w:bookmarkStart w:id="715" w:name="_Toc49790303"/>
      <w:bookmarkStart w:id="716" w:name="_Toc49866589"/>
      <w:bookmarkStart w:id="717" w:name="_Toc50373194"/>
      <w:r w:rsidRPr="008F406E">
        <w:t>Cuando la doctrina del TC sobre el derecho fundamental que se alega esté siendo incumplida de modo general y reiterado por la jurisdicción</w:t>
      </w:r>
      <w:r>
        <w:t xml:space="preserve"> ordinaria, o existan resoluciones judiciales contradictorias sobre el derecho fundamental, interpretado de manera distinta</w:t>
      </w:r>
      <w:bookmarkEnd w:id="709"/>
      <w:bookmarkEnd w:id="710"/>
      <w:bookmarkEnd w:id="711"/>
      <w:bookmarkEnd w:id="712"/>
      <w:bookmarkEnd w:id="713"/>
      <w:bookmarkEnd w:id="714"/>
      <w:bookmarkEnd w:id="715"/>
      <w:bookmarkEnd w:id="716"/>
      <w:bookmarkEnd w:id="717"/>
    </w:p>
    <w:p w14:paraId="77091196" w14:textId="6E74856C" w:rsidR="006F44C0" w:rsidRDefault="006F44C0" w:rsidP="002B2B12">
      <w:pPr>
        <w:spacing w:after="240"/>
      </w:pPr>
      <w:r>
        <w:t>Con este supuesto de especial trascendencia constitucional, nuestro TC trata de garantizar que la doctrina establecida en sus sentencias que, como bien sabemos, es vinculante para todos los órganos judiciales (art. 5.1 LOPJ y 40.2 LOTC), sea cumplida, garantizando así la aplicación de la Constitución y su general eficacia [art. 50.1 b) LOTC].</w:t>
      </w:r>
    </w:p>
    <w:p w14:paraId="4C25C5F0" w14:textId="6A4BE960" w:rsidR="008D7E7F" w:rsidRDefault="008D7E7F" w:rsidP="002B2B12">
      <w:pPr>
        <w:spacing w:after="240"/>
      </w:pPr>
      <w:r>
        <w:t xml:space="preserve">Cabría plantearse dos preguntas </w:t>
      </w:r>
      <w:r w:rsidRPr="008D7E7F">
        <w:rPr>
          <w:i/>
          <w:iCs/>
        </w:rPr>
        <w:t xml:space="preserve">a </w:t>
      </w:r>
      <w:proofErr w:type="spellStart"/>
      <w:r w:rsidRPr="008D7E7F">
        <w:rPr>
          <w:i/>
          <w:iCs/>
        </w:rPr>
        <w:t>priorí</w:t>
      </w:r>
      <w:proofErr w:type="spellEnd"/>
      <w:r>
        <w:t xml:space="preserve">: la primera sería qué debemos entender por «incumplimiento general y reiterado», concepto que no ha sido definido por el </w:t>
      </w:r>
      <w:r w:rsidR="004B058B">
        <w:t>TC,</w:t>
      </w:r>
      <w:r>
        <w:t xml:space="preserve"> aunque, parece </w:t>
      </w:r>
      <w:r w:rsidR="004B058B">
        <w:t>poder entenderse</w:t>
      </w:r>
      <w:r>
        <w:t xml:space="preserve"> de sus resoluciones que debe excluirse el incumplimiento concreto, teniendo cabida sólo cuando se den varios incumplimientos. La segunda cuestión sería si debe ser el recurrente quien aporte los datos que permitan identificar esos incumplimientos, cuya respuesta parece ser positiva, al igual que sucede en el segundo supuesto para demostrar la existencia de resoluciones judiciales contradictorias. </w:t>
      </w:r>
    </w:p>
    <w:p w14:paraId="31F4AB4B" w14:textId="6ABF68D6" w:rsidR="006F44C0" w:rsidRDefault="006F44C0" w:rsidP="002B2B12">
      <w:pPr>
        <w:spacing w:after="240"/>
      </w:pPr>
      <w:r>
        <w:lastRenderedPageBreak/>
        <w:t>En esta causa de especial trascendencia constitucional podemos apreciar dos supuestos diferenciados: (a) El incumplimiento general y reiterado de la doctrina constitucional y (b) la existencia de resoluciones judiciales contradictorias sobre el derecho fundamental.</w:t>
      </w:r>
    </w:p>
    <w:p w14:paraId="125C2335" w14:textId="77777777" w:rsidR="006F44C0" w:rsidRDefault="006F44C0" w:rsidP="001A4310">
      <w:pPr>
        <w:pStyle w:val="Ttulo4"/>
        <w:numPr>
          <w:ilvl w:val="0"/>
          <w:numId w:val="36"/>
        </w:numPr>
      </w:pPr>
      <w:bookmarkStart w:id="718" w:name="_Toc43034507"/>
      <w:bookmarkStart w:id="719" w:name="_Toc45731808"/>
      <w:bookmarkStart w:id="720" w:name="_Toc49866590"/>
      <w:r>
        <w:t>El incumplimiento general y reiterado de la doctrina constitucional</w:t>
      </w:r>
      <w:bookmarkEnd w:id="718"/>
      <w:bookmarkEnd w:id="719"/>
      <w:bookmarkEnd w:id="720"/>
    </w:p>
    <w:p w14:paraId="73BF5C40" w14:textId="77777777" w:rsidR="006F44C0" w:rsidRDefault="006F44C0" w:rsidP="002B2B12">
      <w:pPr>
        <w:spacing w:after="240"/>
      </w:pPr>
      <w:r>
        <w:t>Para que concurra esta causa de especial trascendencia constitucional es preciso, por tanto, que los órganos judiciales incumplan la doctrina constitucional de modo “general y reiterado”. El problema de esta causa reside en la dificultad a la hora de determinar qué debemos entender por incumplimiento “general y reiterado”. MONTAÑES PARDO</w:t>
      </w:r>
      <w:r>
        <w:rPr>
          <w:rStyle w:val="Refdenotaalpie"/>
        </w:rPr>
        <w:footnoteReference w:id="313"/>
      </w:r>
      <w:r>
        <w:t xml:space="preserve"> mantiene la idea de que es “general” cuando son varios los órganos judiciales que incumplen la doctrina constitucional y es “reiterado” cuando el incumplimiento lo lleva a cabo un mismo órgano judicial. No obstante, la autora reconoció que “no queda del todo claro si ambos deben concurrir conjuntamente”. NOGUEIRA GUASTAVINO</w:t>
      </w:r>
      <w:r>
        <w:rPr>
          <w:rStyle w:val="Refdenotaalpie"/>
        </w:rPr>
        <w:footnoteReference w:id="314"/>
      </w:r>
      <w:r>
        <w:t xml:space="preserve"> considera que </w:t>
      </w:r>
      <w:r>
        <w:rPr>
          <w:i/>
        </w:rPr>
        <w:t>“la conjunción copulativa «y» pareciera exigir su concurrencia simultánea de suerte que el supuesto en el que un solo órgano incumpliera sistemáticamente la doctrina constitucional podría reconducirse al supuesto de negativa manifiesta (que no expresa) del deber de acatamiento de la doctrina constitucional”.</w:t>
      </w:r>
    </w:p>
    <w:p w14:paraId="0F4305B4" w14:textId="77777777" w:rsidR="006F44C0" w:rsidRDefault="006F44C0" w:rsidP="002B2B12">
      <w:pPr>
        <w:spacing w:after="240"/>
      </w:pPr>
      <w:r>
        <w:t>En nuestra opinión, no estamos de acuerdo con la definición dada por MONTAÑÉS PARDO al considerar que el incumplimiento “general” se refiere a que deben ser varios los órganos judiciales que incumplen la doctrina. En nuestra opinión, consideramos que se referiría más bien a un incumplimiento en todo su conjunto de la doctrina constitucional con respecto a un tema. Respecto al término “reiterado”, lo entendemos en el sentido que la conducta debe darse repetidas veces. Respecto a si han de concurrir ambos, debemos entender que sí pues, como bien dice NOGUEIRA GUASTAVINO, la conjunción “y” debe entenderse en un sentido de exigencia de ambos requisitos pues, de lo contrario, el TC hubiera usado la conjunción “o” para aceptar concurrencia de solamente uno u otro requisito.</w:t>
      </w:r>
    </w:p>
    <w:p w14:paraId="193E8703" w14:textId="77777777" w:rsidR="006F44C0" w:rsidRDefault="006F44C0" w:rsidP="002B2B12">
      <w:pPr>
        <w:spacing w:after="240"/>
      </w:pPr>
      <w:r>
        <w:lastRenderedPageBreak/>
        <w:t>Por tanto, este requisito no concurrirá en los casos en que se dé un incumplimiento aislado por parte de un órgano judicial, sino que para poder considerar que la doctrina constitucional no está siendo cumplida por los órganos judiciales, que es lo que determina que el recurso tenga la especial trascendencia constitucional, este incumplimiento deberá de darse de manera general y repetida en el tiempo.</w:t>
      </w:r>
    </w:p>
    <w:p w14:paraId="0ECE2F8C" w14:textId="77777777" w:rsidR="006F44C0" w:rsidRDefault="006F44C0" w:rsidP="002B2B12">
      <w:pPr>
        <w:spacing w:after="240"/>
      </w:pPr>
      <w:r>
        <w:t xml:space="preserve">En opinión de CABAÑAS GARCÍA, </w:t>
      </w:r>
      <w:r w:rsidRPr="007B4A4E">
        <w:t xml:space="preserve">el apartado «d» </w:t>
      </w:r>
      <w:r w:rsidRPr="007B4A4E">
        <w:rPr>
          <w:i/>
        </w:rPr>
        <w:t xml:space="preserve">“se refiere a una interpretación de uno o más tribunales ordinarios, respecto de uno o más preceptos legales, que se revela contraria al derecho fundamental en liza y donde in </w:t>
      </w:r>
      <w:proofErr w:type="spellStart"/>
      <w:r w:rsidRPr="007B4A4E">
        <w:rPr>
          <w:i/>
        </w:rPr>
        <w:t>casum</w:t>
      </w:r>
      <w:proofErr w:type="spellEnd"/>
      <w:r w:rsidRPr="007B4A4E">
        <w:rPr>
          <w:i/>
        </w:rPr>
        <w:t xml:space="preserve"> no exista aún jurisprudencia constitucional (ésta va a nacer, precisamente, para corregir esas exégesis”</w:t>
      </w:r>
      <w:r>
        <w:rPr>
          <w:rStyle w:val="Refdenotaalpie"/>
          <w:i/>
        </w:rPr>
        <w:footnoteReference w:id="315"/>
      </w:r>
      <w:r w:rsidRPr="007B4A4E">
        <w:rPr>
          <w:i/>
        </w:rPr>
        <w:t>.</w:t>
      </w:r>
    </w:p>
    <w:p w14:paraId="1702BCD8" w14:textId="77777777" w:rsidR="006F44C0" w:rsidRDefault="006F44C0" w:rsidP="002B2B12">
      <w:pPr>
        <w:spacing w:after="240"/>
      </w:pPr>
      <w:r>
        <w:t>El Tribunal ha apreciado la especial trascendencia constitucional del recurso por este motivo, tanto en supuestos en los que este incumplimiento se imputaba a varios órganos judiciales, como en casos en los que la doctrina era incumplida por uno solo. Así, entre los casos que el Tribunal ha considerado que los órganos judiciales, en general, estaban incumpliendo la doctrina constitucional puede citarse</w:t>
      </w:r>
      <w:r>
        <w:rPr>
          <w:rStyle w:val="Refdenotaalpie"/>
        </w:rPr>
        <w:footnoteReference w:id="316"/>
      </w:r>
      <w:r>
        <w:t>:</w:t>
      </w:r>
    </w:p>
    <w:p w14:paraId="5F1359AC" w14:textId="77777777" w:rsidR="006F44C0" w:rsidRDefault="006F44C0" w:rsidP="002B2B12">
      <w:pPr>
        <w:spacing w:after="240"/>
      </w:pPr>
      <w:r w:rsidRPr="00BB5DC4">
        <w:t>STC 59/2011 de 3 mayo, FJ 6</w:t>
      </w:r>
      <w:r>
        <w:t xml:space="preserve"> </w:t>
      </w:r>
    </w:p>
    <w:p w14:paraId="046405F6" w14:textId="77777777" w:rsidR="006F44C0" w:rsidRDefault="006F44C0" w:rsidP="002B2B12">
      <w:pPr>
        <w:spacing w:after="240"/>
      </w:pPr>
      <w:r>
        <w:t xml:space="preserve"> El recurso es planteado por la aplicación de una sanción disciplinaria al interno de un centro penitenciario. Al no ponderarse las alegaciones del recurrente sobre la falta de ponderación de prueba, se incurre en infracción del derecho sustantivo que afectaba al procedimiento exigiendo una respuesta expresa.</w:t>
      </w:r>
      <w:r w:rsidRPr="00BB5DC4">
        <w:t xml:space="preserve"> </w:t>
      </w:r>
      <w:r>
        <w:t xml:space="preserve">En concreto en este caso el TC consideró que su doctrina </w:t>
      </w:r>
      <w:r w:rsidRPr="00BB5DC4">
        <w:t>sobre el derecho fundamental que se alega en el recurso est</w:t>
      </w:r>
      <w:r>
        <w:t>aba</w:t>
      </w:r>
      <w:r w:rsidRPr="00BB5DC4">
        <w:t xml:space="preserve"> siendo incumplida de modo general y reiterado por la jurisdicción ordinaria y que, además, en este caso el órgano judicial incurr</w:t>
      </w:r>
      <w:r>
        <w:t>ió</w:t>
      </w:r>
      <w:r w:rsidRPr="00BB5DC4">
        <w:t xml:space="preserve"> en una negativa manifiesta del deber de acatamiento de la doctr</w:t>
      </w:r>
      <w:r>
        <w:t>ina del Tribunal Constitucional, por lo que el caso también presentaría el supuesto f) de la STC 155/2009.</w:t>
      </w:r>
      <w:r w:rsidRPr="00BB5DC4">
        <w:t xml:space="preserve"> </w:t>
      </w:r>
    </w:p>
    <w:p w14:paraId="0C45661E" w14:textId="77777777" w:rsidR="006F44C0" w:rsidRDefault="006F44C0" w:rsidP="002B2B12">
      <w:pPr>
        <w:spacing w:after="240"/>
      </w:pPr>
      <w:r>
        <w:t>STC 107/2012, de 21 mayo, FJ 2</w:t>
      </w:r>
    </w:p>
    <w:p w14:paraId="5D6B45C4" w14:textId="77777777" w:rsidR="006F44C0" w:rsidRDefault="006F44C0" w:rsidP="002B2B12">
      <w:pPr>
        <w:spacing w:after="240"/>
      </w:pPr>
      <w:r>
        <w:lastRenderedPageBreak/>
        <w:t xml:space="preserve">El recurso, también planteado por el interno de una institución penitenciaria, ataca una sanción impuesta como consecuencia de las manifestaciones vertidas en un escrito de queja dirigido al Juez de Vigilancia Penitenciaria, alegando una vulneración existente de los derechos al secreto de las comunicaciones del interno, a un proceso con todas las garantías y a la presunción de inocencia. </w:t>
      </w:r>
    </w:p>
    <w:p w14:paraId="77606B3B" w14:textId="77777777" w:rsidR="006F44C0" w:rsidRPr="00497FB4" w:rsidRDefault="006F44C0" w:rsidP="002B2B12">
      <w:pPr>
        <w:spacing w:after="240"/>
        <w:rPr>
          <w:i/>
        </w:rPr>
      </w:pPr>
      <w:r>
        <w:t xml:space="preserve">El TC estimó que </w:t>
      </w:r>
      <w:r w:rsidRPr="00497FB4">
        <w:rPr>
          <w:i/>
        </w:rPr>
        <w:t>“la razón de la desestimación del recurso del interno en lo relativo a la vulneración del art. 18.3 CE es una doctrina de la Audiencia Provincial de Cádiz conforme a la cual «el secreto de las comunicaciones no ampara a escritos que van dirigidos a integrarse a un expediente judicial», afirmación de la que parece derivarse (…)  un incumplimiento general y reiterado de la doctrina constitucional en una cierta demarcación territorial (supuesto e) de los enunciados en la STC 155/2009, de 25 de junio, F. 2)”.</w:t>
      </w:r>
    </w:p>
    <w:p w14:paraId="48FEC060" w14:textId="77777777" w:rsidR="006F44C0" w:rsidRDefault="006F44C0" w:rsidP="002B2B12">
      <w:pPr>
        <w:spacing w:after="240"/>
      </w:pPr>
      <w:r>
        <w:t>Resulta muy curioso este caso particularmente porque el recurrente no explicitó</w:t>
      </w:r>
      <w:r w:rsidRPr="00497FB4">
        <w:t xml:space="preserve"> en l</w:t>
      </w:r>
      <w:r>
        <w:t>a demanda que concurriese</w:t>
      </w:r>
      <w:r w:rsidRPr="00497FB4">
        <w:t xml:space="preserve"> este supuesto de especial trascendencia constitucional</w:t>
      </w:r>
      <w:r>
        <w:t>. Sin embargo,</w:t>
      </w:r>
      <w:r w:rsidRPr="00497FB4">
        <w:t xml:space="preserve"> el conjunto de las razones aportadas en el recurso proporcion</w:t>
      </w:r>
      <w:r>
        <w:t>ó</w:t>
      </w:r>
      <w:r w:rsidRPr="00497FB4">
        <w:t xml:space="preserve"> a</w:t>
      </w:r>
      <w:r>
        <w:t>l</w:t>
      </w:r>
      <w:r w:rsidRPr="00497FB4">
        <w:t xml:space="preserve"> </w:t>
      </w:r>
      <w:r>
        <w:t>T</w:t>
      </w:r>
      <w:r w:rsidRPr="00497FB4">
        <w:t>ribunal elementos de juicio suficientes para apreciarlo,</w:t>
      </w:r>
      <w:r>
        <w:t xml:space="preserve"> y así mismo lo explicó en la propia Sentencia. Vemos pues un caso en el que, no habiéndose especificado el supuesto de especial trascendencia constitucional que concurría, el propio TC decidió apreciarlo por sí mismo. Este hecho debe ser subrayado ya que, el Tribunal en numerosas ocasiones ha manifestado que el ‘esfuerzo argumental’ de la justificación de la especial trascendencia constitucional debe ser realizada por el recurrente. Sin embargo, en este caso particular, el TC decidió apreciarla. </w:t>
      </w:r>
    </w:p>
    <w:p w14:paraId="70270C26" w14:textId="77777777" w:rsidR="006F44C0" w:rsidRDefault="006F44C0" w:rsidP="002B2B12">
      <w:pPr>
        <w:spacing w:after="240"/>
      </w:pPr>
      <w:r>
        <w:t xml:space="preserve">Como hemos indicado, también ha habido casos en los que el Tribunal ha apreciado esta causa de especial trascendencia constitucional en supuestos en los que un solo órgano judicial incumplía la doctrina constitucional. </w:t>
      </w:r>
    </w:p>
    <w:p w14:paraId="0936490A" w14:textId="77777777" w:rsidR="006F44C0" w:rsidRDefault="006F44C0" w:rsidP="002B2B12">
      <w:pPr>
        <w:spacing w:after="240"/>
      </w:pPr>
      <w:r>
        <w:t>ATC 165/2011, de 12 de diciembre</w:t>
      </w:r>
    </w:p>
    <w:p w14:paraId="029CACF3" w14:textId="77777777" w:rsidR="006F44C0" w:rsidRDefault="006F44C0" w:rsidP="002B2B12">
      <w:pPr>
        <w:spacing w:after="240"/>
      </w:pPr>
      <w:r>
        <w:t xml:space="preserve">Consideró que la Audiencia Provincial de Cádiz estaba dictando resoluciones que incumplían de modo general y reiterado de la doctrina constitucional en relación con el derecho al secreto de las comunicaciones de los internos penitenciarios y, por este, motivo estimó el recurso de súplica del Ministerio Fiscal contra la providencia que inadmitió a </w:t>
      </w:r>
      <w:r>
        <w:lastRenderedPageBreak/>
        <w:t>trámite el recurso por no apreciar la especial trascendencia constitucional y admitió el recurso de amparo.</w:t>
      </w:r>
    </w:p>
    <w:p w14:paraId="4FA38F1D" w14:textId="77777777" w:rsidR="006F44C0" w:rsidRDefault="006F44C0" w:rsidP="002B2B12">
      <w:pPr>
        <w:spacing w:after="240"/>
      </w:pPr>
      <w:r>
        <w:t>ATC 123/2012, de 18 junio.</w:t>
      </w:r>
    </w:p>
    <w:p w14:paraId="50B62527" w14:textId="77777777" w:rsidR="006F44C0" w:rsidRDefault="006F44C0" w:rsidP="002B2B12">
      <w:pPr>
        <w:spacing w:after="240"/>
      </w:pPr>
      <w:r>
        <w:t>El auto resuelve un recurso de súplica interpuesto por el Ministerio Fiscal contra una Providencia del Tribunal Constitucional que inadmite un recurso de amparo aduciendo que no existe trascendencia constitucional en el supuesto planteado. La demanda sostenías que la jurisprudencia del TC estaba siendo incumplida de modo general y reiterado por la jurisdicción ordinaria en un caso donde se esgrimía el Derecho Fundamental a un proceso público con todas las garantías. La sala admitió dicho recurso de súplica al estimar que en efecto concurría dicho supuesto de trascendencia constitucional.</w:t>
      </w:r>
      <w:r>
        <w:rPr>
          <w:rStyle w:val="Refdenotaalpie"/>
        </w:rPr>
        <w:footnoteReference w:id="317"/>
      </w:r>
      <w:r>
        <w:t xml:space="preserve"> </w:t>
      </w:r>
    </w:p>
    <w:p w14:paraId="76BC1CEF" w14:textId="77777777" w:rsidR="006F44C0" w:rsidRDefault="006F44C0" w:rsidP="002B2B12">
      <w:pPr>
        <w:spacing w:after="240"/>
      </w:pPr>
      <w:r>
        <w:t xml:space="preserve">STC 21/2014, de 10 de febrero. </w:t>
      </w:r>
    </w:p>
    <w:p w14:paraId="29AEFFE0" w14:textId="77777777" w:rsidR="006F44C0" w:rsidRDefault="006F44C0" w:rsidP="002B2B12">
      <w:pPr>
        <w:spacing w:after="240"/>
      </w:pPr>
      <w:r>
        <w:t xml:space="preserve">En esta sentencia se estimó que el recurso tenía especial trascendencia constitucional al considerar que la doctrina constitucional en materia de habeas corpus estaba siendo incumplida de forma reiterada y general por los órganos judiciales. La sentencia consideró que el frecuente incumplimiento de la jurisprudencia constitucional en materia de habeas corpus </w:t>
      </w:r>
      <w:r>
        <w:rPr>
          <w:i/>
        </w:rPr>
        <w:t>“es grave, carece de justificación y dota de especial trascendencia constitucional a este recurso”.</w:t>
      </w:r>
    </w:p>
    <w:p w14:paraId="0AB6FA17" w14:textId="77777777" w:rsidR="006F44C0" w:rsidRDefault="006F44C0" w:rsidP="002B2B12">
      <w:pPr>
        <w:spacing w:after="240"/>
      </w:pPr>
      <w:r>
        <w:t>STC 101/2015, de 25 de mayo.</w:t>
      </w:r>
    </w:p>
    <w:p w14:paraId="28A4F656" w14:textId="77777777" w:rsidR="006F44C0" w:rsidRDefault="006F44C0" w:rsidP="002B2B12">
      <w:pPr>
        <w:spacing w:after="240"/>
      </w:pPr>
      <w:r>
        <w:t xml:space="preserve">En un supuesto se planteaba que el órgano judicial, al haber inadmitido el incidente de nulidad de forma inmotivada, había vulnerado el derecho a la tutela judicial del recurrente. En el caso que dio lugar a esta Sentencia el órgano judicial inadmitió el incidente por “no haber lugar a lo solicitado”. En los antecedentes, no consta que el </w:t>
      </w:r>
      <w:r>
        <w:lastRenderedPageBreak/>
        <w:t xml:space="preserve">recurrente adujera este motivo como causa de “especial trascendencia constitucional”. En la Sentencia tampoco se explica por qué se entiende que existe este incumplimiento general y reiterado, simplemente se afirma que </w:t>
      </w:r>
      <w:r>
        <w:rPr>
          <w:i/>
        </w:rPr>
        <w:t>“[e]l incumplimiento de esta jurisprudencia constitucional [la establecida en relación con el incidente de nulidad de actuaciones tras la reforma de la LOTC por la Ley 6/2007], que este Tribunal puede observar es grave, carece de justificación y dota de especial trascendencia constitucional a este recurso”</w:t>
      </w:r>
      <w:r>
        <w:t>.</w:t>
      </w:r>
    </w:p>
    <w:p w14:paraId="5B8AFAA3" w14:textId="77777777" w:rsidR="006F44C0" w:rsidRDefault="006F44C0" w:rsidP="002B2B12">
      <w:pPr>
        <w:pStyle w:val="Ttulo4"/>
      </w:pPr>
      <w:bookmarkStart w:id="721" w:name="_Toc43034508"/>
      <w:bookmarkStart w:id="722" w:name="_Toc45731809"/>
      <w:bookmarkStart w:id="723" w:name="_Toc49866591"/>
      <w:r>
        <w:t>La existencia de resoluciones judiciales contradictorias sobre el derecho fundamental</w:t>
      </w:r>
      <w:bookmarkEnd w:id="721"/>
      <w:bookmarkEnd w:id="722"/>
      <w:bookmarkEnd w:id="723"/>
    </w:p>
    <w:p w14:paraId="7DBE1E4C" w14:textId="428D37F4" w:rsidR="006F44C0" w:rsidRDefault="006F44C0" w:rsidP="002B2B12">
      <w:pPr>
        <w:spacing w:after="240"/>
      </w:pPr>
      <w:r>
        <w:t xml:space="preserve">El segundo motivo que puede determinar este supuesto de especial trascendencia constitucional es que en la jurisdicción ordinaria existan resoluciones contradictorias sobre el contenido de </w:t>
      </w:r>
      <w:r w:rsidR="004B058B">
        <w:t>un derecho</w:t>
      </w:r>
      <w:r>
        <w:t xml:space="preserve"> fundamental. Esta contradicción, según establece la STC 155/2009, puede producirse bien porque los órganos judiciales interpreten de forma distinta la doctrina constitucional o bien porque en unos casos la apliquen y en otros no.</w:t>
      </w:r>
    </w:p>
    <w:p w14:paraId="019D36B6" w14:textId="43591651" w:rsidR="006F44C0" w:rsidRDefault="006F44C0" w:rsidP="002B2B12">
      <w:pPr>
        <w:spacing w:after="240"/>
      </w:pPr>
      <w:r>
        <w:t xml:space="preserve">Atendiendo a la doctrina del TC, parece ser que el objetivo de este supuesto es despejar las dudas sobre cuál ha de ser la interpretación correcta de la doctrina constitucional o, para </w:t>
      </w:r>
      <w:r w:rsidR="004B058B">
        <w:t>los casos</w:t>
      </w:r>
      <w:r>
        <w:t xml:space="preserve"> de contradicción entre resoluciones judiciales por la inaplicación de la doctrina constitucional.</w:t>
      </w:r>
    </w:p>
    <w:p w14:paraId="07488337" w14:textId="77777777" w:rsidR="006F44C0" w:rsidRDefault="006F44C0" w:rsidP="002B2B12">
      <w:pPr>
        <w:spacing w:after="240"/>
      </w:pPr>
      <w:r>
        <w:t>Algunos ejemplos de este supuesto serían los siguientes:</w:t>
      </w:r>
    </w:p>
    <w:p w14:paraId="03DE9713" w14:textId="77777777" w:rsidR="006F44C0" w:rsidRDefault="006F44C0" w:rsidP="002B2B12">
      <w:pPr>
        <w:spacing w:after="240"/>
      </w:pPr>
      <w:r>
        <w:t>SSTC 219/2016 y 220/2016, ambas de 19 de diciembre.</w:t>
      </w:r>
    </w:p>
    <w:p w14:paraId="0D565476" w14:textId="77777777" w:rsidR="006F44C0" w:rsidRDefault="006F44C0" w:rsidP="002B2B12">
      <w:pPr>
        <w:spacing w:after="240"/>
      </w:pPr>
      <w:r>
        <w:t xml:space="preserve">El TC apreció que la cuestión planteada tenía especial trascendencia constitucional, entre otros motivos, porque podían existir resoluciones judiciales contradictorias sobre el derecho fundamental [STC 155/2009, FJ 2 e)]. En los recursos de amparo resueltos por estas Sentencias se aducía la vulneración del derecho a la legalidad sancionadora al considerar que la recurrente había sido sancionada por realizar una conducta que no estaba tipificada como infracción administrativa. El Tribunal apreció que el recurso tenía especial trascendencia constitucional porque el demandante de amparo acreditó que los órganos judiciales estaban efectuando interpretaciones contradictorias del principio de </w:t>
      </w:r>
      <w:r>
        <w:lastRenderedPageBreak/>
        <w:t>legalidad sancionadora al aportar sentencias de otros órganos judiciales que consideraban la conducta enjuiciada típica.</w:t>
      </w:r>
    </w:p>
    <w:p w14:paraId="43F2F691" w14:textId="77777777" w:rsidR="006F44C0" w:rsidRPr="00BA733A" w:rsidRDefault="006F44C0" w:rsidP="002B2B12">
      <w:pPr>
        <w:spacing w:after="240"/>
      </w:pPr>
      <w:r w:rsidRPr="00BA733A">
        <w:t>STC 216/2013,</w:t>
      </w:r>
      <w:r>
        <w:t xml:space="preserve"> </w:t>
      </w:r>
      <w:r w:rsidRPr="00BA733A">
        <w:t>FJ</w:t>
      </w:r>
      <w:r>
        <w:t xml:space="preserve"> 2</w:t>
      </w:r>
    </w:p>
    <w:p w14:paraId="5AE9E3A4" w14:textId="77777777" w:rsidR="006F44C0" w:rsidRDefault="006F44C0" w:rsidP="002B2B12">
      <w:pPr>
        <w:spacing w:after="240"/>
      </w:pPr>
      <w:r w:rsidRPr="00BA733A">
        <w:t>En opinión de PÉREZ TREMPS, con el que coincidimos, este supuesto de «resoluciones contradictorias» suscitaría alguna duda en cuanto a su concurso, como es, por ejemplo, lo que debe entenderse por «incumplimiento general y reiterado», aunque parece claro que hay que excluir el incumplimiento concreto, que, en su caso, podrá tener cabida en el supuesto f) siguiente. Parece, pues, que aquí la especial trascendencia constitucional exige la existencia de varios incumplimientos. Por otro lado, también apunta a que debe ser el recurrente quien aporte los</w:t>
      </w:r>
      <w:r>
        <w:t xml:space="preserve"> </w:t>
      </w:r>
      <w:r w:rsidRPr="00BA733A">
        <w:t>datos que permitan identificar esos incumplimientos sin que baste con una cita</w:t>
      </w:r>
      <w:r>
        <w:t xml:space="preserve"> </w:t>
      </w:r>
      <w:r w:rsidRPr="00BA733A">
        <w:t>más o menos genérica que no esté mínimamente contrastada y documentada</w:t>
      </w:r>
      <w:r>
        <w:rPr>
          <w:rStyle w:val="Refdenotaalpie"/>
        </w:rPr>
        <w:footnoteReference w:id="318"/>
      </w:r>
      <w:r w:rsidRPr="00BA733A">
        <w:t>.</w:t>
      </w:r>
    </w:p>
    <w:p w14:paraId="59CEED55" w14:textId="77777777" w:rsidR="006F44C0" w:rsidRDefault="006F44C0" w:rsidP="002B2B12">
      <w:pPr>
        <w:spacing w:after="240"/>
      </w:pPr>
      <w:r>
        <w:t>Debemos de tener en cuenta que, para que se dé la concurrencia de este supuesto de especial trascendencia constitucional, no sería suficiente con la simple existencia de resoluciones contradictorias, sino que, sería necesario que esa contradicción en la que incurren se produzca porque los órganos judiciales resuelvan de manera diferente un supuesto similar por interpretar de forma distinta la doctrina del TC. Esto ha sido remarcado por el TC en su ATC 47/2017, de 7 de marzo, donde dispone que el hecho de la existencia de resoluciones contradictorias no supone que estén aplicando de forma contradictoria la doctrina constitucional.</w:t>
      </w:r>
    </w:p>
    <w:p w14:paraId="7273BF27" w14:textId="77777777" w:rsidR="006F44C0" w:rsidRDefault="006F44C0" w:rsidP="002B2B12">
      <w:pPr>
        <w:spacing w:after="240"/>
      </w:pPr>
      <w:r>
        <w:t>Debemos finalmente señalar que sería carga del recurrente justificar que existe el incumplimiento generalizado de la doctrina constitucional o la existencia de resoluciones judiciales contradictorias sobre el contenido derecho fundamental. De hecho, en las anteriormente citadas SSTC 219/2016 y 220/2016, FJ 2, el Tribunal consideró que los recursos interpuestos tenían “especial trascendencia constitucional” al haber acreditado los recurrentes la existencia de resoluciones judiciales contradictorias en la aplicación del art. 25.1 CE.</w:t>
      </w:r>
    </w:p>
    <w:p w14:paraId="5D791CDF" w14:textId="77777777" w:rsidR="006F44C0" w:rsidRDefault="006F44C0" w:rsidP="002B2B12">
      <w:pPr>
        <w:spacing w:after="240"/>
      </w:pPr>
      <w:r>
        <w:lastRenderedPageBreak/>
        <w:t>Por tanto, si no se acreditase no se consideraría suficientemente justificada la especial trascendencia constitucional y, en consecuencia, el recurso podría inadmitirse por este motivo.</w:t>
      </w:r>
    </w:p>
    <w:p w14:paraId="0A5591D3" w14:textId="77777777" w:rsidR="006F44C0" w:rsidRDefault="006F44C0" w:rsidP="002B2B12">
      <w:pPr>
        <w:pStyle w:val="Ttulo3"/>
      </w:pPr>
      <w:bookmarkStart w:id="724" w:name="_Toc522831274"/>
      <w:bookmarkStart w:id="725" w:name="_Toc532198491"/>
      <w:bookmarkStart w:id="726" w:name="_Toc43034509"/>
      <w:bookmarkStart w:id="727" w:name="_Toc45731810"/>
      <w:bookmarkStart w:id="728" w:name="_Toc49423706"/>
      <w:bookmarkStart w:id="729" w:name="_Toc49708638"/>
      <w:bookmarkStart w:id="730" w:name="_Toc49790304"/>
      <w:bookmarkStart w:id="731" w:name="_Toc49866592"/>
      <w:bookmarkStart w:id="732" w:name="_Toc50373195"/>
      <w:r>
        <w:t>Cuando un órgano judicial incurra en una negativa manifiesta del deber de acatamiento de la doctrina del Tribunal Constitucional</w:t>
      </w:r>
      <w:bookmarkEnd w:id="724"/>
      <w:bookmarkEnd w:id="725"/>
      <w:bookmarkEnd w:id="726"/>
      <w:bookmarkEnd w:id="727"/>
      <w:bookmarkEnd w:id="728"/>
      <w:bookmarkEnd w:id="729"/>
      <w:bookmarkEnd w:id="730"/>
      <w:bookmarkEnd w:id="731"/>
      <w:bookmarkEnd w:id="732"/>
    </w:p>
    <w:p w14:paraId="0FC7F3F8" w14:textId="77777777" w:rsidR="006F44C0" w:rsidRDefault="006F44C0" w:rsidP="002B2B12">
      <w:pPr>
        <w:spacing w:after="240"/>
      </w:pPr>
      <w:r>
        <w:t>Nos encontraríamos antes los casos en los que un juez o tribunal, de forma manifiesta, no cumple con el deber de acatamiento de los preceptos y principios constitucionales.</w:t>
      </w:r>
      <w:r>
        <w:rPr>
          <w:rStyle w:val="Refdenotaalpie"/>
        </w:rPr>
        <w:footnoteReference w:id="319"/>
      </w:r>
      <w:r>
        <w:t xml:space="preserve"> </w:t>
      </w:r>
    </w:p>
    <w:p w14:paraId="690B2715" w14:textId="269D2D7F" w:rsidR="003E58F3" w:rsidRDefault="003E58F3" w:rsidP="003E58F3">
      <w:pPr>
        <w:spacing w:after="240"/>
      </w:pPr>
      <w:r>
        <w:t>Este supuesto tendría cierta similitud con el anterior, con la diferencia de que el presente supuesto parece pensado para incumplimientos concretos (caso excluido en el anterior supuesto). Incurrirían aquí casos en los que se den decisiones por parte de órganos judiciales en las que abiertamente se omita seguir los criterios de la jurisdicción constitucional, decisiones que podría decirse que se producen en cierto sentido «en rebeldía» frente a la posición de ésta, y no un mero error</w:t>
      </w:r>
      <w:r>
        <w:rPr>
          <w:rStyle w:val="Refdenotaalpie"/>
        </w:rPr>
        <w:footnoteReference w:id="320"/>
      </w:r>
      <w:r>
        <w:t>.</w:t>
      </w:r>
    </w:p>
    <w:p w14:paraId="04E719EF" w14:textId="29E8F4FC" w:rsidR="006F44C0" w:rsidRDefault="006F44C0" w:rsidP="002B2B12">
      <w:pPr>
        <w:spacing w:after="240"/>
      </w:pPr>
      <w:r>
        <w:t>Estaríamos ante un supuesto realmente importante y de gran gravedad ya que, en los casos en los que los órganos judiciales se niegan a aplicar la doctrina constitucional, no solo estarían incurriendo en una grave infracción del ordenamiento jurídico, sino que, además, al contradecir voluntariamente y de forma reiterada la doctrina asentada por el TC, estarían incurriendo en una grave subversión del propio sistema de fuentes del ordenamiento jurídico español. En este razonamiento radica la apreciación especial trascendencia constitucional en este tipo de supuestos. No deja de ser, pues, una forma de asegurar la “general eficacia” de la Constitución, como establece el art. 50.1 b) LOTC.</w:t>
      </w:r>
    </w:p>
    <w:p w14:paraId="30DA9914" w14:textId="77777777" w:rsidR="006F44C0" w:rsidRDefault="006F44C0" w:rsidP="002B2B12">
      <w:pPr>
        <w:spacing w:after="240"/>
      </w:pPr>
      <w:r>
        <w:t xml:space="preserve">El TC ha determinado en su ATC 141/2012, de 9 de junio, entre otros, que, para que pueda apreciarse esta causa de especial trascendencia constitucional, no basta con que </w:t>
      </w:r>
      <w:r>
        <w:lastRenderedPageBreak/>
        <w:t xml:space="preserve">exista una </w:t>
      </w:r>
      <w:r>
        <w:rPr>
          <w:i/>
        </w:rPr>
        <w:t>“contradicción de un pronunciamiento judicial con cualquiera de las resoluciones dictadas por [el] Tribunal Constitucional”.</w:t>
      </w:r>
      <w:r>
        <w:t xml:space="preserve">  </w:t>
      </w:r>
    </w:p>
    <w:p w14:paraId="4D2F5108" w14:textId="77777777" w:rsidR="006F44C0" w:rsidRDefault="006F44C0" w:rsidP="002B2B12">
      <w:pPr>
        <w:spacing w:after="240"/>
      </w:pPr>
      <w:r>
        <w:t>Además, el TC también ha manifestado que “la errónea interpretación o aplicación de la jurisprudencia […] es algo radicalmente distinto a la voluntad manifiesta de no proceder a su aplicación”. Se exige, por tanto, un “elemento intencional o volitivo”, una decisión consciente de soslayar la doctrina constitucional.</w:t>
      </w:r>
      <w:r>
        <w:rPr>
          <w:rStyle w:val="Refdenotaalpie"/>
        </w:rPr>
        <w:footnoteReference w:id="321"/>
      </w:r>
    </w:p>
    <w:p w14:paraId="2B4485A9" w14:textId="77777777" w:rsidR="006F44C0" w:rsidRDefault="006F44C0" w:rsidP="002B2B12">
      <w:pPr>
        <w:spacing w:after="240"/>
      </w:pPr>
      <w:r>
        <w:t>Tienen mucho sentido estas afirmaciones ya que, por una parte, una contradicción aislada con la jurisprudencia del TC no puede suponer una negativa manifiesta del deber de acatamiento de la doctrina del TC ya que podría deberse al desconocimiento o a un simple error. En nuestra opinión, para que lo fuese debería darse de forma reiterada. Por otra parte, y al hilo de lo que acabamos de decir, no nos encontraríamos en este supuesto en los casos de errónea interpretación o aplicación puesto que no habría voluntad del TC de desobedecer la jurisprudencia del TC.</w:t>
      </w:r>
    </w:p>
    <w:p w14:paraId="7EC8717E" w14:textId="77777777" w:rsidR="006F44C0" w:rsidRDefault="006F44C0" w:rsidP="002B2B12">
      <w:pPr>
        <w:spacing w:after="240"/>
      </w:pPr>
      <w:r>
        <w:t>Podemos apreciar tres tipos distintos de supuestos dentro de este caso atendiendo a la clasificación efectuada por BELADÍEZ ROJO</w:t>
      </w:r>
      <w:r>
        <w:rPr>
          <w:rStyle w:val="Refdenotaalpie"/>
        </w:rPr>
        <w:footnoteReference w:id="322"/>
      </w:r>
      <w:r>
        <w:t>:</w:t>
      </w:r>
    </w:p>
    <w:p w14:paraId="6AB6EB74" w14:textId="77777777" w:rsidR="006F44C0" w:rsidRDefault="006F44C0" w:rsidP="001A4310">
      <w:pPr>
        <w:pStyle w:val="Ttulo4"/>
        <w:numPr>
          <w:ilvl w:val="0"/>
          <w:numId w:val="37"/>
        </w:numPr>
      </w:pPr>
      <w:bookmarkStart w:id="733" w:name="_Toc43034510"/>
      <w:bookmarkStart w:id="734" w:name="_Toc45731811"/>
      <w:bookmarkStart w:id="735" w:name="_Toc49866593"/>
      <w:r>
        <w:t>Negativa “manifiesta expresa” a acatar la doctrina constitucional</w:t>
      </w:r>
      <w:bookmarkEnd w:id="733"/>
      <w:bookmarkEnd w:id="734"/>
      <w:bookmarkEnd w:id="735"/>
    </w:p>
    <w:p w14:paraId="0673A493" w14:textId="77777777" w:rsidR="006F44C0" w:rsidRDefault="006F44C0" w:rsidP="002B2B12">
      <w:pPr>
        <w:spacing w:after="240"/>
      </w:pPr>
      <w:r>
        <w:t>En este primer supuesto, nos encontraríamos antes los supuestos en los que los órganos judiciales han manifestado expresamente su voluntad de no aplicar la doctrina constitucional. Debemos destacar que, hasta la fecha, no han sido muchos. Esto puede deberse a que, como hemos mencionado anteriormente, la negativa de acatamiento de la doctrina del TC incurre en el incumplimiento de la LOPJ y de la propia CE.</w:t>
      </w:r>
    </w:p>
    <w:p w14:paraId="1D7D504E" w14:textId="77777777" w:rsidR="006F44C0" w:rsidRDefault="006F44C0" w:rsidP="002B2B12">
      <w:pPr>
        <w:spacing w:after="240"/>
      </w:pPr>
      <w:r>
        <w:t>Dentro de los pocos casos que podemos encontrar, cabe destacar la STC 63/2005, de 14 de marzo. A raíz de este caso en el que nuestro TC estableció la doctrina sobre cómo había de computarse la prescripción de los delitos, algunos órganos judiciales decidieron no aplicarla y esto dio lugar a una serie de sentencias</w:t>
      </w:r>
      <w:r>
        <w:rPr>
          <w:rStyle w:val="Refdenotaalpie"/>
        </w:rPr>
        <w:footnoteReference w:id="323"/>
      </w:r>
      <w:r>
        <w:t xml:space="preserve">. Un ejemplo de ello sería la STC </w:t>
      </w:r>
      <w:r>
        <w:lastRenderedPageBreak/>
        <w:t>95/2010 de 15 noviembre. En este caso, acerca de un delito contra la Hacienda Pública, se recurre la denegación judicial de la prescripción en razón de que la resolución judicial que acuerda incoar diligencias previas interrumpe la prescripción. El Auto de incoación de diligencias es dictado una vez finalizado el plazo de prescripción de cinco años para la declaración del último período impositivo, determinando el TC que lo relevante para la interrupción no es la denuncia penal sino la adopción de un acto procesal del órgano judicial</w:t>
      </w:r>
      <w:r>
        <w:rPr>
          <w:rStyle w:val="Refdenotaalpie"/>
        </w:rPr>
        <w:footnoteReference w:id="324"/>
      </w:r>
      <w:r>
        <w:t xml:space="preserve">. </w:t>
      </w:r>
    </w:p>
    <w:p w14:paraId="6B7E7CF3" w14:textId="5EBC6866" w:rsidR="006F44C0" w:rsidRDefault="006F44C0" w:rsidP="002B2B12">
      <w:pPr>
        <w:spacing w:after="240"/>
      </w:pPr>
      <w:r>
        <w:t>Otro ejemplo sería la STC 32/2013, de 11 febrero. FJ 4º. El recurso se plantea como fruto de una interpretación discrepante del cómputo de los plazos de prescripción en una condena por delito en materia de impuesto sobre el valor añadido, del que existe una interpretación de un precepto penal diferente respecto de la jurisdicción ordinaria y constitucional</w:t>
      </w:r>
      <w:r w:rsidR="007E630E">
        <w:rPr>
          <w:rStyle w:val="Refdenotaalpie"/>
        </w:rPr>
        <w:footnoteReference w:id="325"/>
      </w:r>
      <w:r>
        <w:t xml:space="preserve">. </w:t>
      </w:r>
      <w:r w:rsidR="007E630E">
        <w:t xml:space="preserve">En concreto, </w:t>
      </w:r>
      <w:r w:rsidR="007E630E" w:rsidRPr="007E630E">
        <w:t>el Tribunal Constitucional sos</w:t>
      </w:r>
      <w:r w:rsidR="007E630E">
        <w:t xml:space="preserve">tuvo que </w:t>
      </w:r>
      <w:r w:rsidR="007E630E" w:rsidRPr="007E630E">
        <w:t xml:space="preserve">la simple </w:t>
      </w:r>
      <w:r w:rsidR="007E630E" w:rsidRPr="007E630E">
        <w:lastRenderedPageBreak/>
        <w:t xml:space="preserve">presentación de una denuncia o querella, sin que medie ningún acto de interposición judicial, no puede interrumpir el plazo de prescripción, pues ello implicaría una falta de respeto a las exigencias de tutela reforzada. </w:t>
      </w:r>
      <w:r w:rsidR="007E630E">
        <w:t>Además, e</w:t>
      </w:r>
      <w:r w:rsidR="007E630E" w:rsidRPr="007E630E">
        <w:t>ste apartamiento de la doctrina del T</w:t>
      </w:r>
      <w:r w:rsidR="007E630E">
        <w:t>C no fue subsanada</w:t>
      </w:r>
      <w:r w:rsidR="007E630E" w:rsidRPr="007E630E">
        <w:t xml:space="preserve"> en la resolución del incidente de nulidad de actuaciones </w:t>
      </w:r>
      <w:r w:rsidR="007E630E">
        <w:t xml:space="preserve">que interpuso la demandante, </w:t>
      </w:r>
      <w:r w:rsidR="007E630E" w:rsidRPr="007E630E">
        <w:t>sino que, al contrario, éste se inadmit</w:t>
      </w:r>
      <w:r w:rsidR="007E630E">
        <w:t>ió. Por todo ello, se consideró que l</w:t>
      </w:r>
      <w:r w:rsidR="007E630E" w:rsidRPr="007E630E">
        <w:t>as resoluciones impugnadas incurr</w:t>
      </w:r>
      <w:r w:rsidR="007E630E">
        <w:t>ían</w:t>
      </w:r>
      <w:r w:rsidR="007E630E" w:rsidRPr="007E630E">
        <w:t xml:space="preserve"> en manifiesto desconocimiento del deber de acatamiento de la doctrina del Tribunal Constitucional</w:t>
      </w:r>
      <w:r w:rsidR="007E630E">
        <w:t>.</w:t>
      </w:r>
    </w:p>
    <w:p w14:paraId="1D5C81DA" w14:textId="3822B715" w:rsidR="006F44C0" w:rsidRDefault="006F44C0" w:rsidP="002B2B12">
      <w:pPr>
        <w:spacing w:after="240"/>
      </w:pPr>
      <w:r>
        <w:t xml:space="preserve"> El Alto Tribunal calificó este tipo de actos de “rebeldía” y los consideró expresivos de una </w:t>
      </w:r>
      <w:r>
        <w:rPr>
          <w:i/>
        </w:rPr>
        <w:t>“manifiesto desconocimiento del deber de acatamiento de la doctrina constitucional”,</w:t>
      </w:r>
      <w:r>
        <w:t xml:space="preserve"> que determina, además, la lesión del derecho a la tutela judicial efectiva. </w:t>
      </w:r>
    </w:p>
    <w:p w14:paraId="00EE377B" w14:textId="77777777" w:rsidR="006F44C0" w:rsidRDefault="006F44C0" w:rsidP="002B2B12">
      <w:pPr>
        <w:spacing w:after="240"/>
      </w:pPr>
      <w:r>
        <w:t>En este caso, la negativa a aplicar la doctrina constitucional parece fundamentarse, más que en un conflicto entre los órganos judiciales y el Tribunal Constitucional, en el desconocimiento por parte del órgano judicial del valor y fuerza de obligar de las resoluciones del Tribunal Constitucional. No obstante, nos parece poco lógico que un órgano judicial ‘desconozca’ el deber de acatamiento de la doctrina del TC, teniendo en cuenta la vinculatoriedad de ésta.</w:t>
      </w:r>
    </w:p>
    <w:p w14:paraId="4DD30E66" w14:textId="77777777" w:rsidR="006F44C0" w:rsidRDefault="006F44C0" w:rsidP="002B2B12">
      <w:pPr>
        <w:spacing w:after="240"/>
      </w:pPr>
      <w:r>
        <w:t xml:space="preserve">Otro ejemplo destacable es el de la STC 115/2015, de 8 de junio, FJ 2. </w:t>
      </w:r>
    </w:p>
    <w:p w14:paraId="34DC390C" w14:textId="77777777" w:rsidR="006F44C0" w:rsidRDefault="006F44C0" w:rsidP="002B2B12">
      <w:pPr>
        <w:spacing w:after="240"/>
      </w:pPr>
      <w:r>
        <w:t>En este supuesto el Tribunal apreció que el recurso de amparo tenía especial trascendencia constitucional porque la Audiencia Provincial de Valencia decidió no aplicar la doctrina constitucional invocada por la parte en su recurso por existir otra doctrina posterior del Tribunal Supremo sobre esa cuestión</w:t>
      </w:r>
      <w:r>
        <w:rPr>
          <w:rStyle w:val="Refdenotaalpie"/>
        </w:rPr>
        <w:footnoteReference w:id="326"/>
      </w:r>
      <w:r>
        <w:t xml:space="preserve">. </w:t>
      </w:r>
    </w:p>
    <w:p w14:paraId="7F854611" w14:textId="77777777" w:rsidR="006F44C0" w:rsidRDefault="006F44C0" w:rsidP="002B2B12">
      <w:pPr>
        <w:spacing w:after="240"/>
      </w:pPr>
      <w:r>
        <w:t xml:space="preserve">Este supuesto nos suscita dos ideas. Por una parte, el hecho de que la Audiencia Provincial decida acatar la doctrina del TS antes que la del TC y, por otra parte, que el TS dictase una doctrina posterior no acatando la del TC. Podríamos encontrarnos en este caso con un ejemplo de las ‘fricciones’ producidas entre los dos altos tribunales, TC y TS. </w:t>
      </w:r>
    </w:p>
    <w:p w14:paraId="36DDE9AC" w14:textId="77777777" w:rsidR="006F44C0" w:rsidRDefault="006F44C0" w:rsidP="002B2B12">
      <w:pPr>
        <w:pStyle w:val="Ttulo4"/>
      </w:pPr>
      <w:r>
        <w:lastRenderedPageBreak/>
        <w:t xml:space="preserve"> </w:t>
      </w:r>
      <w:bookmarkStart w:id="736" w:name="_Toc43034511"/>
      <w:bookmarkStart w:id="737" w:name="_Toc45731812"/>
      <w:bookmarkStart w:id="738" w:name="_Toc49866594"/>
      <w:r w:rsidRPr="00BB3E61">
        <w:t>Actos concluyentes de los que se deduce la “voluntad de no acatar” la doctrina constitucional</w:t>
      </w:r>
      <w:bookmarkEnd w:id="736"/>
      <w:bookmarkEnd w:id="737"/>
      <w:bookmarkEnd w:id="738"/>
    </w:p>
    <w:p w14:paraId="7A5A29BF" w14:textId="77777777" w:rsidR="006F44C0" w:rsidRDefault="006F44C0" w:rsidP="002B2B12">
      <w:pPr>
        <w:spacing w:after="240"/>
      </w:pPr>
      <w:r>
        <w:t xml:space="preserve">También puede darse la existencia de supuestos en los que el órgano judicial, aunque no manifestaba expresamente su voluntad de no aplicar la doctrina constitucional, realizaba actos concluyentes de los que se derivaba esta consecuencia. </w:t>
      </w:r>
    </w:p>
    <w:p w14:paraId="7000826A" w14:textId="77777777" w:rsidR="006F44C0" w:rsidRDefault="006F44C0" w:rsidP="002B2B12">
      <w:pPr>
        <w:spacing w:after="240"/>
      </w:pPr>
      <w:r>
        <w:t>Un ejemplo de ello es la STC 59/2011 en la que el TC entendió que existía una manifiesta negativa a acatar la doctrina constitucional por parte del órgano judicial que había dictado la resolución impugnada en amparo porque, a pesar de que el TC había estimado varios recursos de amparo contra sus resoluciones por no estar debidamente motivadas, este órgano judicial seguía dictando resoluciones que incurrían en los mismos defectos de motivación. Destacar que la Sentencia que resolvió este recurso no solo estimó el amparo, sino que, además, efectúo una apelación directa a este órgano judicial para que hiciera un “acatamiento estricto de la doctrina de este Tribunal sobre el particular”.</w:t>
      </w:r>
    </w:p>
    <w:p w14:paraId="5E980A6D" w14:textId="77777777" w:rsidR="006F44C0" w:rsidRDefault="006F44C0" w:rsidP="002B2B12">
      <w:pPr>
        <w:spacing w:after="240"/>
      </w:pPr>
      <w:r>
        <w:t>En nuestra opinión este supuesto es difícil que el recurrente, como encargado de demostrar la especial trascendencia constitucional de su caso, se aventure a alegar que ‘deduce’ la ‘voluntad de no acatar’ la doctrina del TC por parte del órgano judicial atendiendo a sus actos. Por otra parte, se le presentaría el problema de demostrar dicha alegación que, a nuestro parecer, es muy difícil.</w:t>
      </w:r>
    </w:p>
    <w:p w14:paraId="09D4E36C" w14:textId="77777777" w:rsidR="006F44C0" w:rsidRPr="00BB3E61" w:rsidRDefault="006F44C0" w:rsidP="002B2B12">
      <w:pPr>
        <w:pStyle w:val="Ttulo4"/>
      </w:pPr>
      <w:bookmarkStart w:id="739" w:name="_Toc43034512"/>
      <w:bookmarkStart w:id="740" w:name="_Toc45731813"/>
      <w:bookmarkStart w:id="741" w:name="_Toc49866595"/>
      <w:r w:rsidRPr="00BB3E61">
        <w:t>Negativa manifiesta “implícita” a acatar la doctrina constitucional</w:t>
      </w:r>
      <w:bookmarkEnd w:id="739"/>
      <w:bookmarkEnd w:id="740"/>
      <w:bookmarkEnd w:id="741"/>
    </w:p>
    <w:p w14:paraId="47256852" w14:textId="77777777" w:rsidR="006F44C0" w:rsidRDefault="006F44C0" w:rsidP="002B2B12">
      <w:pPr>
        <w:spacing w:after="240"/>
      </w:pPr>
      <w:r>
        <w:t xml:space="preserve">Se ha apreciado también la concurrencia de este supuesto de especial trascendencia constitucional en aquellos supuestos en los que los órganos judiciales no aplicaban la doctrina constitucional a pesar de que había sido expresamente invocada por las partes en el proceso y, además, habían puesto de manifiesto que había sido establecida en un caso similar al que se estaba enjuiciando. </w:t>
      </w:r>
    </w:p>
    <w:p w14:paraId="011FF393" w14:textId="77777777" w:rsidR="006F44C0" w:rsidRDefault="006F44C0" w:rsidP="002B2B12">
      <w:pPr>
        <w:spacing w:after="240"/>
      </w:pPr>
      <w:r>
        <w:t>Podemos apreciar algunos ejemplos como:</w:t>
      </w:r>
    </w:p>
    <w:p w14:paraId="41D00374" w14:textId="77777777" w:rsidR="006F44C0" w:rsidRDefault="006F44C0" w:rsidP="002B2B12">
      <w:pPr>
        <w:spacing w:after="240"/>
      </w:pPr>
      <w:r>
        <w:t>STC 195/2014, de 1 de diciembre.</w:t>
      </w:r>
    </w:p>
    <w:p w14:paraId="642143B2" w14:textId="77777777" w:rsidR="006F44C0" w:rsidRDefault="006F44C0" w:rsidP="002B2B12">
      <w:pPr>
        <w:spacing w:after="240"/>
      </w:pPr>
      <w:r>
        <w:t xml:space="preserve">Supuesto en el que un órgano judicial había inadmitido un habeas corpus por razones de fondo. El TC consideró que el órgano judicial, al no aplicar la doctrina constitucional </w:t>
      </w:r>
      <w:r>
        <w:lastRenderedPageBreak/>
        <w:t>recaída en casos idénticos al que estaba juzgando y tener conocimiento de esta doctrina al haber sido invocada expresamente por el recurrente, estaba, implícitamente, negándose a aplicar la doctrina constitucional.</w:t>
      </w:r>
    </w:p>
    <w:p w14:paraId="6B2EDEB3" w14:textId="77777777" w:rsidR="006F44C0" w:rsidRDefault="006F44C0" w:rsidP="002B2B12">
      <w:pPr>
        <w:spacing w:after="240"/>
      </w:pPr>
      <w:r>
        <w:t xml:space="preserve">STC 200/2016, de 28 de noviembre. </w:t>
      </w:r>
    </w:p>
    <w:p w14:paraId="00226D78" w14:textId="77777777" w:rsidR="006F44C0" w:rsidRDefault="006F44C0" w:rsidP="002B2B12">
      <w:pPr>
        <w:spacing w:after="240"/>
      </w:pPr>
      <w:r>
        <w:t xml:space="preserve">Esta sentencia determinó que el órgano judicial pudo haber incurrido en esta causa de especial trascendencia constitucional al no aplicar la doctrina constitucional invocada por el recurrente. Según se sostiene en el FJ2 de la sentencia, </w:t>
      </w:r>
      <w:r>
        <w:rPr>
          <w:i/>
        </w:rPr>
        <w:t>“la resolución enjuiciada pone de relieve que algunos órganos judiciales no siguen o se resisten a aplicar la doctrina de este Tribunal Constitucional en materia de emplazamiento y notificaciones, no obstante, su conocimiento. Por esa razón, se considera indispensable que el Tribunal siga profundizando en la línea marcada en sus pronunciamientos previos, configurando así un importante cuerpo jurisprudencial que detenga la reiteración de interpretaciones y actuaciones como la que ha consumado el órgano judicial en el presente asunto, evitando que su doctrina sea soslayada”.</w:t>
      </w:r>
    </w:p>
    <w:p w14:paraId="43CE528F" w14:textId="77777777" w:rsidR="006F44C0" w:rsidRDefault="006F44C0" w:rsidP="002B2B12">
      <w:pPr>
        <w:spacing w:after="240"/>
      </w:pPr>
      <w:r>
        <w:t>En resumen, para que pueda considerarse la inaplicación de la doctrina del TC como una negativa manifiesta del deber de acatamiento sería necesaria la existencia de un caso similar al enjuiciado que hubiera sido resuelto con anterioridad por el TC y, que se demuestre que el órgano judicial conocía esa doctrina del TC, lo que en un primer momento podría parecer difícil de demostrar, pero podría considerarse, por ejemplo, la posibilidad, como sucede en alguna de las sentencias citadas anteriormente, de que alguna de las partes hubiese invocado en la demanda algún un supuesto similar al que se está juzgando.</w:t>
      </w:r>
    </w:p>
    <w:p w14:paraId="0AC19610" w14:textId="77777777" w:rsidR="006F44C0" w:rsidRDefault="006F44C0" w:rsidP="002B2B12">
      <w:pPr>
        <w:pStyle w:val="Ttulo3"/>
      </w:pPr>
      <w:bookmarkStart w:id="742" w:name="_Toc43034513"/>
      <w:bookmarkStart w:id="743" w:name="_Toc45731814"/>
      <w:bookmarkStart w:id="744" w:name="_Toc49423707"/>
      <w:bookmarkStart w:id="745" w:name="_Toc49708639"/>
      <w:bookmarkStart w:id="746" w:name="_Toc49790305"/>
      <w:bookmarkStart w:id="747" w:name="_Toc49866596"/>
      <w:bookmarkStart w:id="748" w:name="_Toc50373196"/>
      <w:r>
        <w:t>Cuando el asunto suscitado, sin estar incluido en ninguno de los supuestos anteriores, trascienda del caso concreto porque plantee una cuestión jurídica de relevante y general repercusión social o económica o tenga unas consecuencias políticas generales, consecuencias que podrían concurrir, sobre todo, aunque no exclusivamente, en determinados amparos electorales o parlamentarios</w:t>
      </w:r>
      <w:bookmarkEnd w:id="742"/>
      <w:bookmarkEnd w:id="743"/>
      <w:bookmarkEnd w:id="744"/>
      <w:bookmarkEnd w:id="745"/>
      <w:bookmarkEnd w:id="746"/>
      <w:bookmarkEnd w:id="747"/>
      <w:bookmarkEnd w:id="748"/>
    </w:p>
    <w:p w14:paraId="3FA6A380" w14:textId="77777777" w:rsidR="006F44C0" w:rsidRDefault="006F44C0" w:rsidP="002B2B12">
      <w:pPr>
        <w:spacing w:after="240"/>
      </w:pPr>
      <w:r>
        <w:t xml:space="preserve">Como ya hemos mencionado en páginas anteriores, la STC 155/2009 no establecía un numerus clausus de supuestos, sino que determinaba seis supuestos más concretos y una </w:t>
      </w:r>
      <w:r>
        <w:lastRenderedPageBreak/>
        <w:t>“cláusula residual” en la que podrían incluirse aquellas demandas que, no pudiendo encuadrarse en los anteriores, poseyeran un alcance objetivo y general.</w:t>
      </w:r>
    </w:p>
    <w:p w14:paraId="76DB4E79" w14:textId="77777777" w:rsidR="006F44C0" w:rsidRPr="00007962" w:rsidRDefault="006F44C0" w:rsidP="002B2B12">
      <w:pPr>
        <w:spacing w:after="240"/>
      </w:pPr>
      <w:r w:rsidRPr="00007962">
        <w:t>Este es el supuesto más abierto de</w:t>
      </w:r>
      <w:r>
        <w:t xml:space="preserve"> </w:t>
      </w:r>
      <w:r w:rsidRPr="00007962">
        <w:t>los previstos en la S</w:t>
      </w:r>
      <w:r>
        <w:t>entencia</w:t>
      </w:r>
      <w:r w:rsidRPr="00007962">
        <w:t>, en el que ha</w:t>
      </w:r>
      <w:r>
        <w:t>bría</w:t>
      </w:r>
      <w:r w:rsidRPr="00007962">
        <w:t xml:space="preserve"> que incluir claramente los asuntos</w:t>
      </w:r>
      <w:r>
        <w:t xml:space="preserve"> </w:t>
      </w:r>
      <w:r w:rsidRPr="00007962">
        <w:t>parlamentarios y electorales, a los que se refiere la propia Sentencia en la</w:t>
      </w:r>
      <w:r>
        <w:t xml:space="preserve"> </w:t>
      </w:r>
      <w:r w:rsidRPr="00007962">
        <w:t>medida en que afectan a la configuración, composición y funcionamiento de las</w:t>
      </w:r>
      <w:r>
        <w:t xml:space="preserve"> </w:t>
      </w:r>
      <w:r w:rsidRPr="00007962">
        <w:t>instituciones democráticas que se encuentran en la raíz misma del sistema constitucional.</w:t>
      </w:r>
      <w:r>
        <w:t xml:space="preserve"> Además, este supuesto debe incluir </w:t>
      </w:r>
      <w:r w:rsidRPr="00007962">
        <w:t>la admisión de</w:t>
      </w:r>
      <w:r>
        <w:t xml:space="preserve"> </w:t>
      </w:r>
      <w:r w:rsidRPr="00007962">
        <w:t>aquellos asuntos de especial importancia desde la perspectiva de la vigencia de los</w:t>
      </w:r>
      <w:r>
        <w:t xml:space="preserve"> </w:t>
      </w:r>
      <w:r w:rsidRPr="00007962">
        <w:t xml:space="preserve">derechos fundamentales, permitiendo con ello que el </w:t>
      </w:r>
      <w:r>
        <w:t xml:space="preserve">TC </w:t>
      </w:r>
      <w:r w:rsidRPr="00007962">
        <w:t>cumpla mejor con su función de garante e intérprete de los derechos fundamentales.</w:t>
      </w:r>
      <w:r>
        <w:t xml:space="preserve"> </w:t>
      </w:r>
      <w:r w:rsidRPr="00007962">
        <w:t>Así, por ejemplo, se ha propuesto por algún sector de la doctrina que aquellas</w:t>
      </w:r>
      <w:r>
        <w:t xml:space="preserve"> </w:t>
      </w:r>
      <w:r w:rsidRPr="00007962">
        <w:t>violaciones de derechos de especial gravedad que no tengan encaje en alguno</w:t>
      </w:r>
      <w:r>
        <w:t xml:space="preserve"> </w:t>
      </w:r>
      <w:r w:rsidRPr="00007962">
        <w:t>de los supuestos anteriores se enmarquen en éste de forma que puedan repararse</w:t>
      </w:r>
      <w:r>
        <w:t xml:space="preserve"> </w:t>
      </w:r>
      <w:r w:rsidRPr="00007962">
        <w:t>esas lesiones como sucede en sistemas similares como el de la República Federal</w:t>
      </w:r>
      <w:r>
        <w:t xml:space="preserve"> </w:t>
      </w:r>
      <w:r w:rsidRPr="00007962">
        <w:t>de Alemania, aunque en el caso alemán exista una previsión explícita al</w:t>
      </w:r>
      <w:r>
        <w:t xml:space="preserve"> </w:t>
      </w:r>
      <w:r w:rsidRPr="00007962">
        <w:t>respecto</w:t>
      </w:r>
      <w:r>
        <w:rPr>
          <w:rStyle w:val="Refdenotaalpie"/>
        </w:rPr>
        <w:footnoteReference w:id="327"/>
      </w:r>
      <w:r w:rsidRPr="00007962">
        <w:t>.</w:t>
      </w:r>
    </w:p>
    <w:p w14:paraId="565E6427" w14:textId="77777777" w:rsidR="006F44C0" w:rsidRDefault="006F44C0" w:rsidP="002B2B12">
      <w:pPr>
        <w:spacing w:after="240"/>
      </w:pPr>
      <w:r>
        <w:t>Para el análisis de este último apartado, encuadraremos estos supuestos de alcance general en tres bloques más concretos. En primer lugar, aquellas sentencias referidas a la relevancia y general repercusión social o económica de la cuestión planteada en el recurso de amparo como causa de especial trascendencia constitucional; en segundo, aquellas que conozcan de determinados amparos electorales, en tercer lugar, las que resuelvan los denominados amparos parlamentarios.</w:t>
      </w:r>
    </w:p>
    <w:p w14:paraId="7E351118" w14:textId="77777777" w:rsidR="006F44C0" w:rsidRDefault="006F44C0" w:rsidP="002B2B12">
      <w:pPr>
        <w:spacing w:after="240"/>
      </w:pPr>
      <w:r>
        <w:t>Debemos entender, no obstante, que pueden existir causas de índole objetivo o causas en las que la especial trascendencia constitucional del recurso no pueda encuadrarse específicamente en alguno de los supuestos anteriores.</w:t>
      </w:r>
    </w:p>
    <w:p w14:paraId="54DDB942" w14:textId="24EE4004" w:rsidR="006F44C0" w:rsidRDefault="006F44C0" w:rsidP="002B2B12">
      <w:pPr>
        <w:spacing w:after="240"/>
      </w:pPr>
      <w:r>
        <w:t xml:space="preserve">Sin embargo, lo que siempre debemos tener en cuenta es que sea cual sea esa apreciación, la especial trascendencia constitucional como dimensión objetiva del recurso de amparo siempre debe darse. Si es cierto que, especialmente dentro de este último supuesto encontraremos casos de especial complejidad debido a la naturaleza de los propios amparos. Tal es el caso de los amparos parlamentarios, en los que no se establece una vía </w:t>
      </w:r>
      <w:r>
        <w:lastRenderedPageBreak/>
        <w:t xml:space="preserve">judicial previa, sino que el órgano jurisdiccional que conocerá de los mismos con exclusividad será el Tribunal Constitucional. Mayores problemas presentan los amparos electorales puesto que, en algunos casos, el TC no entrará a realizar una interpretación de los derechos fundamentales o una interpretación </w:t>
      </w:r>
      <w:proofErr w:type="spellStart"/>
      <w:r>
        <w:rPr>
          <w:i/>
        </w:rPr>
        <w:t>secundum</w:t>
      </w:r>
      <w:proofErr w:type="spellEnd"/>
      <w:r>
        <w:rPr>
          <w:i/>
        </w:rPr>
        <w:t xml:space="preserve"> </w:t>
      </w:r>
      <w:proofErr w:type="spellStart"/>
      <w:r>
        <w:rPr>
          <w:i/>
        </w:rPr>
        <w:t>constitutionem</w:t>
      </w:r>
      <w:proofErr w:type="spellEnd"/>
      <w:r>
        <w:t xml:space="preserve"> de la legislación electoral, sino que supondrá una revisión de la previa actuación judicial. Ve</w:t>
      </w:r>
      <w:r w:rsidR="00151DD2">
        <w:t>a</w:t>
      </w:r>
      <w:r>
        <w:t>mos estos casos a continuación de manera individual:</w:t>
      </w:r>
    </w:p>
    <w:p w14:paraId="5918F669" w14:textId="77777777" w:rsidR="006F44C0" w:rsidRDefault="006F44C0" w:rsidP="001A4310">
      <w:pPr>
        <w:pStyle w:val="Ttulo4"/>
        <w:numPr>
          <w:ilvl w:val="0"/>
          <w:numId w:val="38"/>
        </w:numPr>
      </w:pPr>
      <w:bookmarkStart w:id="749" w:name="_Toc43034514"/>
      <w:bookmarkStart w:id="750" w:name="_Toc45731815"/>
      <w:bookmarkStart w:id="751" w:name="_Toc49866597"/>
      <w:r>
        <w:t>La relevancia y general repercusión social o económica de la cuestión planteada en el recurso de amparo como causa de especial trascendencia constitucional</w:t>
      </w:r>
      <w:bookmarkEnd w:id="749"/>
      <w:bookmarkEnd w:id="750"/>
      <w:bookmarkEnd w:id="751"/>
    </w:p>
    <w:p w14:paraId="2DB20764" w14:textId="77777777" w:rsidR="006F44C0" w:rsidRDefault="006F44C0" w:rsidP="002B2B12">
      <w:pPr>
        <w:spacing w:after="240"/>
      </w:pPr>
      <w:r>
        <w:t xml:space="preserve">Atendiendo a lo establecido por el TC en la STC 155/2007, podría entenderse que la cuestión planteada en el recurso de amparo tiene una relevante repercusión social o económica si la resolución del recurso afecta a muchas personas, bien directamente, porque la sentencia que recaiga incide en sus derechos o intereses legítimos, o bien indirectamente porque al resolver ese recurso se esté estableciendo la doctrina que permita resolver otros muchos casos que se encuentren en la misma situación. </w:t>
      </w:r>
    </w:p>
    <w:p w14:paraId="21D25ABA" w14:textId="77777777" w:rsidR="006F44C0" w:rsidRDefault="006F44C0" w:rsidP="002B2B12">
      <w:pPr>
        <w:spacing w:after="240"/>
      </w:pPr>
      <w:r>
        <w:t xml:space="preserve">Un caso en que el Tribunal ha apreciado que el recurso tenía especial trascendencia constitucional por este motivo fue el resuelto por la STC 183/2011, de 21 de noviembre. El recurso, planteado por el Consejo General de Colegios Oficiales de Aparejadores y Arquitectos Técnicos, alega la vulneración de su Derecho a la tutela judicial efectiva en un procedimiento contencioso administrativo que dictamina que la denominación de «graduado o graduada en ingeniería de edificación» induce a confusión y vulnera la normativa existente, al no existir una profesión regulada de «ingeniero de edificación», sino la de «arquitecto técnico». Aunque el Tribunal deniega el amparo, sí reconoce la concurrencia del supuesto de especial trascendencia por las repercusiones del mismo. </w:t>
      </w:r>
    </w:p>
    <w:p w14:paraId="1DEF4B6B" w14:textId="77777777" w:rsidR="006F44C0" w:rsidRDefault="006F44C0" w:rsidP="002B2B12">
      <w:pPr>
        <w:spacing w:after="240"/>
        <w:rPr>
          <w:i/>
        </w:rPr>
      </w:pPr>
      <w:r>
        <w:t xml:space="preserve"> </w:t>
      </w:r>
      <w:r>
        <w:tab/>
      </w:r>
      <w:r>
        <w:rPr>
          <w:i/>
        </w:rPr>
        <w:t xml:space="preserve">“En la fase de admisión del recurso de amparo este Tribunal constató, de acuerdo con lo exigido por el artículo 50.1 LOTC (RCL 1979, 2383) , al tratarse de una demanda de amparo interpuesta tras la entrada en vigor de la Ley Orgánica 6/2007, de 24 de mayo (RCL 2007, 1000) , que concurría la especial trascendencia constitucional exigida para la admisión a trámite del presente recurso, sin que encontremos razones para modificar esa inicial apreciación en el momento procesal en que ahora nos hallamos. En efecto, es a este Tribunal a quien corresponde apreciar si el contenido del recurso justifica una </w:t>
      </w:r>
      <w:r>
        <w:rPr>
          <w:i/>
        </w:rPr>
        <w:lastRenderedPageBreak/>
        <w:t>decisión sobre el fondo en razón de su especial trascendencia constitucional, atendiendo, conforme al artículo 50.1 b) LOTC, a «su importancia para la interpretación de la Constitución, para su aplicación o para su general eficacia y para la determinación del contenido y alcance de los derechos fundamentales», criterios que ha desarrollado la STC 155/2009, de 25 de junio (RTC 2009, 155) , F. 2, y entre los que se encuentra el supuesto reseñado en la letra g), esto es «cuando el asunto suscitado, sin estar incluido en ninguno de los supuestos anteriores, trascienda del caso concreto porque plantee una cuestión jurídica de relevante y general repercusión social o económica o tenga unas consecuencias políticas generales», supuesto que podía apreciarse en el presente caso, al impugnarse una sentencia anulatoria de disposiciones generales en materia de titulación universitaria habilitante para el ejercicio de una profesión regulada, con eventual incidencia en el desarrollo del objetivo del espacio europeo de educación superior de adoptar un sistema de títulos académicos fácilmente comprensibles y comparables en los Estados miembros de la Unión Europea.”</w:t>
      </w:r>
    </w:p>
    <w:p w14:paraId="002D040B" w14:textId="77777777" w:rsidR="006F44C0" w:rsidRDefault="006F44C0" w:rsidP="002B2B12">
      <w:pPr>
        <w:spacing w:after="240"/>
      </w:pPr>
      <w:r>
        <w:t>También se ha considerado una cuestión jurídica de relevante y general repercusión social la constitución de la relación jurídico procesal en el procedimiento de ejecución hipotecaria (STC 79/2013, de 8 de abril, FJ 2), o el indebido emplazamiento en un juicio de desahucio (STC 181/2015, de 7 de septiembre).</w:t>
      </w:r>
    </w:p>
    <w:p w14:paraId="5A00C800" w14:textId="77777777" w:rsidR="006F44C0" w:rsidRDefault="006F44C0" w:rsidP="002B2B12">
      <w:pPr>
        <w:spacing w:after="240"/>
      </w:pPr>
      <w:r>
        <w:t xml:space="preserve">Otro ejemplo sería el caso en el que el Tribunal apreció que el recurso de amparo planteaba una cuestión de gran repercusión social y por este motivo consideró que tenía especial trascendencia constitucional fue el promovido por la Asociación de Víctimas de la Talidomida contra la Sentencia que consideró prescrita la acción por la que los perjudicados por este fármaco exigían ser indemnizados por las secuelas que les había producido. Este recurso de amparo fue inadmitido por el ATC 148/2016, de 22 de julio, por apreciar que no existían las vulneraciones de derechos fundamentales denunciadas. Sin embargo, el TC sí que consideró que la cuestión planteada en el recurso tenía especial trascendencia constitucional, lo que justificaba el pronunciamiento por Auto. </w:t>
      </w:r>
    </w:p>
    <w:p w14:paraId="6B059612" w14:textId="77777777" w:rsidR="006F44C0" w:rsidRDefault="006F44C0" w:rsidP="002B2B12">
      <w:pPr>
        <w:spacing w:after="240"/>
      </w:pPr>
      <w:r>
        <w:t xml:space="preserve">Además de en estos casos en los que directa o indirectamente el recurso afecta a muchas personas también podrían incluirse dentro de este supuesto de especial trascendencia constitucional aquellos en los que la cuestión planteada en el recurso de amparo tenga una “general y repercusión social” por ser una cuestión de gran relevancia para la sociedad. </w:t>
      </w:r>
    </w:p>
    <w:p w14:paraId="505B123F" w14:textId="77777777" w:rsidR="006F44C0" w:rsidRDefault="006F44C0" w:rsidP="002B2B12">
      <w:pPr>
        <w:spacing w:after="240"/>
      </w:pPr>
      <w:r>
        <w:lastRenderedPageBreak/>
        <w:t xml:space="preserve">En opinión de BELADÍEZ ROJO, con la que coincidimos, </w:t>
      </w:r>
      <w:r>
        <w:rPr>
          <w:i/>
        </w:rPr>
        <w:t>“podría considerarse que un recurso de amparo plantea una cuestión de gran relevancia social cuando se denuncian actuaciones de los poderes públicos que han sido adoptadas con claro menosprecio a los derechos fundamentales, lo que ocurriría cuando actuaran prescindiendo total y absolutamente de los procedimientos establecidos en garantía de estos derechos, como ocurre, por ejemplo, en el caso de las torturas, detenciones manifiestamente ilegales ... En tales supuestos la admisión del amparo tendría especial trascendencia constitucional al tener como objeto condenar este tipo de comportamientos que son incompatibles con el Estado de Derecho”</w:t>
      </w:r>
      <w:r>
        <w:t>.</w:t>
      </w:r>
      <w:r>
        <w:rPr>
          <w:rStyle w:val="Refdenotaalpie"/>
        </w:rPr>
        <w:footnoteReference w:id="328"/>
      </w:r>
    </w:p>
    <w:p w14:paraId="50D7CF55" w14:textId="77777777" w:rsidR="006F44C0" w:rsidRPr="00BB3E61" w:rsidRDefault="006F44C0" w:rsidP="002B2B12">
      <w:pPr>
        <w:pStyle w:val="Ttulo4"/>
      </w:pPr>
      <w:bookmarkStart w:id="752" w:name="_Toc43034515"/>
      <w:bookmarkStart w:id="753" w:name="_Toc43119859"/>
      <w:bookmarkStart w:id="754" w:name="_Toc43120947"/>
      <w:bookmarkStart w:id="755" w:name="_Toc45731816"/>
      <w:bookmarkStart w:id="756" w:name="_Toc49866598"/>
      <w:r>
        <w:t>Amparos e</w:t>
      </w:r>
      <w:r w:rsidRPr="00BB3E61">
        <w:t>lectorales</w:t>
      </w:r>
      <w:bookmarkEnd w:id="752"/>
      <w:bookmarkEnd w:id="753"/>
      <w:bookmarkEnd w:id="754"/>
      <w:bookmarkEnd w:id="755"/>
      <w:bookmarkEnd w:id="756"/>
    </w:p>
    <w:p w14:paraId="0239BE8F" w14:textId="77777777" w:rsidR="006F44C0" w:rsidRDefault="006F44C0" w:rsidP="002B2B12">
      <w:pPr>
        <w:spacing w:after="240"/>
      </w:pPr>
      <w:r>
        <w:t>Debemos tener en cuenta que en este tipo de recursos, al estar afectado el ejercicio del derecho a acceder o ejercer cargos públicos de los recurrentes y el derecho de los ciudadanos a participar en los asuntos públicos mediante sus representantes (art. 23.1 CE), la cuestión planteada en los mismos tiene siempre trascendencia general, pues, además de tutelar los derechos del recurrente (del parlamentario, del candidato o del cargo electo) se tutela también el derecho que tienen todos los ciudadanos a participar en los asuntos públicos a través de sus representantes; de ahí su trascendencia objetiva.</w:t>
      </w:r>
    </w:p>
    <w:p w14:paraId="7C501CC8" w14:textId="77777777" w:rsidR="006F44C0" w:rsidRDefault="006F44C0" w:rsidP="002B2B12">
      <w:pPr>
        <w:spacing w:after="240"/>
      </w:pPr>
      <w:r>
        <w:t>Los amparos electorales están previstos en la LO 5/1985, de 19 de junio, de Régimen Electoral General (en adelante LOREG) a su vez tienen dos modalidades: el recurso de amparo contra los acuerdos de proclamación de candidaturas y el recurso de amparo contra la proclamación de candidatos electos. Ambos pueden ser considerados amparos del artículo 43 LOTC por proceder de a actos de la administración electoral.</w:t>
      </w:r>
    </w:p>
    <w:p w14:paraId="286D24A3" w14:textId="77777777" w:rsidR="006F44C0" w:rsidRDefault="006F44C0" w:rsidP="001A4310">
      <w:pPr>
        <w:pStyle w:val="Prrafodelista"/>
        <w:numPr>
          <w:ilvl w:val="0"/>
          <w:numId w:val="23"/>
        </w:numPr>
      </w:pPr>
      <w:r>
        <w:t xml:space="preserve">El artículo 49.1 LOREG establece que, tras la proclamación de candidaturas, cualquier candidato excluido y los representantes de las candidaturas proclamadas o cuya proclamación hubiera sido denegada disponen de un plazo de dos días para interponer un recurso ante la jurisdicción contencioso-administrativa contra los acuerdos de proclamación de las Juntas Electorales. Contra esta resolución únicamente cabe interponer recurso de amparo en el plazo de dos días a partir de la notificación de la resolución recaída en el proceso ante la jurisdicción </w:t>
      </w:r>
      <w:r>
        <w:lastRenderedPageBreak/>
        <w:t>contencioso-administrativa. El Tribunal Constitucional tiene tres días para resolver (arts. 49.3 y 49.4 LOREG).</w:t>
      </w:r>
    </w:p>
    <w:p w14:paraId="7E23550E" w14:textId="77777777" w:rsidR="006F44C0" w:rsidRDefault="006F44C0" w:rsidP="002B2B12">
      <w:pPr>
        <w:spacing w:after="240"/>
        <w:ind w:left="708"/>
      </w:pPr>
      <w:r>
        <w:t xml:space="preserve">Debido a que en la LOREG no se contienen más especificaciones al respecto de su tramitación, el TC dictó el Acuerdo del Pleno de 20 de enero de 2000, que sustituyó a otro anterior, por el que se aprueban normas sobre tramitación de los recursos de amparo a que se refieren </w:t>
      </w:r>
      <w:proofErr w:type="spellStart"/>
      <w:r>
        <w:t>la</w:t>
      </w:r>
      <w:proofErr w:type="spellEnd"/>
      <w:r>
        <w:t xml:space="preserve"> LO 5/1985, de 19 de junio, de Régimen Electoral General.</w:t>
      </w:r>
    </w:p>
    <w:p w14:paraId="2C83041B" w14:textId="77777777" w:rsidR="006F44C0" w:rsidRDefault="006F44C0" w:rsidP="001A4310">
      <w:pPr>
        <w:pStyle w:val="Prrafodelista"/>
        <w:numPr>
          <w:ilvl w:val="0"/>
          <w:numId w:val="23"/>
        </w:numPr>
      </w:pPr>
      <w:r>
        <w:t xml:space="preserve">Por su parte, el artículo 114 LOREG prevé la posibilidad de interponer un recurso de amparo contra la sentencia que pone fin al procedimiento contencioso-administrativo iniciado contra los Acuerdos de las Juntas Electorales de proclamación de candidatos electos. La legitimación para interponer este recurso contencioso-electoral y, en consecuencia, para acudir luego en amparo ante el TC se establece en el artículo 110 LOREG: </w:t>
      </w:r>
      <w:r>
        <w:rPr>
          <w:i/>
        </w:rPr>
        <w:t>“los candidatos proclamados o no proclamados, los representantes de las candidaturas concurrentes en la circunscripción y los partidos políticos, asociaciones, federaciones y coaliciones que hayan presentado candidaturas en la circunscripción”.</w:t>
      </w:r>
    </w:p>
    <w:p w14:paraId="394149C3" w14:textId="77777777" w:rsidR="006F44C0" w:rsidRDefault="006F44C0" w:rsidP="002B2B12">
      <w:pPr>
        <w:spacing w:after="240"/>
        <w:ind w:left="708"/>
      </w:pPr>
      <w:r>
        <w:t>El plazo para interponer el amparo es de tres días desde la notificación de la resolución que pone fin al proceso contencioso-administrativo. El TC tiene un plazo de quince días para resolver sobre el mismo. Como sucede con el recurso de amparo contra los acuerdos de proclamación de candidaturas, el procedimiento ha sido desarrollado por el propio TC en el Acuerdo del Pleno de 20 de enero de 2000.</w:t>
      </w:r>
    </w:p>
    <w:p w14:paraId="18B7A265" w14:textId="77777777" w:rsidR="006F44C0" w:rsidRDefault="006F44C0" w:rsidP="002B2B12">
      <w:pPr>
        <w:spacing w:after="240"/>
      </w:pPr>
      <w:r>
        <w:t>Algunos ejemplos sobre este punto respecto al grupo a) pueden ser:</w:t>
      </w:r>
    </w:p>
    <w:p w14:paraId="57DDCD63" w14:textId="77777777" w:rsidR="006F44C0" w:rsidRDefault="006F44C0" w:rsidP="002B2B12">
      <w:pPr>
        <w:spacing w:after="240"/>
      </w:pPr>
      <w:r>
        <w:t>STC 162 a 172/2011, de 3 de noviembre.</w:t>
      </w:r>
    </w:p>
    <w:p w14:paraId="731D40DA" w14:textId="77777777" w:rsidR="006F44C0" w:rsidRDefault="006F44C0" w:rsidP="002B2B12">
      <w:pPr>
        <w:spacing w:after="240"/>
      </w:pPr>
      <w:r>
        <w:t xml:space="preserve">Recursos en relación a la presentación de avales de candidaturas a Elecciones Generales (art. 169.3 LOREG). Se interpusieron multitud de recursos de amparo contra la inadmisión de candidaturas por falta de cumplimiento de la nueva regulación. El TC admitió en estas sentencias el derecho de los recurrentes a acceder en condiciones de igualdad a las funciones y cargos públicos (art. 23.2 CE). Declaró la nulidad de los acuerdos de las Juntas Electorales Provinciales y retrotrajo las actuaciones para que las </w:t>
      </w:r>
      <w:r>
        <w:lastRenderedPageBreak/>
        <w:t>Juntas admitiesen la subsanación mediante la aportación de avales y previo el examen de los mismos, decida lo que corresponda sobre la proclamación de las candidaturas.</w:t>
      </w:r>
    </w:p>
    <w:p w14:paraId="444DEEFF" w14:textId="77777777" w:rsidR="006F44C0" w:rsidRDefault="006F44C0" w:rsidP="002B2B12">
      <w:pPr>
        <w:spacing w:after="240"/>
      </w:pPr>
      <w:r>
        <w:t>STC 147/2013, de 6 de agosto.</w:t>
      </w:r>
    </w:p>
    <w:p w14:paraId="7CD67397" w14:textId="77777777" w:rsidR="006F44C0" w:rsidRDefault="006F44C0" w:rsidP="002B2B12">
      <w:pPr>
        <w:spacing w:after="240"/>
      </w:pPr>
      <w:r>
        <w:t xml:space="preserve">Recurso sobre la vulneración de los derechos a acceder en condiciones de igualdad a los cargos y funciones públicas (art. 23.2 CE), así como la vulneración de los derechos de participación (art. 23.1 CE), al no haberse realizado una correcta interpretación de los requisitos establecidos en la regulación electoral (arts.196 y 198 LOREG). El TC determinó que no es posible introducir un candidato que no formó parte de las listas electorales y cuya elección no había sido sometida a sufragio por parte de los electores. </w:t>
      </w:r>
    </w:p>
    <w:p w14:paraId="4A1D6895" w14:textId="77777777" w:rsidR="006F44C0" w:rsidRDefault="006F44C0" w:rsidP="002B2B12">
      <w:pPr>
        <w:spacing w:after="240"/>
      </w:pPr>
      <w:r>
        <w:t>Algunos ejemplos sobre este punto respecto al grupo b) pueden ser:</w:t>
      </w:r>
    </w:p>
    <w:p w14:paraId="6541F85D" w14:textId="77777777" w:rsidR="006F44C0" w:rsidRDefault="006F44C0" w:rsidP="002B2B12">
      <w:pPr>
        <w:spacing w:after="240"/>
      </w:pPr>
      <w:r>
        <w:t>STC 124/2011, de 14 de julio.</w:t>
      </w:r>
    </w:p>
    <w:p w14:paraId="2EE1F8A1" w14:textId="77777777" w:rsidR="006F44C0" w:rsidRDefault="006F44C0" w:rsidP="002B2B12">
      <w:pPr>
        <w:spacing w:after="240"/>
      </w:pPr>
      <w:r>
        <w:t xml:space="preserve">Este recurso se planteó sobre vulneración del derecho de participación consagrado en el art.23.1 CE, al interpretarse de manera rigurosa la regulación contenida en el art. 96.2 LOREG, ya que la señal o aspa en la papeleta no altera, daña o estropea el sentido del voto, con lo que no debería procederse a su invalidación, </w:t>
      </w:r>
    </w:p>
    <w:p w14:paraId="2E0C0118" w14:textId="77777777" w:rsidR="006F44C0" w:rsidRDefault="006F44C0" w:rsidP="002B2B12">
      <w:pPr>
        <w:spacing w:after="240"/>
      </w:pPr>
      <w:r>
        <w:t xml:space="preserve">STC 105/2012, de 11 de mayo de 2012. </w:t>
      </w:r>
    </w:p>
    <w:p w14:paraId="1D92CFEF" w14:textId="77777777" w:rsidR="006F44C0" w:rsidRDefault="006F44C0" w:rsidP="002B2B12">
      <w:pPr>
        <w:spacing w:after="240"/>
      </w:pPr>
      <w:r>
        <w:t xml:space="preserve">Este recurso trataba acerca de la declaración de nulidad de 332 votos de electores inscritos en el censo de electores residentes ausentes que </w:t>
      </w:r>
      <w:proofErr w:type="spellStart"/>
      <w:r>
        <w:t>remitieron</w:t>
      </w:r>
      <w:proofErr w:type="spellEnd"/>
      <w:r>
        <w:t xml:space="preserve"> su voto directamente a la Junta Electoral Provincial y no a través de la correspondiente oficina consular, tal y como establece la nueva redacción dada al art. 75.4 LOREG.</w:t>
      </w:r>
    </w:p>
    <w:p w14:paraId="243FD1FA" w14:textId="77777777" w:rsidR="006F44C0" w:rsidRPr="00BB3E61" w:rsidRDefault="006F44C0" w:rsidP="002B2B12">
      <w:pPr>
        <w:pStyle w:val="Ttulo4"/>
      </w:pPr>
      <w:bookmarkStart w:id="757" w:name="_Toc43034516"/>
      <w:bookmarkStart w:id="758" w:name="_Toc43119860"/>
      <w:bookmarkStart w:id="759" w:name="_Toc43120948"/>
      <w:bookmarkStart w:id="760" w:name="_Toc45731817"/>
      <w:bookmarkStart w:id="761" w:name="_Toc49866599"/>
      <w:r w:rsidRPr="00BB3E61">
        <w:t>Amparos parlamentarios</w:t>
      </w:r>
      <w:bookmarkEnd w:id="757"/>
      <w:bookmarkEnd w:id="758"/>
      <w:bookmarkEnd w:id="759"/>
      <w:bookmarkEnd w:id="760"/>
      <w:bookmarkEnd w:id="761"/>
    </w:p>
    <w:p w14:paraId="3F67289B" w14:textId="77777777" w:rsidR="006F44C0" w:rsidRDefault="006F44C0" w:rsidP="002B2B12">
      <w:pPr>
        <w:spacing w:after="240"/>
        <w:rPr>
          <w:color w:val="000000" w:themeColor="text1"/>
        </w:rPr>
      </w:pPr>
      <w:r>
        <w:rPr>
          <w:color w:val="000000" w:themeColor="text1"/>
        </w:rPr>
        <w:t xml:space="preserve">La particularidad de este tipo de recursos radica en el hecho de que no existe vía judicial previa que permita la tutela de los derechos que se estiman vulnerados. Es por este motivo que la tutela jurisdiccional de los derechos fundamentales de los parlamentarios únicamente está garantizada por el recurso de amparo constitucional. Teniendo esto en cuenta, si este recurso solo procediera en los casos en los que las cuestiones planteadas en los mismos tuvieran especial trascendencia constitucional, se estaría dando una tremenda indefensión ya que en aquellos supuestos en los que no concurriera esta </w:t>
      </w:r>
      <w:r>
        <w:rPr>
          <w:color w:val="000000" w:themeColor="text1"/>
        </w:rPr>
        <w:lastRenderedPageBreak/>
        <w:t xml:space="preserve">circunstancia (que no serían pocos) los parlamentarios no tendrían un recurso jurisdiccional que le garantizase la tutela de los derechos fundamentales como exige el art. 53.2 CE. </w:t>
      </w:r>
    </w:p>
    <w:p w14:paraId="738D9267" w14:textId="77777777" w:rsidR="006F44C0" w:rsidRDefault="006F44C0" w:rsidP="002B2B12">
      <w:pPr>
        <w:spacing w:after="240"/>
        <w:rPr>
          <w:color w:val="000000" w:themeColor="text1"/>
        </w:rPr>
      </w:pPr>
      <w:r>
        <w:rPr>
          <w:color w:val="000000" w:themeColor="text1"/>
        </w:rPr>
        <w:t xml:space="preserve">Esta circunstancia no ha sido inadvertida por el TC, ya que en varias sentencias ha afirmado que </w:t>
      </w:r>
      <w:r>
        <w:rPr>
          <w:i/>
          <w:color w:val="000000" w:themeColor="text1"/>
        </w:rPr>
        <w:t xml:space="preserve">“los amparos parlamentarios, ex art. 42 LOTC, tienen una particularidad, respecto del resto de los recursos de amparo, en cuanto al marco de garantías del que disponen los eventuales recurrentes para invocar sus derechos fundamentales, cual es la ausencia de una vía jurisdiccional previa al amparo constitucional en la que postular la reparación de los derechos vulnerados y que se retrotrae, en origen, a la doctrina de los interna </w:t>
      </w:r>
      <w:proofErr w:type="spellStart"/>
      <w:r>
        <w:rPr>
          <w:i/>
          <w:color w:val="000000" w:themeColor="text1"/>
        </w:rPr>
        <w:t>corporis</w:t>
      </w:r>
      <w:proofErr w:type="spellEnd"/>
      <w:r>
        <w:rPr>
          <w:i/>
          <w:color w:val="000000" w:themeColor="text1"/>
        </w:rPr>
        <w:t xml:space="preserve"> acta, según la cual los actos de calificación y admisión de iniciativas parlamentarias no son objeto de fiscalización por los tribunales ordinarios”</w:t>
      </w:r>
      <w:r>
        <w:rPr>
          <w:color w:val="000000" w:themeColor="text1"/>
        </w:rPr>
        <w:t>.</w:t>
      </w:r>
      <w:r>
        <w:rPr>
          <w:rStyle w:val="Refdenotaalpie"/>
          <w:color w:val="000000" w:themeColor="text1"/>
        </w:rPr>
        <w:footnoteReference w:id="329"/>
      </w:r>
    </w:p>
    <w:p w14:paraId="1936804B" w14:textId="77777777" w:rsidR="006F44C0" w:rsidRDefault="006F44C0" w:rsidP="002B2B12">
      <w:pPr>
        <w:spacing w:after="240"/>
        <w:rPr>
          <w:color w:val="000000" w:themeColor="text1"/>
        </w:rPr>
      </w:pPr>
      <w:r>
        <w:rPr>
          <w:color w:val="000000" w:themeColor="text1"/>
        </w:rPr>
        <w:t>Algunos ejemplos de este tipo de recursos serían:</w:t>
      </w:r>
    </w:p>
    <w:p w14:paraId="5AE46EEC" w14:textId="77777777" w:rsidR="006F44C0" w:rsidRDefault="006F44C0" w:rsidP="002B2B12">
      <w:pPr>
        <w:spacing w:after="240"/>
        <w:rPr>
          <w:color w:val="000000" w:themeColor="text1"/>
        </w:rPr>
      </w:pPr>
      <w:r>
        <w:rPr>
          <w:color w:val="000000" w:themeColor="text1"/>
        </w:rPr>
        <w:t>STC 44/2010, de 26 de julio, y STC 191/2013, de 18 de noviembre.</w:t>
      </w:r>
    </w:p>
    <w:p w14:paraId="08803DFD" w14:textId="77777777" w:rsidR="006F44C0" w:rsidRDefault="006F44C0" w:rsidP="002B2B12">
      <w:pPr>
        <w:spacing w:after="240"/>
        <w:rPr>
          <w:color w:val="000000" w:themeColor="text1"/>
        </w:rPr>
      </w:pPr>
      <w:r>
        <w:rPr>
          <w:color w:val="000000" w:themeColor="text1"/>
        </w:rPr>
        <w:t xml:space="preserve">Recurso de amparo en relación a varias demandas interpuestas por varios diputados de las Cortes Valencianas contra una serie de resoluciones dictadas por la Mesa de dicho Parlamento, que inadmitían varias preguntas dirigidas al Gobierno de dicha Comunidad Autónoma y por no admitirse por la Mesa las solicitudes de comparecencia en la Cámara de determinadas personas. Se alegó que es el Tribunal el único órgano jurisdiccional que puede entrar a conocer de las concretas vulneraciones de los derechos fundamentales producidas en sede parlamentaria; siendo esta la argumentación dada para justificar la especial trascendencia constitucional del recurso. </w:t>
      </w:r>
    </w:p>
    <w:p w14:paraId="3AD6B5C1" w14:textId="77777777" w:rsidR="006F44C0" w:rsidRDefault="006F44C0" w:rsidP="002B2B12">
      <w:pPr>
        <w:spacing w:after="240"/>
        <w:rPr>
          <w:color w:val="000000" w:themeColor="text1"/>
        </w:rPr>
      </w:pPr>
      <w:r>
        <w:rPr>
          <w:color w:val="000000" w:themeColor="text1"/>
        </w:rPr>
        <w:t>STC 200/2014, de 15 de diciembre; STC 201/2014, de 15 de diciembre; STC 202/2014, de 15 de diciembre; STC 1/2015, de 19 de enero y STC 23/2015, de 16 de febrero.</w:t>
      </w:r>
    </w:p>
    <w:p w14:paraId="5A077259" w14:textId="77777777" w:rsidR="006F44C0" w:rsidRDefault="006F44C0" w:rsidP="002B2B12">
      <w:pPr>
        <w:spacing w:after="240"/>
        <w:rPr>
          <w:color w:val="000000" w:themeColor="text1"/>
        </w:rPr>
      </w:pPr>
      <w:r>
        <w:rPr>
          <w:color w:val="000000" w:themeColor="text1"/>
        </w:rPr>
        <w:t xml:space="preserve">Todos los recursos de amparo fueron planteados por el entonces grupo parlamentario (UPyD) de la Asamblea de Madrid. En todas las demandas de amparo, se solicitó lo la tutela del derecho a acceder en condiciones de igualdad a las funciones y cargos públicos (art. 23.2 CE), en relación con el derecho de los ciudadanos a participar en los asuntos </w:t>
      </w:r>
      <w:r>
        <w:rPr>
          <w:color w:val="000000" w:themeColor="text1"/>
        </w:rPr>
        <w:lastRenderedPageBreak/>
        <w:t>públicos a través de sus representantes (art. 23.1 CE); al haberse inadmitido de manera sistemática multitud de iniciativas parlamentarias como son preguntas, interpelaciones, proposiciones no de ley, etc.</w:t>
      </w:r>
    </w:p>
    <w:p w14:paraId="6ABA93E0" w14:textId="77777777" w:rsidR="006F44C0" w:rsidRDefault="006F44C0" w:rsidP="002B2B12">
      <w:pPr>
        <w:spacing w:after="240"/>
        <w:rPr>
          <w:color w:val="000000" w:themeColor="text1"/>
        </w:rPr>
      </w:pPr>
      <w:r>
        <w:rPr>
          <w:color w:val="000000" w:themeColor="text1"/>
        </w:rPr>
        <w:t xml:space="preserve">En relación con la especial trascendencia constitucional de los recursos de amparo electoral y parlamentario la primera cuestión que deberíamos analizar es si el carácter electoral o parlamentario de estos recursos determinaría que su resolución tenga siempre “consecuencias políticas generales” o si, por el contrario, tal consecuencia no se deduciría necesariamente de su naturaleza parlamentaria o electoral. </w:t>
      </w:r>
    </w:p>
    <w:p w14:paraId="12C7E686" w14:textId="77777777" w:rsidR="006F44C0" w:rsidRDefault="006F44C0" w:rsidP="002B2B12">
      <w:pPr>
        <w:spacing w:after="240"/>
        <w:rPr>
          <w:color w:val="000000" w:themeColor="text1"/>
        </w:rPr>
      </w:pPr>
      <w:r>
        <w:rPr>
          <w:color w:val="000000" w:themeColor="text1"/>
        </w:rPr>
        <w:t>Si miramos lo establecido por la STC 155/2009, esta sostuvo que estas consecuencias políticas generales pueden tenerlas “determinados” recursos de amparo electorales o parlamentarios, de esta afirmación, en nuestra opinión se podría deducir que estos recursos no tienen en todo caso especial trascendencia constitucional.</w:t>
      </w:r>
    </w:p>
    <w:p w14:paraId="19E3569C" w14:textId="77777777" w:rsidR="006F44C0" w:rsidRDefault="006F44C0" w:rsidP="002B2B12">
      <w:pPr>
        <w:spacing w:after="240"/>
      </w:pPr>
      <w:r>
        <w:t xml:space="preserve">PÉREZ TREMPS afirmó al respecto que, si bien es cierto que podría apreciarse de forma automática “la especial trascendencia constitucional”, sí que existe </w:t>
      </w:r>
      <w:r>
        <w:rPr>
          <w:i/>
        </w:rPr>
        <w:t>“una especial predisposición”</w:t>
      </w:r>
      <w:r>
        <w:t xml:space="preserve"> a apreciar este requisito, ya que estos recursos tienen como objeto la corrección y transparencia de las elecciones y sirven </w:t>
      </w:r>
      <w:r>
        <w:rPr>
          <w:i/>
        </w:rPr>
        <w:t>“para constituir los órganos de representación, elemento central del sistema democrático y constitucional”.</w:t>
      </w:r>
      <w:r>
        <w:t xml:space="preserve"> No obstante, advierte que esta consideración no exime de la obligación de justificar en qué reside la especial transcendencia constitucional del caso concreto.</w:t>
      </w:r>
      <w:r>
        <w:rPr>
          <w:rStyle w:val="Refdenotaalpie"/>
        </w:rPr>
        <w:footnoteReference w:id="330"/>
      </w:r>
    </w:p>
    <w:p w14:paraId="417E4D6D" w14:textId="77777777" w:rsidR="006F44C0" w:rsidRDefault="006F44C0" w:rsidP="002B2B12">
      <w:pPr>
        <w:spacing w:after="240"/>
        <w:rPr>
          <w:color w:val="000000" w:themeColor="text1"/>
        </w:rPr>
      </w:pPr>
      <w:r>
        <w:rPr>
          <w:color w:val="000000" w:themeColor="text1"/>
        </w:rPr>
        <w:t xml:space="preserve">En este sentido se ha pronunciado también el ATC 50/2011, de 5 mayo, al afirmar que de la STC 155/2009 </w:t>
      </w:r>
      <w:r>
        <w:rPr>
          <w:i/>
          <w:color w:val="000000" w:themeColor="text1"/>
        </w:rPr>
        <w:t>“no puede deducirse […] que todo recurso de amparo en materia electoral justifique una decisión sobre el fondo en razón de su especial trascendencia constitucional”</w:t>
      </w:r>
      <w:r>
        <w:rPr>
          <w:color w:val="000000" w:themeColor="text1"/>
        </w:rPr>
        <w:t>.</w:t>
      </w:r>
    </w:p>
    <w:p w14:paraId="256D35A0" w14:textId="77777777" w:rsidR="006F44C0" w:rsidRDefault="006F44C0" w:rsidP="002B2B12">
      <w:pPr>
        <w:spacing w:after="240"/>
        <w:rPr>
          <w:color w:val="000000" w:themeColor="text1"/>
        </w:rPr>
      </w:pPr>
      <w:r>
        <w:rPr>
          <w:color w:val="000000" w:themeColor="text1"/>
        </w:rPr>
        <w:t xml:space="preserve">Por otra parte, sí que es cierto que existen sentencias de las que podría deducirse que los recursos de amparo de carácter electoral o parlamentario, dado el objeto de los mismos, tienen siempre consecuencias políticas generales y por este motivo tienen en todo caso especial trascendencia constitucional. Así parece afirmarlo el Tribunal Constitucional al sostener que este tipo de recursos se encuentran </w:t>
      </w:r>
      <w:r>
        <w:rPr>
          <w:i/>
          <w:color w:val="000000" w:themeColor="text1"/>
        </w:rPr>
        <w:t xml:space="preserve">“en una posición especial a la hora de determinar su dimensión objetiva respecto de la valoración de la especial trascendencia </w:t>
      </w:r>
      <w:r>
        <w:rPr>
          <w:i/>
          <w:color w:val="000000" w:themeColor="text1"/>
        </w:rPr>
        <w:lastRenderedPageBreak/>
        <w:t>constitucional […] dada la repercusión general que tiene el ejercicio de la función representativa y que excede del ámbito particular del parlamentario y del grupo en el que se integra”</w:t>
      </w:r>
      <w:r>
        <w:rPr>
          <w:color w:val="000000" w:themeColor="text1"/>
        </w:rPr>
        <w:t>.</w:t>
      </w:r>
      <w:r>
        <w:rPr>
          <w:rStyle w:val="Refdenotaalpie"/>
          <w:color w:val="000000" w:themeColor="text1"/>
        </w:rPr>
        <w:footnoteReference w:id="331"/>
      </w:r>
    </w:p>
    <w:p w14:paraId="69AF0B99" w14:textId="77777777" w:rsidR="006F44C0" w:rsidRPr="00151DD2" w:rsidRDefault="006F44C0" w:rsidP="00151DD2">
      <w:pPr>
        <w:pStyle w:val="texto"/>
        <w:ind w:firstLine="0"/>
        <w:rPr>
          <w:rFonts w:ascii="Times New Roman" w:hAnsi="Times New Roman"/>
        </w:rPr>
      </w:pPr>
      <w:r w:rsidRPr="00151DD2">
        <w:rPr>
          <w:rFonts w:ascii="Times New Roman" w:hAnsi="Times New Roman"/>
        </w:rPr>
        <w:t>En opinión de CABAÑAS GARCÍA, lo que sí parece quedar claro es que esta última cláusula del listado funciona en positivo y no en negativo. Es decir, no se utiliza como medio para excluir los supuestos que carezcan de especial trascendencia constitucional, sino para extenderla a otros casos que, no comprendidos en ninguno de los apartados anteriores del listado, pueden llegar a subsumirse en él</w:t>
      </w:r>
      <w:r w:rsidRPr="00151DD2">
        <w:rPr>
          <w:rStyle w:val="Refdenotaalpie"/>
          <w:rFonts w:ascii="Times New Roman" w:hAnsi="Times New Roman"/>
          <w:vertAlign w:val="baseline"/>
        </w:rPr>
        <w:footnoteReference w:id="332"/>
      </w:r>
      <w:r w:rsidRPr="00151DD2">
        <w:rPr>
          <w:rFonts w:ascii="Times New Roman" w:hAnsi="Times New Roman"/>
        </w:rPr>
        <w:t>.</w:t>
      </w:r>
    </w:p>
    <w:p w14:paraId="7B5CC991" w14:textId="77777777" w:rsidR="006F44C0" w:rsidRPr="00151DD2" w:rsidRDefault="006F44C0" w:rsidP="00151DD2">
      <w:pPr>
        <w:pStyle w:val="texto"/>
        <w:ind w:firstLine="0"/>
        <w:rPr>
          <w:rFonts w:ascii="Times New Roman" w:hAnsi="Times New Roman"/>
        </w:rPr>
      </w:pPr>
      <w:r w:rsidRPr="00151DD2">
        <w:rPr>
          <w:rFonts w:ascii="Times New Roman" w:hAnsi="Times New Roman"/>
        </w:rPr>
        <w:t xml:space="preserve">Coincidimos en este punto con lo señalado por el autor y, a nuestro parecer, este hecho tendría una doble consecuencia. Por un lado, bien es cierto que el hecho de que mediante este supuesto pueden ser admitidas demandas que, de otra manera, no lo serían otorga un margen más amplio de tutela por parte del TC. Sin embargo, creemos que, si la intención de la reforma de 2007 era la de evitar el aumento progresivo de demandas de amparo ante el TC y disminuir su carga de trabajo, dejar este supuesto abierto a la entrada de multitud y variados casos puede ocasionar que la litigiosidad no disminuya al confiar que su caso puede ser admitido alegando este supuesto de carácter “abierto”. </w:t>
      </w:r>
    </w:p>
    <w:p w14:paraId="31ADA97A" w14:textId="77777777" w:rsidR="006F44C0" w:rsidRPr="00151DD2" w:rsidRDefault="006F44C0" w:rsidP="00151DD2">
      <w:pPr>
        <w:pStyle w:val="texto"/>
        <w:ind w:firstLine="0"/>
        <w:rPr>
          <w:rFonts w:ascii="Times New Roman" w:hAnsi="Times New Roman"/>
        </w:rPr>
      </w:pPr>
      <w:r w:rsidRPr="00151DD2">
        <w:rPr>
          <w:rFonts w:ascii="Times New Roman" w:hAnsi="Times New Roman"/>
        </w:rPr>
        <w:t xml:space="preserve">Destacar finamente sobre este séptimo y último supuesto que cabe la posibilidad, ya que el TC no lo ha descartado explícitamente, que dentro de este tipo de supuestos podrían incluirse aquellos que aleguen una grave vulneración del derecho fundamental. Este hecho es bastante discutible ya que, en nuestra opinión, si se abriese claramente esa puerta se podría correr el riesgo de que el TC volviese a recibir un caudal de demandas de amparo. Además, la problemática también radicaría en fijar esa gravedad y determinar qué se considerará suficientemente grave como para tener especial trascendencia constitucional. </w:t>
      </w:r>
    </w:p>
    <w:p w14:paraId="6E4B7313" w14:textId="77777777" w:rsidR="006F44C0" w:rsidRDefault="006F44C0" w:rsidP="002B2B12">
      <w:pPr>
        <w:pStyle w:val="texto"/>
        <w:spacing w:after="240" w:afterAutospacing="0"/>
        <w:ind w:firstLine="0"/>
        <w:rPr>
          <w:szCs w:val="24"/>
        </w:rPr>
      </w:pPr>
    </w:p>
    <w:p w14:paraId="5F8AA439" w14:textId="3AEB5F4D" w:rsidR="006F44C0" w:rsidRDefault="00C42121" w:rsidP="002B2B12">
      <w:pPr>
        <w:pStyle w:val="Ttulo2"/>
        <w:spacing w:after="240"/>
      </w:pPr>
      <w:bookmarkStart w:id="762" w:name="_Toc49866600"/>
      <w:bookmarkStart w:id="763" w:name="_Toc50373197"/>
      <w:bookmarkStart w:id="764" w:name="_Toc43034519"/>
      <w:r>
        <w:t>EL RECURSO DE AMPARO EN LA ACTUALIDAD</w:t>
      </w:r>
      <w:bookmarkEnd w:id="762"/>
      <w:bookmarkEnd w:id="763"/>
    </w:p>
    <w:p w14:paraId="4E336786" w14:textId="512EEA07" w:rsidR="006F44C0" w:rsidRPr="00E90BB3" w:rsidRDefault="00E90BB3" w:rsidP="001A4310">
      <w:pPr>
        <w:pStyle w:val="Ttulo3"/>
        <w:numPr>
          <w:ilvl w:val="0"/>
          <w:numId w:val="63"/>
        </w:numPr>
      </w:pPr>
      <w:bookmarkStart w:id="765" w:name="_Toc49866601"/>
      <w:bookmarkStart w:id="766" w:name="_Toc50373198"/>
      <w:r>
        <w:t>Algunos datos estadísticos sobre las consecuencias del nuevo régimen de admisión</w:t>
      </w:r>
      <w:bookmarkEnd w:id="765"/>
      <w:bookmarkEnd w:id="766"/>
    </w:p>
    <w:p w14:paraId="415A26B8" w14:textId="77777777" w:rsidR="00E90BB3" w:rsidRPr="001759BA" w:rsidRDefault="00E90BB3" w:rsidP="001A4310">
      <w:pPr>
        <w:pStyle w:val="Ttulo4"/>
        <w:numPr>
          <w:ilvl w:val="0"/>
          <w:numId w:val="64"/>
        </w:numPr>
      </w:pPr>
      <w:bookmarkStart w:id="767" w:name="_Toc49860565"/>
      <w:bookmarkStart w:id="768" w:name="_Toc49866602"/>
      <w:r>
        <w:t>Años 2010 a 1015</w:t>
      </w:r>
      <w:bookmarkEnd w:id="767"/>
      <w:bookmarkEnd w:id="768"/>
    </w:p>
    <w:p w14:paraId="3A8C4B2B" w14:textId="77777777" w:rsidR="00E90BB3" w:rsidRDefault="00E90BB3" w:rsidP="00E90BB3">
      <w:pPr>
        <w:spacing w:after="240"/>
        <w:rPr>
          <w:szCs w:val="24"/>
        </w:rPr>
      </w:pPr>
      <w:r>
        <w:rPr>
          <w:szCs w:val="24"/>
        </w:rPr>
        <w:t xml:space="preserve">La LO 6/2007 entró en vigor en 2007 pero el pleno despliegue de efectos y la plena efectividad de la misma no se produjo hasta el año 2010. Este hecho se debió principalmente a que en los primeros años fueron pocos los recursos a los que les fue aplicable la nueva normativa. Destacan sólo aquellas resoluciones iniciales en las que el Tribunal procedió a elaborar su doctrina sobre el nuevo trámite de admisión, hablamos básicamente de los Autos de 2008 (AATC 188/2008; 289/2008 y 290/2008) y de la STC 155/2009, de 25 de junio. </w:t>
      </w:r>
    </w:p>
    <w:p w14:paraId="332C80CC" w14:textId="77777777" w:rsidR="00E90BB3" w:rsidRDefault="00E90BB3" w:rsidP="00E90BB3">
      <w:pPr>
        <w:spacing w:after="240"/>
        <w:rPr>
          <w:szCs w:val="24"/>
        </w:rPr>
      </w:pPr>
      <w:r>
        <w:rPr>
          <w:szCs w:val="24"/>
        </w:rPr>
        <w:t>En el siguiente gráfico podemos ver los asuntos ingresados en el TC desde el año 2006. Vemos como es a partir del año 2010 cuando los descensos comienzan a ser significativos.</w:t>
      </w:r>
    </w:p>
    <w:p w14:paraId="4D55D339" w14:textId="77777777" w:rsidR="00E90BB3" w:rsidRDefault="00E90BB3" w:rsidP="00E90BB3">
      <w:pPr>
        <w:spacing w:after="240"/>
        <w:jc w:val="center"/>
        <w:rPr>
          <w:szCs w:val="24"/>
        </w:rPr>
      </w:pPr>
      <w:r w:rsidRPr="00422B28">
        <w:rPr>
          <w:noProof/>
          <w:szCs w:val="24"/>
        </w:rPr>
        <w:drawing>
          <wp:inline distT="0" distB="0" distL="0" distR="0" wp14:anchorId="1A9C0F3A" wp14:editId="7000E974">
            <wp:extent cx="3177767" cy="1765328"/>
            <wp:effectExtent l="0" t="0" r="381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0595" cy="1778009"/>
                    </a:xfrm>
                    <a:prstGeom prst="rect">
                      <a:avLst/>
                    </a:prstGeom>
                    <a:noFill/>
                    <a:ln>
                      <a:noFill/>
                    </a:ln>
                  </pic:spPr>
                </pic:pic>
              </a:graphicData>
            </a:graphic>
          </wp:inline>
        </w:drawing>
      </w:r>
      <w:r>
        <w:rPr>
          <w:rStyle w:val="Refdenotaalpie"/>
          <w:szCs w:val="24"/>
        </w:rPr>
        <w:footnoteReference w:id="333"/>
      </w:r>
    </w:p>
    <w:p w14:paraId="709505A0" w14:textId="77777777" w:rsidR="00E90BB3" w:rsidRDefault="00E90BB3" w:rsidP="00E90BB3">
      <w:pPr>
        <w:spacing w:after="240"/>
        <w:rPr>
          <w:szCs w:val="24"/>
        </w:rPr>
      </w:pPr>
      <w:r>
        <w:rPr>
          <w:szCs w:val="24"/>
        </w:rPr>
        <w:t xml:space="preserve">Fue por tanto a partir del año 2010 cuando la reforma del recurso de amparo comenzó a desplegar en plenitud todos sus efectos, ello también debido a la doctrina implantada sobre la especial trascendencia constitucional mediante la STC 155/2009. A partir de dicha fecha es cuando podemos apreciar ilustrativos los datos y no con anterioridad, </w:t>
      </w:r>
      <w:r>
        <w:rPr>
          <w:szCs w:val="24"/>
        </w:rPr>
        <w:lastRenderedPageBreak/>
        <w:t>debido a la pervivencia de recursos de amparo a los que le era de aplicación la anterior regulación. No obstante, es de destacar que la situación de saturación del Tribunal alcanzó su pico máximo en los años 2005 (9.476); 2006 (11.471) y 2007 (9.840). Respecto a los primeros años tras la entrada en vigor de la reforma, los años 2008 y 2009, los recursos de amparo aumentaron de manera más que considerable (10.275 y 10.792 recursos de amparo interpuestos, respectivamente)</w:t>
      </w:r>
      <w:r>
        <w:rPr>
          <w:rStyle w:val="Refdenotaalpie"/>
          <w:szCs w:val="24"/>
        </w:rPr>
        <w:footnoteReference w:id="334"/>
      </w:r>
      <w:r>
        <w:rPr>
          <w:szCs w:val="24"/>
        </w:rPr>
        <w:t>.</w:t>
      </w:r>
    </w:p>
    <w:p w14:paraId="2005B5C0" w14:textId="77777777" w:rsidR="00E90BB3" w:rsidRDefault="00E90BB3" w:rsidP="00E90BB3">
      <w:pPr>
        <w:spacing w:after="240"/>
        <w:rPr>
          <w:szCs w:val="24"/>
        </w:rPr>
      </w:pPr>
      <w:r w:rsidRPr="001A7B76">
        <w:rPr>
          <w:szCs w:val="24"/>
        </w:rPr>
        <w:t>Las estadísticas publicadas en las memorias anuales del TC muestran que, aunque el número de demandas de amparo ingresadas descendió en un primer momento (primeros años de aplicación de la reforma), esta tendencia decreciente comenzó a cambiar a partir de 2012.</w:t>
      </w:r>
      <w:r>
        <w:rPr>
          <w:szCs w:val="24"/>
        </w:rPr>
        <w:t xml:space="preserve"> La interposición de demandas de amparo alcanzó su pico máximo en 2006 con 11.471 recursos. Este número fue descendiendo paulatinamente en los años siguientes (</w:t>
      </w:r>
      <w:r w:rsidRPr="00E945B0">
        <w:rPr>
          <w:szCs w:val="24"/>
        </w:rPr>
        <w:t>el número de recursos de amparo ingresados alcanzó las</w:t>
      </w:r>
      <w:r>
        <w:rPr>
          <w:szCs w:val="24"/>
        </w:rPr>
        <w:t xml:space="preserve"> </w:t>
      </w:r>
      <w:r w:rsidRPr="00E945B0">
        <w:rPr>
          <w:szCs w:val="24"/>
        </w:rPr>
        <w:t>cifras de 10.279 en 2008</w:t>
      </w:r>
      <w:r>
        <w:rPr>
          <w:szCs w:val="24"/>
        </w:rPr>
        <w:t>, 10.792 en 2009, 8.947 en 2010 y</w:t>
      </w:r>
      <w:r w:rsidRPr="00E945B0">
        <w:rPr>
          <w:szCs w:val="24"/>
        </w:rPr>
        <w:t xml:space="preserve"> 7.098 en 2011</w:t>
      </w:r>
      <w:r>
        <w:rPr>
          <w:szCs w:val="24"/>
        </w:rPr>
        <w:t xml:space="preserve">). Sin embargo, a pesar de este descenso, debemos tener presente que a partir de 2011 el número fue aumentando paulatinamente desde los 7.098 recursos del año 2011 a los 7.663 del año 2014. </w:t>
      </w:r>
    </w:p>
    <w:p w14:paraId="161A4C83" w14:textId="77777777" w:rsidR="00E90BB3" w:rsidRDefault="00E90BB3" w:rsidP="00E90BB3">
      <w:pPr>
        <w:spacing w:after="240"/>
        <w:rPr>
          <w:szCs w:val="24"/>
        </w:rPr>
      </w:pPr>
      <w:r>
        <w:rPr>
          <w:szCs w:val="24"/>
        </w:rPr>
        <w:t>Respecto al año 2014</w:t>
      </w:r>
      <w:r>
        <w:rPr>
          <w:rStyle w:val="Refdenotaalpie"/>
          <w:szCs w:val="24"/>
        </w:rPr>
        <w:footnoteReference w:id="335"/>
      </w:r>
      <w:r>
        <w:rPr>
          <w:szCs w:val="24"/>
        </w:rPr>
        <w:t>,  debemos destacar en primer lugar que el modelo de amparo que nació con la reforma en el año 2007 de la LOTC y cuya pieza clave es el requisito de la especial trascendencia constitucional, tanto en su vertiente formal como material, fue respaldado, frente a las críticas que había suscitado, por el Tribunal Europeo de Derechos Humanos en su sentencia de 20 de enero de 2015 (asunto Arribas Antón c. España). El Tribunal afirmó que la inadmisión de demandas de amparo por la falta de justificación de la especial trascendencia constitucional no resultaba contraria al art. 6 del Convenio.</w:t>
      </w:r>
    </w:p>
    <w:p w14:paraId="09F5F531" w14:textId="67028E90" w:rsidR="00E90BB3" w:rsidRDefault="00E90BB3" w:rsidP="00E90BB3">
      <w:pPr>
        <w:spacing w:after="240"/>
        <w:rPr>
          <w:szCs w:val="24"/>
        </w:rPr>
      </w:pPr>
      <w:r>
        <w:rPr>
          <w:szCs w:val="24"/>
        </w:rPr>
        <w:t xml:space="preserve">En el plano jurisdiccional, durante el año 2014 se dictaron un total de 7.409 resoluciones, de las cuales 215 fueron sentencias. No se pudieron equiparar, por tanto, los asuntos terminados con los ingresados en ese </w:t>
      </w:r>
      <w:r w:rsidR="004B058B">
        <w:rPr>
          <w:szCs w:val="24"/>
        </w:rPr>
        <w:t>mismo año</w:t>
      </w:r>
      <w:r>
        <w:rPr>
          <w:szCs w:val="24"/>
        </w:rPr>
        <w:t xml:space="preserve"> —un total de 7.878—, cuyo </w:t>
      </w:r>
      <w:r w:rsidR="004B058B">
        <w:rPr>
          <w:szCs w:val="24"/>
        </w:rPr>
        <w:t>número aumentó</w:t>
      </w:r>
      <w:r>
        <w:rPr>
          <w:szCs w:val="24"/>
        </w:rPr>
        <w:t>, como se advierte desde el año 2012.</w:t>
      </w:r>
    </w:p>
    <w:p w14:paraId="3BCC03BC" w14:textId="77777777" w:rsidR="00E90BB3" w:rsidRDefault="00E90BB3" w:rsidP="00E90BB3">
      <w:pPr>
        <w:spacing w:after="240"/>
        <w:rPr>
          <w:szCs w:val="24"/>
        </w:rPr>
      </w:pPr>
      <w:r>
        <w:rPr>
          <w:szCs w:val="24"/>
        </w:rPr>
        <w:lastRenderedPageBreak/>
        <w:t>Respecto a los recursos de amparo ingresados en 2014 —un total de 7.663— experimentaron un ligero aumento respecto al período anterior. Como en años precedentes, sin embargo, sigue siendo notable el escaso porcentaje de admisión a trámite de estos recursos: sólo fueron admitidos, para su posterior sustanciación y resolución por sentencia, el 1,08 por 100 de los amparos de que el Tribunal conoció en fase de admisión; el restante 98,92 por 100 de los recursos fueron inadmitidos.</w:t>
      </w:r>
    </w:p>
    <w:p w14:paraId="1CB82036" w14:textId="77777777" w:rsidR="00E90BB3" w:rsidRDefault="00E90BB3" w:rsidP="00E90BB3">
      <w:pPr>
        <w:spacing w:after="240"/>
        <w:rPr>
          <w:szCs w:val="24"/>
        </w:rPr>
      </w:pPr>
      <w:r>
        <w:rPr>
          <w:szCs w:val="24"/>
        </w:rPr>
        <w:t>Resulta llamativo que, a estas alturas, una quinta parte de las demandas de amparo (concretamente 1.331, un 19,97 por 100 de las inadmitidas por mera providencia en virtud del art. 50 LOTC) siguen sin ofrecer la más mínima justificación de la trascendencia constitucional del recurso, tal y como exige la Ley. Es necesario apuntar, por tanto, que este es un dato que merece una reflexión por parte de todos y, especialmente, de los procuradores y abogados a quienes la ley confía la defensa de los derechos y libertades fundamentales de los ciudadanos.</w:t>
      </w:r>
    </w:p>
    <w:p w14:paraId="5EB87415" w14:textId="77777777" w:rsidR="00E90BB3" w:rsidRPr="00DF73F8" w:rsidRDefault="00E90BB3" w:rsidP="00E90BB3">
      <w:pPr>
        <w:spacing w:after="240"/>
        <w:rPr>
          <w:szCs w:val="24"/>
        </w:rPr>
      </w:pPr>
      <w:r w:rsidRPr="00DF73F8">
        <w:rPr>
          <w:szCs w:val="24"/>
        </w:rPr>
        <w:t>En el año 2015</w:t>
      </w:r>
      <w:r w:rsidRPr="00DF73F8">
        <w:rPr>
          <w:rStyle w:val="Refdenotaalpie"/>
          <w:szCs w:val="24"/>
        </w:rPr>
        <w:footnoteReference w:id="336"/>
      </w:r>
      <w:r w:rsidRPr="00DF73F8">
        <w:rPr>
          <w:szCs w:val="24"/>
        </w:rPr>
        <w:t>, 8.771 resoluciones definitivas fueron dictadas por el Tribunal Constitucional, de las cuales 272 fueron sentencias. En esta ocasión, además de reducir los asuntos pendientes de sentencia tanto ante el Pleno como ante las Salas, también se terminaron más asuntos en fase de admisión que los ingresados durante el año —un total de 7.309.  Frente a la tendencia de años anteriores, la demanda de justicia constitucional en el año 2015 disminuyó ligeramente. Esto puede verse en casi todos los procedimientos de los que con mayor frecuencia conoce el Tribunal.</w:t>
      </w:r>
    </w:p>
    <w:p w14:paraId="654A39DF" w14:textId="1358DB1B" w:rsidR="00E90BB3" w:rsidRDefault="00E90BB3" w:rsidP="00E90BB3">
      <w:pPr>
        <w:spacing w:after="240"/>
        <w:rPr>
          <w:szCs w:val="24"/>
        </w:rPr>
      </w:pPr>
      <w:r w:rsidRPr="00DF73F8">
        <w:rPr>
          <w:szCs w:val="24"/>
        </w:rPr>
        <w:t xml:space="preserve">En cuanto a los recursos de amparo, también los ingresados en 2015 —un total de 7.203— experimentaron una disminución respecto al año anterior (7.663). En cambio, el escaso porcentaje de admisión a trámite de estos recursos continúa en la misma línea que años anteriores. En 2015, únicamente fueron admitidos para su posterior resolución en sentencia un total de 84, cifra que supone el 1,06 por 100 de los recursos de amparo que el Tribunal conoció en fase de admisión. El resto de amparos —esto es, un 98,94 por 100— fue inadmitido. Del examen de estos motivos de inadmisión puede deducirse que aún existe un alto porcentaje de recursos presentados que tienen como causa de inadmisión la apreciación de óbices procesales derivados del incumplimiento por las </w:t>
      </w:r>
      <w:r w:rsidRPr="00DF73F8">
        <w:rPr>
          <w:szCs w:val="24"/>
        </w:rPr>
        <w:lastRenderedPageBreak/>
        <w:t xml:space="preserve">demandas de los requisitos legales exigidos para su admisión a trámite. Es por </w:t>
      </w:r>
      <w:r w:rsidR="004B058B" w:rsidRPr="00DF73F8">
        <w:rPr>
          <w:szCs w:val="24"/>
        </w:rPr>
        <w:t>tanto conveniente</w:t>
      </w:r>
      <w:r w:rsidRPr="00DF73F8">
        <w:rPr>
          <w:szCs w:val="24"/>
        </w:rPr>
        <w:t xml:space="preserve"> seguir insistiendo en el considerable número de demandas de amparo que continúan ignorando la exigencia implantada en 2007 de justificar la especial trascendencia constitucional, omisión ésta que ha dado lugar al 16,67 por 100 de las inadmisiones, más </w:t>
      </w:r>
      <w:r w:rsidR="004B058B" w:rsidRPr="00DF73F8">
        <w:rPr>
          <w:szCs w:val="24"/>
        </w:rPr>
        <w:t>aún</w:t>
      </w:r>
      <w:r w:rsidR="004B058B">
        <w:rPr>
          <w:szCs w:val="24"/>
        </w:rPr>
        <w:t>,</w:t>
      </w:r>
      <w:r w:rsidRPr="00DF73F8">
        <w:rPr>
          <w:szCs w:val="24"/>
        </w:rPr>
        <w:t xml:space="preserve"> teniendo en cuenta que ha pasado ya más de una década desde la implantación de este requisito.</w:t>
      </w:r>
    </w:p>
    <w:p w14:paraId="6B9AFD98" w14:textId="77777777" w:rsidR="00E90BB3" w:rsidRPr="00DF73F8" w:rsidRDefault="00E90BB3" w:rsidP="00E90BB3">
      <w:pPr>
        <w:pStyle w:val="Ttulo4"/>
      </w:pPr>
      <w:bookmarkStart w:id="769" w:name="_Toc49860566"/>
      <w:bookmarkStart w:id="770" w:name="_Toc49866603"/>
      <w:r>
        <w:t>Años 2015 a 2019</w:t>
      </w:r>
      <w:bookmarkEnd w:id="769"/>
      <w:bookmarkEnd w:id="770"/>
    </w:p>
    <w:p w14:paraId="33FFAB67" w14:textId="3702E405" w:rsidR="00E90BB3" w:rsidRPr="00DF73F8" w:rsidRDefault="00E90BB3" w:rsidP="00E90BB3">
      <w:pPr>
        <w:spacing w:after="240"/>
        <w:rPr>
          <w:szCs w:val="24"/>
        </w:rPr>
      </w:pPr>
      <w:r w:rsidRPr="00DF73F8">
        <w:rPr>
          <w:szCs w:val="24"/>
        </w:rPr>
        <w:t>En 2016</w:t>
      </w:r>
      <w:r w:rsidRPr="00DF73F8">
        <w:rPr>
          <w:rStyle w:val="Refdenotaalpie"/>
          <w:szCs w:val="24"/>
        </w:rPr>
        <w:footnoteReference w:id="337"/>
      </w:r>
      <w:r w:rsidRPr="00DF73F8">
        <w:rPr>
          <w:szCs w:val="24"/>
        </w:rPr>
        <w:t xml:space="preserve">, se produjo una reducción de los asuntos pendientes de sentencia, tanto ante el Pleno como ante las Salas; asimismo, se resolvieron en fase de admisión un número de asuntos mayor que el de recursos ingresados durante el año —un total de 6.774—, hecho que dota al Tribunal de una mayor agilidad al dictar las sentencias. De </w:t>
      </w:r>
      <w:r w:rsidR="004B058B" w:rsidRPr="00DF73F8">
        <w:rPr>
          <w:szCs w:val="24"/>
        </w:rPr>
        <w:t>hecho, se</w:t>
      </w:r>
      <w:r w:rsidRPr="00DF73F8">
        <w:rPr>
          <w:szCs w:val="24"/>
        </w:rPr>
        <w:t xml:space="preserve"> emitieron un total de 7.854 resoluciones definitivas, de las cuales 228 fueron sentencias. </w:t>
      </w:r>
    </w:p>
    <w:p w14:paraId="725F5991" w14:textId="77777777" w:rsidR="00E90BB3" w:rsidRPr="00DF73F8" w:rsidRDefault="00E90BB3" w:rsidP="00E90BB3">
      <w:pPr>
        <w:spacing w:after="240"/>
        <w:rPr>
          <w:szCs w:val="24"/>
        </w:rPr>
      </w:pPr>
      <w:r w:rsidRPr="00DF73F8">
        <w:rPr>
          <w:szCs w:val="24"/>
        </w:rPr>
        <w:t>Respecto a los recursos de amparo ingresados en 2016 —un total de 6.685— tuvo lugar una disminución respecto al año anterior (7.203). sin embargo, como ya venía sucediendo en años anteriores, sigue siendo notable el escaso porcentaje de admisión a trámite de estos recursos: sólo fueron admitidos, para su posterior sustanciación y resolución por</w:t>
      </w:r>
      <w:r>
        <w:rPr>
          <w:szCs w:val="24"/>
        </w:rPr>
        <w:t xml:space="preserve"> </w:t>
      </w:r>
      <w:r w:rsidRPr="00DF73F8">
        <w:rPr>
          <w:szCs w:val="24"/>
        </w:rPr>
        <w:t>sentencia, 67 recursos de amparo, cifra que supone el 0,95 por 100 de los amparos que el Tribunal conoció en fase de admisión; el restante 99,05 por 100 de los recursos fueron inadmitidos. Como en el año anterior, sigue resultando llamativo que, a día de hoy, en torno a una sexta parte de las demandas de amparo (concretamente 677, un 16 por 100 de las inadmitidas por mera providencia en virtud del art. 50 LOTC) sigan sin ofrecer la más mínima justificación de la trascendencia constitucional del recurso. Como ya hemos dicho, es un dato a tener muy en cuenta en este análisis.</w:t>
      </w:r>
    </w:p>
    <w:p w14:paraId="4EFC16FF" w14:textId="77777777" w:rsidR="00E90BB3" w:rsidRPr="00DF73F8" w:rsidRDefault="00E90BB3" w:rsidP="00E90BB3">
      <w:pPr>
        <w:spacing w:after="240"/>
        <w:rPr>
          <w:szCs w:val="24"/>
        </w:rPr>
      </w:pPr>
      <w:r w:rsidRPr="00DF73F8">
        <w:rPr>
          <w:szCs w:val="24"/>
        </w:rPr>
        <w:t xml:space="preserve">El TC dictó 65 sentencias —que resuelven 66 asuntos— en las que se otorga el amparo por vulneración de los derechos y libertades fundamentales proclamados por la Constitución española. En otras 23 sentencias, declaró el recurso sin fundamento o inadmisible. De nuevo, tras la reforma de 2007, el número de sentencias que resuelven </w:t>
      </w:r>
      <w:r w:rsidRPr="00DF73F8">
        <w:rPr>
          <w:szCs w:val="24"/>
        </w:rPr>
        <w:lastRenderedPageBreak/>
        <w:t>recursos y cuestiones de inconstitucionalidad y conflictos competenciales ha sido mayor</w:t>
      </w:r>
      <w:r>
        <w:rPr>
          <w:szCs w:val="24"/>
        </w:rPr>
        <w:t xml:space="preserve"> </w:t>
      </w:r>
      <w:r w:rsidRPr="00DF73F8">
        <w:rPr>
          <w:szCs w:val="24"/>
        </w:rPr>
        <w:t>que el de sentencias recaídas en recursos de amparo. En concreto, 137 frente a 88.</w:t>
      </w:r>
    </w:p>
    <w:p w14:paraId="380B1046" w14:textId="77777777" w:rsidR="00E90BB3" w:rsidRPr="00DF73F8" w:rsidRDefault="00E90BB3" w:rsidP="00E90BB3">
      <w:pPr>
        <w:spacing w:after="240"/>
        <w:rPr>
          <w:szCs w:val="24"/>
        </w:rPr>
      </w:pPr>
      <w:r w:rsidRPr="00DF73F8">
        <w:rPr>
          <w:szCs w:val="24"/>
        </w:rPr>
        <w:t xml:space="preserve">Respecto a 2017, se dictaron un total de 6.319 resoluciones definitivas, de las cuales 156 fueron sentencias. El Tribunal siguió reduciendo el número de asuntos pendientes de sentencia, tanto ante el Pleno como las Salas; terminó el año con un número de recursos ligeramente inferior al de los ingresados durante el año (6.381). </w:t>
      </w:r>
    </w:p>
    <w:p w14:paraId="1B7C2CE4" w14:textId="77777777" w:rsidR="00E90BB3" w:rsidRDefault="00E90BB3" w:rsidP="00E90BB3">
      <w:pPr>
        <w:spacing w:after="240"/>
        <w:rPr>
          <w:szCs w:val="24"/>
        </w:rPr>
      </w:pPr>
      <w:r w:rsidRPr="00DF73F8">
        <w:rPr>
          <w:szCs w:val="24"/>
        </w:rPr>
        <w:t>Los recursos de amparo ingresados en 2017 —un total de 6.286— experimentaron una disminución respecto al año anterior (6.685). Como en años precedentes, sigue siendo notable el escaso porcentaje de admisión a trámite de estos recursos. Sólo fueron admitidos, para su posterior sustanciación y resolución por sentencia, 70 recursos de amparo: cifra que supone el 1,27 por 100 de los amparos que el Tribunal resolvió en fase de admisión; el restante 98,73 por 100 de los recursos fueron inadmitidos. Sigue destacando, como ya hemos citado, que más de una séptima parte de las demandas de amparo (concretamente 823, un 13,56 por 100 de las inadmitidas por mera providencia en virtud del art. 50 LOTC) siguen sin ofrecer la más mínima justificación de la trascendencia constitucional del recurso.</w:t>
      </w:r>
      <w:r>
        <w:rPr>
          <w:szCs w:val="24"/>
        </w:rPr>
        <w:t xml:space="preserve"> D</w:t>
      </w:r>
      <w:r w:rsidRPr="00DF73F8">
        <w:rPr>
          <w:szCs w:val="24"/>
        </w:rPr>
        <w:t>estacar que en 2017 el Tribunal otorgó 47 amparos por vulneración de los derechos y libertades fundamentales proclamados por la Constitución española. En otras cinco sentencias declaró el recurso sin fundamento o inadmisible. De nuevo, tras la reforma de 2007, el Tribunal ha dictado más sentencias de control de leyes y de conflictos que resolviendo recursos de amparo: 103 en comparación con 53.</w:t>
      </w:r>
    </w:p>
    <w:p w14:paraId="05D2EA0B" w14:textId="61BD381D" w:rsidR="00E90BB3" w:rsidRPr="008D3B39" w:rsidRDefault="00E90BB3" w:rsidP="00E90BB3">
      <w:pPr>
        <w:spacing w:after="240"/>
        <w:rPr>
          <w:szCs w:val="24"/>
        </w:rPr>
      </w:pPr>
      <w:r w:rsidRPr="008D3B39">
        <w:rPr>
          <w:szCs w:val="24"/>
        </w:rPr>
        <w:t xml:space="preserve">Durante el año 2018 se </w:t>
      </w:r>
      <w:r w:rsidR="004B058B" w:rsidRPr="008D3B39">
        <w:rPr>
          <w:szCs w:val="24"/>
        </w:rPr>
        <w:t>dictaron 6.839</w:t>
      </w:r>
      <w:r w:rsidRPr="008D3B39">
        <w:rPr>
          <w:szCs w:val="24"/>
        </w:rPr>
        <w:t xml:space="preserve"> resoluciones (142 fueron sentencias.). Además, se produjo un incremento de la demanda de justicia constitucional, ya que los asuntos ingresados superaron en número a los resueltos definitivamente (ingresaron 6.977 asuntos nuevos, resolviéndose 6.838).</w:t>
      </w:r>
    </w:p>
    <w:p w14:paraId="076958DA" w14:textId="77777777" w:rsidR="00E90BB3" w:rsidRPr="008D3B39" w:rsidRDefault="00E90BB3" w:rsidP="00E90BB3">
      <w:pPr>
        <w:spacing w:after="240"/>
        <w:rPr>
          <w:szCs w:val="24"/>
        </w:rPr>
      </w:pPr>
      <w:r w:rsidRPr="008D3B39">
        <w:rPr>
          <w:szCs w:val="24"/>
        </w:rPr>
        <w:t xml:space="preserve">Este incremento de demanda de justicia constitucional se apreció fundamentalmente en el amparo, debido a que se promovieron 6.918 recursos nuevos (frente a los 6.286 interpuestos en 2017). Consecuentemente, se suscitaron muchos menos recursos de inconstitucionalidad que el año anterior (doce, en comparación con 47 en 2017) y hubo más cuestiones de inconstitucionalidad (42 frente a las 33 de 2017). </w:t>
      </w:r>
    </w:p>
    <w:p w14:paraId="6F826727" w14:textId="77777777" w:rsidR="00E90BB3" w:rsidRPr="008D3B39" w:rsidRDefault="00E90BB3" w:rsidP="00E90BB3">
      <w:pPr>
        <w:spacing w:after="240"/>
        <w:rPr>
          <w:szCs w:val="24"/>
        </w:rPr>
      </w:pPr>
    </w:p>
    <w:p w14:paraId="78BC39B4" w14:textId="5DD268D8" w:rsidR="00E90BB3" w:rsidRPr="008D3B39" w:rsidRDefault="00E90BB3" w:rsidP="00E90BB3">
      <w:pPr>
        <w:spacing w:after="240"/>
        <w:rPr>
          <w:szCs w:val="24"/>
        </w:rPr>
      </w:pPr>
      <w:r w:rsidRPr="008D3B39">
        <w:rPr>
          <w:szCs w:val="24"/>
        </w:rPr>
        <w:t xml:space="preserve">Respecto a los recursos de amparo, hubo un ingreso de 6.918 recursos, experimentándose </w:t>
      </w:r>
      <w:r w:rsidR="004B058B" w:rsidRPr="008D3B39">
        <w:rPr>
          <w:szCs w:val="24"/>
        </w:rPr>
        <w:t>así</w:t>
      </w:r>
      <w:r w:rsidRPr="008D3B39">
        <w:rPr>
          <w:szCs w:val="24"/>
        </w:rPr>
        <w:t xml:space="preserve"> un incremento respecto al año anterior (6.286). Sigue destacando, como en años anteriores, el escaso porcentaje de admisión a trámite de estos recursos. Sólo fueron admitidos, para su posterior sustanciación y resolución por sentencia, 115 recursos de amparo: cifra que representa el 1,67 por 100 de las demandas de amparo que el Tribunal resolvió en fase de admisión. Consecuentemente, el 98,33 por 100 de los recursos fueron inadmitidos. </w:t>
      </w:r>
    </w:p>
    <w:p w14:paraId="67FE9604" w14:textId="77777777" w:rsidR="00E90BB3" w:rsidRPr="008D3B39" w:rsidRDefault="00E90BB3" w:rsidP="00E90BB3">
      <w:pPr>
        <w:spacing w:after="240"/>
        <w:rPr>
          <w:szCs w:val="24"/>
        </w:rPr>
      </w:pPr>
      <w:r w:rsidRPr="008D3B39">
        <w:rPr>
          <w:szCs w:val="24"/>
        </w:rPr>
        <w:t xml:space="preserve">Cabe destacar que más de una séptima parte de las demandas de amparo (concretamente 765, el 12,38 por 100 de las inadmitidas) siguen sin justificar la trascendencia constitucional del recurso. </w:t>
      </w:r>
    </w:p>
    <w:p w14:paraId="2CCDF963" w14:textId="77777777" w:rsidR="00E90BB3" w:rsidRDefault="00E90BB3" w:rsidP="00E90BB3">
      <w:pPr>
        <w:spacing w:after="240"/>
        <w:rPr>
          <w:szCs w:val="24"/>
        </w:rPr>
      </w:pPr>
      <w:r w:rsidRPr="008D3B39">
        <w:rPr>
          <w:szCs w:val="24"/>
        </w:rPr>
        <w:t>El Tribunal otorgó 42 amparos por vulneración de los derechos fundamentales. En otras 13 sentencias declaró el recurso sin fundamento o inadmisible. Nuevamente, el Tribunal dictó más sentencias de control de leyes y de conflictos que resolviendo recursos de amparo: 87 en comparación con 55.</w:t>
      </w:r>
    </w:p>
    <w:p w14:paraId="74E50DF3" w14:textId="77777777" w:rsidR="00E90BB3" w:rsidRPr="008A689C" w:rsidRDefault="00E90BB3" w:rsidP="00E90BB3">
      <w:pPr>
        <w:spacing w:after="240"/>
        <w:rPr>
          <w:szCs w:val="24"/>
        </w:rPr>
      </w:pPr>
      <w:r w:rsidRPr="008A689C">
        <w:rPr>
          <w:szCs w:val="24"/>
        </w:rPr>
        <w:t>En 2019 se produjo un ligero acrecentamiento, de 9,23 por 100, de los asuntos ingresados (7.621), atribuible al incremento de las demandas de amparo (7.554).</w:t>
      </w:r>
    </w:p>
    <w:p w14:paraId="12550BF5" w14:textId="599EFC02" w:rsidR="00E90BB3" w:rsidRPr="008A689C" w:rsidRDefault="00E90BB3" w:rsidP="00E90BB3">
      <w:pPr>
        <w:spacing w:after="240"/>
        <w:rPr>
          <w:szCs w:val="24"/>
        </w:rPr>
      </w:pPr>
      <w:r w:rsidRPr="008A689C">
        <w:rPr>
          <w:szCs w:val="24"/>
        </w:rPr>
        <w:t xml:space="preserve">El 99,12 por 100 de los nuevos asuntos fueron recursos de amparo, incrementándose sobre todo frente a resoluciones del orden jurisdiccional penal, y frente a resoluciones del Tribunal Supremo, siendo como de costumbre, las garantías procesales del artículo 24 CE la causa principal de estas </w:t>
      </w:r>
      <w:r w:rsidR="004B058B" w:rsidRPr="008A689C">
        <w:rPr>
          <w:szCs w:val="24"/>
        </w:rPr>
        <w:t>impugnaciones.</w:t>
      </w:r>
    </w:p>
    <w:p w14:paraId="63B86009" w14:textId="77777777" w:rsidR="00E90BB3" w:rsidRPr="008A689C" w:rsidRDefault="00E90BB3" w:rsidP="00E90BB3">
      <w:pPr>
        <w:spacing w:after="240"/>
        <w:rPr>
          <w:szCs w:val="24"/>
        </w:rPr>
      </w:pPr>
      <w:r w:rsidRPr="008A689C">
        <w:rPr>
          <w:szCs w:val="24"/>
        </w:rPr>
        <w:t xml:space="preserve"> Respecto de la admisión, se dictaron 6.620 providencias de inadmisión, de las cuales 2.328 fueron de recurso de amparo en los que no se justificó la especial trascendencia constitucional.</w:t>
      </w:r>
    </w:p>
    <w:p w14:paraId="334935A7" w14:textId="1DA32940" w:rsidR="00E90BB3" w:rsidRDefault="00E90BB3" w:rsidP="00E90BB3">
      <w:pPr>
        <w:spacing w:after="240"/>
        <w:rPr>
          <w:szCs w:val="24"/>
        </w:rPr>
      </w:pPr>
      <w:r w:rsidRPr="008A689C">
        <w:rPr>
          <w:szCs w:val="24"/>
        </w:rPr>
        <w:t xml:space="preserve">Los recursos de amparo pendientes de sentencia alcanzaron la cifra de 188, acumulados en 137 procedimientos. De las 117 sentencias de amparo dictadas, resaltar </w:t>
      </w:r>
      <w:r w:rsidR="004B058B" w:rsidRPr="008A689C">
        <w:rPr>
          <w:szCs w:val="24"/>
        </w:rPr>
        <w:t>que 90</w:t>
      </w:r>
      <w:r w:rsidRPr="008A689C">
        <w:rPr>
          <w:szCs w:val="24"/>
        </w:rPr>
        <w:t xml:space="preserve"> fueron estimatorias, 16 desestimatorias y 10 de inadmisión (cuatro por extemporaneidad, cinco por recursos prematuros y una por falta de agotamiento de la vía previa).</w:t>
      </w:r>
    </w:p>
    <w:p w14:paraId="79E7EBBB" w14:textId="77777777" w:rsidR="00C61F65" w:rsidRDefault="00C61F65" w:rsidP="00DF73F8">
      <w:pPr>
        <w:spacing w:after="240"/>
        <w:rPr>
          <w:szCs w:val="24"/>
        </w:rPr>
      </w:pPr>
    </w:p>
    <w:p w14:paraId="16CD25ED" w14:textId="67B37189" w:rsidR="006F44C0" w:rsidRPr="00E90BB3" w:rsidRDefault="00C61F65" w:rsidP="00E90BB3">
      <w:pPr>
        <w:pStyle w:val="Ttulo3"/>
      </w:pPr>
      <w:bookmarkStart w:id="771" w:name="_Toc45731821"/>
      <w:bookmarkStart w:id="772" w:name="_Toc49423711"/>
      <w:bookmarkStart w:id="773" w:name="_Toc49708643"/>
      <w:bookmarkStart w:id="774" w:name="_Toc49790309"/>
      <w:bookmarkStart w:id="775" w:name="_Toc49866604"/>
      <w:bookmarkStart w:id="776" w:name="_Toc50373199"/>
      <w:bookmarkStart w:id="777" w:name="_Toc43034517"/>
      <w:bookmarkStart w:id="778" w:name="_Toc43063878"/>
      <w:bookmarkStart w:id="779" w:name="_Toc43120941"/>
      <w:r w:rsidRPr="00E90BB3">
        <w:lastRenderedPageBreak/>
        <w:t>Breve referencia a la adecuación de la reforma de 2007 al Convenio Europeo de Derechos Humanos</w:t>
      </w:r>
      <w:bookmarkEnd w:id="771"/>
      <w:bookmarkEnd w:id="772"/>
      <w:bookmarkEnd w:id="773"/>
      <w:bookmarkEnd w:id="774"/>
      <w:bookmarkEnd w:id="775"/>
      <w:bookmarkEnd w:id="776"/>
      <w:r w:rsidRPr="00E90BB3">
        <w:t xml:space="preserve"> </w:t>
      </w:r>
      <w:bookmarkEnd w:id="777"/>
      <w:bookmarkEnd w:id="778"/>
      <w:bookmarkEnd w:id="779"/>
    </w:p>
    <w:p w14:paraId="5734B5C2" w14:textId="77777777" w:rsidR="006F44C0" w:rsidRDefault="006F44C0" w:rsidP="006F44C0">
      <w:pPr>
        <w:rPr>
          <w:szCs w:val="24"/>
        </w:rPr>
      </w:pPr>
      <w:r>
        <w:rPr>
          <w:szCs w:val="24"/>
        </w:rPr>
        <w:t>Como ya hemos mencionado anteriormente, el modelo de amparo que nació con la reforma en el año 2007 de la Ley Orgánica del Tribunal y cuya pieza clave es el requisito de la especial trascendencia constitucional, tanto en su vertiente formal como material, fue respaldado, frente a las críticas que había suscitado, por el Tribunal Europeo de Derechos Humanos en su sentencia de 20 de enero de 2015 (asunto Arribas Antón c. España). El Tribunal afirmó que la inadmisión de demandas de amparo por la falta de justificación de la especial trascendencia constitucional no resultaba contraria al art. 6 del Convenio.</w:t>
      </w:r>
    </w:p>
    <w:p w14:paraId="1C2DCA51" w14:textId="77777777" w:rsidR="006F44C0" w:rsidRDefault="006F44C0" w:rsidP="006F44C0">
      <w:pPr>
        <w:rPr>
          <w:szCs w:val="24"/>
        </w:rPr>
      </w:pPr>
    </w:p>
    <w:p w14:paraId="23B73C0D" w14:textId="77777777" w:rsidR="006F44C0" w:rsidRDefault="006F44C0" w:rsidP="006F44C0">
      <w:pPr>
        <w:rPr>
          <w:szCs w:val="24"/>
        </w:rPr>
      </w:pPr>
      <w:r>
        <w:rPr>
          <w:szCs w:val="24"/>
        </w:rPr>
        <w:t xml:space="preserve">Afirmó concretamente que </w:t>
      </w:r>
      <w:r>
        <w:rPr>
          <w:i/>
          <w:szCs w:val="24"/>
        </w:rPr>
        <w:t>“el fin pretendido por el cambio legislativo de 2007 es legítimo: en efecto, este cambio persigue mejorar el funcionamiento del Tribunal Constitucional y reforzar la protección de los derechos fundamentales, y esto para evitar una saturación excesiva de la función del Tribunal Constitucional para asuntos de menor importancia. Aun así, la inadmisibilidad de un recurso de amparo no debe vulnerar la sustancia misma del derecho del demandante a un “tribunal”, en el sentido del artículo 6 § 1 del Convenio”</w:t>
      </w:r>
      <w:r>
        <w:rPr>
          <w:szCs w:val="24"/>
        </w:rPr>
        <w:t xml:space="preserve">. </w:t>
      </w:r>
    </w:p>
    <w:p w14:paraId="47878228" w14:textId="77777777" w:rsidR="006F44C0" w:rsidRDefault="006F44C0" w:rsidP="006F44C0">
      <w:pPr>
        <w:rPr>
          <w:szCs w:val="24"/>
        </w:rPr>
      </w:pPr>
    </w:p>
    <w:p w14:paraId="349924A7" w14:textId="77777777" w:rsidR="006F44C0" w:rsidRDefault="006F44C0" w:rsidP="006F44C0">
      <w:pPr>
        <w:rPr>
          <w:szCs w:val="24"/>
        </w:rPr>
      </w:pPr>
      <w:r>
        <w:rPr>
          <w:szCs w:val="24"/>
        </w:rPr>
        <w:t xml:space="preserve">Prosiguió diciendo que, </w:t>
      </w:r>
      <w:r>
        <w:rPr>
          <w:i/>
          <w:szCs w:val="24"/>
        </w:rPr>
        <w:t>“el TEDH estima que el hecho de subordinar la admisibilidad de un recurso de amparo a la existencia de circunstancias objetivas y a su justificación por parte del recurrente, siendo éstos criterios previstos por la Ley e interpretados por la jurisprudencia constitucional – tales como la trascendencia de la causa para la interpretación, la aplicación o la eficacia general de la Constitución o para determinar el contenido y el alcance de los derechos– no es, como tal, desproporcionado o contrario al derecho de acceso al Tribunal Constitucional”.</w:t>
      </w:r>
    </w:p>
    <w:p w14:paraId="721FF8A0" w14:textId="77777777" w:rsidR="006F44C0" w:rsidRDefault="006F44C0" w:rsidP="006F44C0">
      <w:pPr>
        <w:rPr>
          <w:szCs w:val="24"/>
        </w:rPr>
      </w:pPr>
    </w:p>
    <w:p w14:paraId="4F9209C9" w14:textId="77777777" w:rsidR="006F44C0" w:rsidRDefault="006F44C0" w:rsidP="006F44C0">
      <w:pPr>
        <w:rPr>
          <w:szCs w:val="24"/>
        </w:rPr>
      </w:pPr>
      <w:r>
        <w:rPr>
          <w:szCs w:val="24"/>
        </w:rPr>
        <w:t xml:space="preserve">Por otra parte, el principio de seguridad jurídica exige, según estima el TEDH, que el Tribunal Constitucional defina la noción de especial trascendencia constitucional, como ya ha hecho en su jurisprudencia y singularmente en su STC 155/2009 (FJ 2). </w:t>
      </w:r>
    </w:p>
    <w:p w14:paraId="308E4102" w14:textId="77777777" w:rsidR="006F44C0" w:rsidRDefault="006F44C0" w:rsidP="006F44C0">
      <w:pPr>
        <w:rPr>
          <w:szCs w:val="24"/>
        </w:rPr>
      </w:pPr>
    </w:p>
    <w:p w14:paraId="5C60AD29" w14:textId="77777777" w:rsidR="006F44C0" w:rsidRDefault="006F44C0" w:rsidP="006F44C0">
      <w:pPr>
        <w:rPr>
          <w:szCs w:val="24"/>
        </w:rPr>
      </w:pPr>
      <w:r>
        <w:rPr>
          <w:szCs w:val="24"/>
        </w:rPr>
        <w:t xml:space="preserve">Por todo ello, además, el TEDH hizo un llamamiento al TC que consideramos realmente necesario recomendando a éste expresar y motivar las razones que dieron lugar a la </w:t>
      </w:r>
      <w:r>
        <w:rPr>
          <w:szCs w:val="24"/>
        </w:rPr>
        <w:lastRenderedPageBreak/>
        <w:t xml:space="preserve">admisión del recurso y, por tanto, que acrediten la especial trascendencia constitucional del mismo. </w:t>
      </w:r>
      <w:r>
        <w:rPr>
          <w:i/>
          <w:szCs w:val="24"/>
        </w:rPr>
        <w:t>“Este principio exige, por una parte, que el Tribunal Constitucional defina el contenido y el alcance del criterio de especial trascendencia constitucional, lo que se empeña en hacer desde la modificación de su Ley Orgánica en 2007 (!) y, por otra parte, que explicite su aplicación en los asuntos declarados admisibles con el fin de garantizar una buena administración de la justicia. Los interesados deben poder contar con que las decisiones tomadas a este respecto por el Tribunal Constitucional sean aplicadas (</w:t>
      </w:r>
      <w:proofErr w:type="spellStart"/>
      <w:r>
        <w:rPr>
          <w:i/>
          <w:szCs w:val="24"/>
        </w:rPr>
        <w:t>Miragall</w:t>
      </w:r>
      <w:proofErr w:type="spellEnd"/>
      <w:r>
        <w:rPr>
          <w:i/>
          <w:szCs w:val="24"/>
        </w:rPr>
        <w:t xml:space="preserve"> Escolano y otros c. España, nos 38366/97, 38688/97, 40777/98, 40843/98, 41015/98, 41400/98, 41446/98, 41484/98, 41487/98 y 41509/98, § 33, CEDH 2000-I)</w:t>
      </w:r>
      <w:r>
        <w:rPr>
          <w:szCs w:val="24"/>
        </w:rPr>
        <w:t>.</w:t>
      </w:r>
    </w:p>
    <w:p w14:paraId="03DFEA05" w14:textId="77777777" w:rsidR="006F44C0" w:rsidRDefault="006F44C0" w:rsidP="006F44C0">
      <w:pPr>
        <w:rPr>
          <w:szCs w:val="24"/>
        </w:rPr>
      </w:pPr>
    </w:p>
    <w:p w14:paraId="4021796A" w14:textId="77777777" w:rsidR="006F44C0" w:rsidRDefault="006F44C0" w:rsidP="006F44C0">
      <w:pPr>
        <w:rPr>
          <w:szCs w:val="24"/>
        </w:rPr>
      </w:pPr>
      <w:r>
        <w:rPr>
          <w:szCs w:val="24"/>
        </w:rPr>
        <w:t>No debemos olvidar que también ha aclarado que el mismo principio exige que el Tribunal explique, en los casos admitidos, la aplicación de los criterios generales establecidos para apreciar la concurrencia de la especial trascendencia constitucional. En consecuencia, el Tribunal ha decidido, en Pleno gubernativo, que la causa de la especial</w:t>
      </w:r>
    </w:p>
    <w:p w14:paraId="5F3BA8CE" w14:textId="77777777" w:rsidR="006F44C0" w:rsidRDefault="006F44C0" w:rsidP="006F44C0">
      <w:pPr>
        <w:rPr>
          <w:szCs w:val="24"/>
        </w:rPr>
      </w:pPr>
      <w:r>
        <w:rPr>
          <w:szCs w:val="24"/>
        </w:rPr>
        <w:t>trascendencia constitucional de cada asunto admitido deberá expresarse en las providencias de admisión a trámite y la referencia a estas últimas se incluirá en los antecedentes de hecho de las sentencias.</w:t>
      </w:r>
    </w:p>
    <w:p w14:paraId="0EC7C3C0" w14:textId="77777777" w:rsidR="006F44C0" w:rsidRDefault="006F44C0" w:rsidP="006F44C0">
      <w:pPr>
        <w:rPr>
          <w:szCs w:val="24"/>
        </w:rPr>
      </w:pPr>
    </w:p>
    <w:p w14:paraId="20AD5938" w14:textId="61E89744" w:rsidR="006F44C0" w:rsidRDefault="006F44C0" w:rsidP="006F44C0">
      <w:pPr>
        <w:rPr>
          <w:i/>
          <w:szCs w:val="24"/>
        </w:rPr>
      </w:pPr>
      <w:r>
        <w:rPr>
          <w:szCs w:val="24"/>
        </w:rPr>
        <w:t xml:space="preserve">La cuestión ahora es comprobar si, efectivamente, el TC ha cumplido estas indicaciones del TEDH, ya que el hecho de que la nueva regulación no sea contraria al Convenio, no significa que el TEDH no pueda controlar su aplicación en relación a lo establecido en el CEDH. De </w:t>
      </w:r>
      <w:r w:rsidR="004B058B">
        <w:rPr>
          <w:szCs w:val="24"/>
        </w:rPr>
        <w:t>hecho,</w:t>
      </w:r>
      <w:r>
        <w:rPr>
          <w:szCs w:val="24"/>
        </w:rPr>
        <w:t xml:space="preserve"> advirtió lo siguiente: </w:t>
      </w:r>
      <w:r>
        <w:rPr>
          <w:i/>
          <w:szCs w:val="24"/>
        </w:rPr>
        <w:t xml:space="preserve">“[e]l TEDH recuerda, por otra parte, que no tiene en absoluto como función el sustituir a las Autoridades nacionales competentes para definir la política más oportuna en materia de normativa de acceso a los recursos, sino de valorar, desde la perspectiva del Convenio, las decisiones que han dictado en el ejercicio de su facultad de apreciación. Su función no consiste por tanto en controlar de manera alguna in abstracto la Ley y la práctica pertinente, sino de averiguar, si la manera en que han sido aplicadas al demandante, ha infringido el Convenio. Por tanto, hace hincapié en subrayar que el hecho de que el Tribunal Constitucional haya declarado inadmisible un recurso de amparo aduciendo que no revestía la especial trascendencia constitucional requerida o, en su caso, que el recurrente no había acreditado la existencia de tal trascendencia, no impide que el TEDH se pronuncie sobre la admisibilidad y el fondo de una demanda que se le plantea sobre este asunto (ver, entre </w:t>
      </w:r>
      <w:r>
        <w:rPr>
          <w:i/>
          <w:szCs w:val="24"/>
        </w:rPr>
        <w:lastRenderedPageBreak/>
        <w:t xml:space="preserve">otras, Del Río Prada c. España [GC], no 42750/09, CEDH 2013, Varela </w:t>
      </w:r>
      <w:proofErr w:type="spellStart"/>
      <w:r>
        <w:rPr>
          <w:i/>
          <w:szCs w:val="24"/>
        </w:rPr>
        <w:t>Geis</w:t>
      </w:r>
      <w:proofErr w:type="spellEnd"/>
      <w:r>
        <w:rPr>
          <w:i/>
          <w:szCs w:val="24"/>
        </w:rPr>
        <w:t xml:space="preserve"> c. España, no 61005/09, 5 de marzo de 2013, Manzanas Martín c. España, no 17966/10, 3 de abril de 2012, y R.M.S. c. España, no 28775/12, 18 de junio de 2013, sentencias dictadas por el TEDH a raíz de decisiones de inadmisibilidad de los recursos de amparo ante el Tribunal Constitucional español)”.</w:t>
      </w:r>
    </w:p>
    <w:p w14:paraId="35448339" w14:textId="77777777" w:rsidR="006F44C0" w:rsidRDefault="006F44C0" w:rsidP="006F44C0">
      <w:pPr>
        <w:rPr>
          <w:szCs w:val="24"/>
        </w:rPr>
      </w:pPr>
    </w:p>
    <w:p w14:paraId="206AFF4B" w14:textId="77777777" w:rsidR="006F44C0" w:rsidRDefault="006F44C0" w:rsidP="006F44C0">
      <w:pPr>
        <w:rPr>
          <w:szCs w:val="24"/>
        </w:rPr>
      </w:pPr>
      <w:r>
        <w:rPr>
          <w:szCs w:val="24"/>
        </w:rPr>
        <w:t xml:space="preserve">Tras esto, nuestro TC – en cierta medida- asumió la obligación impuesta de transmitir en cada caso cuáles eran las razones que le habían llevado a admitir la demanda, cuya base sería el nuevo requisito de la especial trascendencia constitucional. El Tribunal puso de manifiesto en algunas de sus sentencias su propia consideración respecto a la admisión, </w:t>
      </w:r>
      <w:r>
        <w:rPr>
          <w:i/>
          <w:szCs w:val="24"/>
        </w:rPr>
        <w:t>“la especial trascendencia constitucional de este recurso, que es requisito para su admisión de conformidad con los arts. 49.1 y 50.1 b) de nuestra Ley Orgánica reguladora, esta condición de requisito de admisión y por consiguiente de orden público procesal (entre otras, STC 113/2012, de 24 de mayo, FJ 2, y las allí citadas) así como exigencias de certeza y buena administración de justicia (STEDH de 20 de enero de 2015, caso Arribas Antón contra España, apartado 46) obligan a explicitar el cumplimiento de ese requisito para hacer así recognoscibles los criterios empleados al efecto por este Tribunal”</w:t>
      </w:r>
      <w:r>
        <w:rPr>
          <w:szCs w:val="24"/>
        </w:rPr>
        <w:t>.</w:t>
      </w:r>
    </w:p>
    <w:p w14:paraId="43D0B511" w14:textId="77777777" w:rsidR="006F44C0" w:rsidRDefault="006F44C0" w:rsidP="006F44C0">
      <w:pPr>
        <w:rPr>
          <w:szCs w:val="24"/>
        </w:rPr>
      </w:pPr>
    </w:p>
    <w:p w14:paraId="38BF1854" w14:textId="77777777" w:rsidR="006F44C0" w:rsidRDefault="006F44C0" w:rsidP="006F44C0">
      <w:pPr>
        <w:rPr>
          <w:szCs w:val="24"/>
        </w:rPr>
      </w:pPr>
      <w:r>
        <w:rPr>
          <w:szCs w:val="24"/>
        </w:rPr>
        <w:t>Pese a lo anterior, es  necesario señalar que este deber impuesto al Tribunal de hacer visibles las razones de admisión en base a la especial trascendencia constitucional, ha de ser efectivo no como un mero requisito formal, sino como una obligación derivada del principio de seguridad jurídica, expuesto por el TEDH,  mediante la que, de manera cierta, se trasladen las razones para la admisión en relación a la dimensión objetiva del recurso; así como, que el conocimiento sobre el fondo se corresponda con una verdadera trascendencia constitucional.</w:t>
      </w:r>
    </w:p>
    <w:p w14:paraId="16152F7A" w14:textId="77777777" w:rsidR="006F44C0" w:rsidRDefault="006F44C0" w:rsidP="006F44C0">
      <w:pPr>
        <w:rPr>
          <w:szCs w:val="24"/>
        </w:rPr>
      </w:pPr>
    </w:p>
    <w:p w14:paraId="45CB1072" w14:textId="77777777" w:rsidR="006F44C0" w:rsidRDefault="006F44C0" w:rsidP="006F44C0">
      <w:pPr>
        <w:rPr>
          <w:szCs w:val="24"/>
        </w:rPr>
      </w:pPr>
      <w:r>
        <w:rPr>
          <w:szCs w:val="24"/>
        </w:rPr>
        <w:t>Sin embargo, gran parte del problema reside en el hecho de que tal vertiente objetiva no se corresponde con el grueso de las sentencias, ni tan siquiera con una parte mayoritaria. Por el contrario, en su mayoría, lo que se produce es una reiteración de la doctrina ya existente y una aplicación al caso concreto; con lo que nada nuevo se añade a la doctrina ya elaborada con anterioridad por el propio Tribunal.</w:t>
      </w:r>
    </w:p>
    <w:p w14:paraId="1A42B6F0" w14:textId="77777777" w:rsidR="006F44C0" w:rsidRDefault="006F44C0" w:rsidP="006F44C0">
      <w:pPr>
        <w:rPr>
          <w:szCs w:val="24"/>
        </w:rPr>
      </w:pPr>
    </w:p>
    <w:p w14:paraId="0C70E0A5" w14:textId="77777777" w:rsidR="006F44C0" w:rsidRDefault="006F44C0" w:rsidP="006F44C0">
      <w:pPr>
        <w:rPr>
          <w:szCs w:val="24"/>
        </w:rPr>
      </w:pPr>
      <w:r>
        <w:rPr>
          <w:szCs w:val="24"/>
        </w:rPr>
        <w:lastRenderedPageBreak/>
        <w:t>Y es que el propio TC no ayuda a alcanzar una valoración distinta con sus argumentos, ni siquiera después de que la citada Sentencia del TEDH le haya obligado a hacer pública la causa de especial trascendencia que motiva la admisión del amparo. En la práctica, el TC se sigue limitando a exponer en los antecedentes de la sentencia la causa de especial trascendencia contenida en la providencia de admisión a trámite, causa que se reconduce a alguno de los supuestos del FJ 2º de la STC 155/2009, y que no siempre encuentra desarrollo en la fundamentación jurídica y, en ocasiones, no encuentra siquiera correspondencia con el contenido de los argumentos que conducen a la estimación o desestimación del amparo.</w:t>
      </w:r>
    </w:p>
    <w:p w14:paraId="6166CA0B" w14:textId="77777777" w:rsidR="006F44C0" w:rsidRDefault="006F44C0" w:rsidP="006F44C0">
      <w:pPr>
        <w:rPr>
          <w:szCs w:val="24"/>
        </w:rPr>
      </w:pPr>
    </w:p>
    <w:p w14:paraId="3F61F95D" w14:textId="77777777" w:rsidR="006F44C0" w:rsidRDefault="006F44C0" w:rsidP="006F44C0">
      <w:pPr>
        <w:rPr>
          <w:szCs w:val="24"/>
        </w:rPr>
      </w:pPr>
      <w:r>
        <w:rPr>
          <w:szCs w:val="24"/>
        </w:rPr>
        <w:t>Debido a esto, son muchos los sectores doctrinales que comienzan a reclamar una mayor transparencia en la labor del TC, sobre todo orientada a una mayor previsibilidad y, por consiguiente, una mayor seguridad jurídica; ya que su labor ha llegado incluso a ser tachada de arbitraria. Para tal fin se insta, por ejemplo, a que las providencias sean motivadas y públicas. También se buscan soluciones a los recursos en que exista una especial trascendencia constitucional pero no exista una apariencia de lesión o vulneración del derecho fundamental, para estos supuestos se propone que su resolución lo sea mediante auto.</w:t>
      </w:r>
    </w:p>
    <w:p w14:paraId="2CA837CF" w14:textId="77777777" w:rsidR="006F44C0" w:rsidRDefault="006F44C0" w:rsidP="006F44C0">
      <w:pPr>
        <w:rPr>
          <w:szCs w:val="24"/>
        </w:rPr>
      </w:pPr>
    </w:p>
    <w:p w14:paraId="4C71BD91" w14:textId="77777777" w:rsidR="006F44C0" w:rsidRDefault="006F44C0" w:rsidP="006F44C0">
      <w:pPr>
        <w:rPr>
          <w:szCs w:val="24"/>
        </w:rPr>
      </w:pPr>
      <w:r>
        <w:rPr>
          <w:szCs w:val="24"/>
        </w:rPr>
        <w:t>Coincidimos con la doctrina mayoritaria en este punto al entender que la motivación de las providencias o la resolución mediante auto en lugar de éstas proporcionarían una mayor seguridad jurídica y una gran ayuda para los operadores jurídicos a la hora de interpretar la especial trascendencia constitucional pues, como hemos visto a raíz del análisis de los datos de las Memorias del TC, vemos que aún a día de hoy, son muchos los recursos que se presentan con una justificación insuficiente o, incluso, inexistente de este requisito.</w:t>
      </w:r>
    </w:p>
    <w:p w14:paraId="42823473" w14:textId="77777777" w:rsidR="006F44C0" w:rsidRDefault="006F44C0" w:rsidP="006F44C0">
      <w:pPr>
        <w:rPr>
          <w:szCs w:val="24"/>
        </w:rPr>
      </w:pPr>
    </w:p>
    <w:p w14:paraId="1822F247" w14:textId="77777777" w:rsidR="006F44C0" w:rsidRDefault="006F44C0" w:rsidP="006F44C0">
      <w:pPr>
        <w:rPr>
          <w:i/>
          <w:szCs w:val="24"/>
        </w:rPr>
      </w:pPr>
    </w:p>
    <w:p w14:paraId="0FB540BF" w14:textId="77777777" w:rsidR="006F44C0" w:rsidRDefault="006F44C0" w:rsidP="006F44C0">
      <w:pPr>
        <w:rPr>
          <w:i/>
          <w:szCs w:val="24"/>
        </w:rPr>
      </w:pPr>
    </w:p>
    <w:p w14:paraId="3781A6A5" w14:textId="77777777" w:rsidR="006F44C0" w:rsidRDefault="006F44C0" w:rsidP="006F44C0"/>
    <w:p w14:paraId="03E2D7D2" w14:textId="77777777" w:rsidR="006F44C0" w:rsidRPr="00C6587C" w:rsidRDefault="006F44C0" w:rsidP="006F44C0"/>
    <w:p w14:paraId="307E3888" w14:textId="77777777" w:rsidR="006F44C0" w:rsidRDefault="006F44C0" w:rsidP="006F44C0">
      <w:r>
        <w:br w:type="page"/>
      </w:r>
    </w:p>
    <w:p w14:paraId="447A5A32" w14:textId="537797F0" w:rsidR="006C3FF7" w:rsidRPr="003A63E8" w:rsidRDefault="001815E7" w:rsidP="003A63E8">
      <w:pPr>
        <w:pStyle w:val="Ttulo1"/>
        <w:jc w:val="center"/>
      </w:pPr>
      <w:bookmarkStart w:id="780" w:name="_Toc49423712"/>
      <w:bookmarkStart w:id="781" w:name="_Toc49708644"/>
      <w:bookmarkStart w:id="782" w:name="_Toc49790310"/>
      <w:bookmarkStart w:id="783" w:name="_Toc49866605"/>
      <w:bookmarkStart w:id="784" w:name="_Toc50373200"/>
      <w:bookmarkEnd w:id="764"/>
      <w:r>
        <w:lastRenderedPageBreak/>
        <w:t>CONCLUSIONES</w:t>
      </w:r>
      <w:bookmarkEnd w:id="780"/>
      <w:bookmarkEnd w:id="781"/>
      <w:bookmarkEnd w:id="782"/>
      <w:bookmarkEnd w:id="783"/>
      <w:bookmarkEnd w:id="784"/>
    </w:p>
    <w:p w14:paraId="24E2FC4B" w14:textId="77777777" w:rsidR="006C3FF7" w:rsidRPr="00A97CCD" w:rsidRDefault="006C3FF7" w:rsidP="001A4310">
      <w:pPr>
        <w:pStyle w:val="Prrafodelista"/>
        <w:numPr>
          <w:ilvl w:val="0"/>
          <w:numId w:val="66"/>
        </w:numPr>
        <w:rPr>
          <w:szCs w:val="24"/>
        </w:rPr>
      </w:pPr>
      <w:r>
        <w:t xml:space="preserve">El análisis de los sistemas de protección de derechos en España nos lleva a la conclusión de que, no será hasta la Constitución de 1931, precedente de la actual CE, cuando se regule a través del recurso de amparo un sistema de protección eficaz de los derechos fundamentales. El nacimiento del recurso de amparo vino de la mano del nacimiento del Tribunal de Garantías </w:t>
      </w:r>
      <w:r w:rsidRPr="00480C3B">
        <w:t>C</w:t>
      </w:r>
      <w:r>
        <w:t xml:space="preserve">onstitucionales. A nuestro modo de ver, la importancia de esta figura no radica tanto en su actividad práctica, la cual fue muy breve, sino en asentar las bases de la que será la futura estructura para el establecimiento de las garantías de protección de los derechos fundamentales en nuestro país. </w:t>
      </w:r>
    </w:p>
    <w:p w14:paraId="32F591B4" w14:textId="77777777" w:rsidR="006C3FF7" w:rsidRPr="0099683B" w:rsidRDefault="006C3FF7" w:rsidP="001A4310">
      <w:pPr>
        <w:pStyle w:val="Prrafodelista"/>
        <w:numPr>
          <w:ilvl w:val="0"/>
          <w:numId w:val="66"/>
        </w:numPr>
        <w:rPr>
          <w:szCs w:val="24"/>
        </w:rPr>
      </w:pPr>
      <w:r>
        <w:t xml:space="preserve">El recurso de amparo se configuró en la CE como un recurso subsidiario, extraordinario y excepcional. No obstante, los datos empíricos demostraron que, durante muchos años, fue una realidad la utilización del TC como una instancia procesal más del procedimiento ordinario de tutela, que no como una vía especial para su protección. Esta situación llevó a una saturación o cuasi paralización del Tribunal Constitucional fruto del exceso de demandas de amparo que tenía que resolver y de la errónea concepción del mismo como una última instancia de la jurisdicción ordinaria. La realidad de los hechos permitió también constatar la lentitud de los procedimientos que se desarrollaron ante este Tribunal, cuestiones todas ellas respecto de las que era necesario dar una respuesta legislativa. No obstante, </w:t>
      </w:r>
      <w:r w:rsidRPr="00480C3B">
        <w:t xml:space="preserve">a nuestro modo de ver, </w:t>
      </w:r>
      <w:r>
        <w:t>la reforma producida llegó tardíamente, llegando el TC a unos niveles de colapso que podrían haberse evitado si se hubieran tomado medidas antes. Podría suceder que la falta de experiencia en nuestro país de una justicia constitucional consolidada, hiciera a nuestros legisladores caminar con demasiada cautela en lo que respecta a tomar medidas que supusieran un cambio drástico en nuestro Alto Tribunal. Es por ello que consideramos que hasta que no se vieron asentados unos paradigmas firmes, como fue el caso alemán, nuestro legislador no se atrevió a llevar a cabo una reforma de fondo de este órgano.</w:t>
      </w:r>
    </w:p>
    <w:p w14:paraId="11E372AC" w14:textId="77777777" w:rsidR="006C3FF7" w:rsidRDefault="006C3FF7" w:rsidP="006C3FF7">
      <w:pPr>
        <w:rPr>
          <w:szCs w:val="24"/>
        </w:rPr>
      </w:pPr>
    </w:p>
    <w:p w14:paraId="5DB2E083" w14:textId="77777777" w:rsidR="006C3FF7" w:rsidRPr="0099683B" w:rsidRDefault="006C3FF7" w:rsidP="006C3FF7">
      <w:pPr>
        <w:rPr>
          <w:szCs w:val="24"/>
        </w:rPr>
      </w:pPr>
    </w:p>
    <w:p w14:paraId="325BEBFD" w14:textId="77777777" w:rsidR="006C3FF7" w:rsidRDefault="006C3FF7" w:rsidP="001A4310">
      <w:pPr>
        <w:pStyle w:val="Prrafodelista"/>
        <w:numPr>
          <w:ilvl w:val="0"/>
          <w:numId w:val="66"/>
        </w:numPr>
      </w:pPr>
      <w:r>
        <w:lastRenderedPageBreak/>
        <w:t>Entre las causas que dieron lugar a la situación de colapso de nuestro TC nos parece necesario destacar un aspecto clave que creemos que, aún a día de hoy, más de una década después de la reforma operada en 2007, sigue ocasionando problemas, aunque quizás, después de la reforma, se vea velado por la dinámica de funcionamiento del TC. Nos estamos refiriendo a la perspectiva que los operadores jurídicos tienen, aún a día de hoy, del uso del TC. Y es que, pese a la dificultad aumentada tras la reforma del acceso al Tribunal, pensamos que la concepción de este no ha cambiado para los demandantes de amparo. Podríamos decir que, más que una cuestión jurídica en sí misma, es una cuestión de “conciencia social”, saber cuándo realmente se debe acudir a este órgano. Es cierto que desde la entrada en vigor de la LO 6/2007 los asuntos ingresados han disminuido considerablemente (</w:t>
      </w:r>
      <w:r w:rsidRPr="00480C3B">
        <w:t>desde los 10000 de los primeros años hasta los 7000 del último quinquenio</w:t>
      </w:r>
      <w:r>
        <w:t>), sin embargo, la inmensa mayoría de los asuntos ingresados siguen siendo recursos de amparo. Pensamos pues que, pese a que el balance en este sentido de la reforma ha sido positivo, aún queda mucho trabajo por hacer, especialmente en lo que respecta a esa “concienciación” respecto al uso del TC. Concretamente, nos referimos a que no todo asunto que posea una mínima relación con los derechos fundamentales debe acabar en el TC. Debemos destacar, además, que este asunto enlaza con la problemática relacionada con la excesiva alegación del art. 24 CE en las demandas de amparo, el cual es la causa principal de que prácticamente cualquier caso pueda acabar en el TC ya que muchos asuntos que, en principio, no están relacionados con derechos fundamentales pueden justificarse</w:t>
      </w:r>
      <w:r w:rsidRPr="003F1EBC">
        <w:rPr>
          <w:color w:val="FF0000"/>
        </w:rPr>
        <w:t xml:space="preserve"> </w:t>
      </w:r>
      <w:r>
        <w:t xml:space="preserve">– con un poco de ingenio- con el derecho a la tutela judicial efectiva. </w:t>
      </w:r>
    </w:p>
    <w:p w14:paraId="0B79200E" w14:textId="77777777" w:rsidR="006C3FF7" w:rsidRDefault="006C3FF7" w:rsidP="001A4310">
      <w:pPr>
        <w:pStyle w:val="Prrafodelista"/>
        <w:numPr>
          <w:ilvl w:val="0"/>
          <w:numId w:val="66"/>
        </w:numPr>
      </w:pPr>
      <w:r>
        <w:t xml:space="preserve">La LO 6/2007, de 24 de mayo, intentó dar solución a todos estos problemas adecuando la normativa a las exigencias que se derivaban de la realidad práctica del funcionamiento y organización de nuestro TC. El texto final de la reforma fue objeto de multitud de debates y desacuerdos. La mayoría de ellos versaban acerca del riesgo o peligro de la proyectada reforma de mermar la defensa y protección de los derechos fundamentales de los ciudadanos. Ello debido a la excesiva </w:t>
      </w:r>
      <w:r w:rsidRPr="00C05743">
        <w:t>objetivación</w:t>
      </w:r>
      <w:r>
        <w:t xml:space="preserve"> del amparo (mediante exigencias como la especial trascendencia constitucional) en detrimento del amparo subjetivo. En última instancia, la mayor eficacia y funcionalidad del propio Tribunal no puede implicar la reducción de las </w:t>
      </w:r>
      <w:r>
        <w:lastRenderedPageBreak/>
        <w:t xml:space="preserve">garantías de los ciudadanos en cuanto a sus derechos fundamentales y libertades públicas. </w:t>
      </w:r>
    </w:p>
    <w:p w14:paraId="40CF7614" w14:textId="77777777" w:rsidR="006C3FF7" w:rsidRDefault="006C3FF7" w:rsidP="001A4310">
      <w:pPr>
        <w:pStyle w:val="Prrafodelista"/>
        <w:numPr>
          <w:ilvl w:val="0"/>
          <w:numId w:val="66"/>
        </w:numPr>
      </w:pPr>
      <w:r w:rsidRPr="00C518FD">
        <w:t xml:space="preserve">La reforma producida por la LO 6/2007 supuso el cambio más relevante hasta  ahora realizado en la configuración de nuestro TC. Éste aplicó la reforma de forma gradual, siendo en sus primeros años algo más flexible y dictando una jurisprudencia con fines  aclaratorios e interpretativos. No obstante, este hecho no evitó que se generara una gran inseguridad jurídica entre los operadores jurídicos y los demandantes de amparo pues esta jurisprudencia fue insuficiente y, a nuestro parecer, tardía.  </w:t>
      </w:r>
    </w:p>
    <w:p w14:paraId="71F1B18F" w14:textId="77777777" w:rsidR="006C3FF7" w:rsidRPr="00A2761D" w:rsidRDefault="006C3FF7" w:rsidP="001A4310">
      <w:pPr>
        <w:pStyle w:val="Prrafodelista"/>
        <w:numPr>
          <w:ilvl w:val="0"/>
          <w:numId w:val="66"/>
        </w:numPr>
      </w:pPr>
      <w:r>
        <w:t>De las tres principales medidas que introdujo el legislador con la reforma (</w:t>
      </w:r>
      <w:r w:rsidRPr="00C917AF">
        <w:t>atribución a las Secciones de competencia para resolver recursos de amparo; nueva configuración del incidente de nulidad de actuaciones; y modificación del trámite de admisión del recurso de amparo</w:t>
      </w:r>
      <w:r>
        <w:t xml:space="preserve">) consideramos que, sólo la tercera, ha cumplido realmente con su función. </w:t>
      </w:r>
      <w:r w:rsidRPr="00A97CCD">
        <w:rPr>
          <w:szCs w:val="24"/>
        </w:rPr>
        <w:t>Respecto al conocimiento del recurso de amparo por las Secciones, el propio TC ha excluido esta facultad en la práctica. Éstas, en un principio, procedieron a dictar sentencias de amparo, aunque en la mayoría de las sentencias dictadas se produjo una aplicación de la doctrina ya existente del TC. Sin embargo, poco tiempo después se produjo un cambio hacia la regla general de conocimiento por parte de las Salas, para disminuir el riesgo de que se pudieran producir decisiones contradictorias en el seno del Tribunal. Por tanto, por decisión interna del Tribunal, se aplicó como regla general el conocimiento por las Salas y no por las Secciones.</w:t>
      </w:r>
    </w:p>
    <w:p w14:paraId="6035A20D" w14:textId="77777777" w:rsidR="006C3FF7" w:rsidRDefault="006C3FF7" w:rsidP="001A4310">
      <w:pPr>
        <w:pStyle w:val="Prrafodelista"/>
        <w:numPr>
          <w:ilvl w:val="0"/>
          <w:numId w:val="66"/>
        </w:numPr>
      </w:pPr>
      <w:r>
        <w:t xml:space="preserve">El uso de providencias – no motivadas- para inadmitir las demandas de amparo presentadas ante el TC, </w:t>
      </w:r>
      <w:r w:rsidRPr="00AB7235">
        <w:t xml:space="preserve">a pesar de </w:t>
      </w:r>
      <w:r>
        <w:t xml:space="preserve">ser una medida </w:t>
      </w:r>
      <w:r w:rsidRPr="00AB7235">
        <w:t>amparad</w:t>
      </w:r>
      <w:r>
        <w:t>a</w:t>
      </w:r>
      <w:r w:rsidRPr="00AB7235">
        <w:t xml:space="preserve"> por la </w:t>
      </w:r>
      <w:r>
        <w:t xml:space="preserve">propia </w:t>
      </w:r>
      <w:r w:rsidRPr="00AB7235">
        <w:t xml:space="preserve">CE, </w:t>
      </w:r>
      <w:r>
        <w:t xml:space="preserve">así como </w:t>
      </w:r>
      <w:r w:rsidRPr="00AB7235">
        <w:t xml:space="preserve">necesaria para la reducción de la excesiva carga de trabajo del Tribunal, </w:t>
      </w:r>
      <w:r>
        <w:t xml:space="preserve">nos parece una facultad que concede a este órgano </w:t>
      </w:r>
      <w:r w:rsidRPr="00295203">
        <w:t xml:space="preserve">un margen de maniobra en las inadmisiones demasiado amplio y discrecional. Este hecho provoca, a nuestro modo de ver, una cierta falta de control a la hora de determinar qué entra y qué no entra en el TC y, no sólo eso, sino que tampoco permite al operador jurídico conocer el motivo concreto de su inadmisión para poder realizar una mejora en su trabajo. </w:t>
      </w:r>
      <w:r>
        <w:t xml:space="preserve">Es más, este blindaje de las providencias hace que no se conozcan las causas de inadmisión a trámite de las demandas de amparo, complicando </w:t>
      </w:r>
      <w:r>
        <w:lastRenderedPageBreak/>
        <w:t>consecuentemente el trabajo y esfuerzo de los demandantes de amparo ya que se aumenta la dificultad a la hora de justificar la especial trascendencia constitucional.</w:t>
      </w:r>
      <w:r w:rsidRPr="000F7EA9">
        <w:t xml:space="preserve"> Consideramos </w:t>
      </w:r>
      <w:r>
        <w:t>que se ha producido una pérdida considerable de la seguridad jurídica en pro de la agilidad de este órgano.  Entendemos su utilidad en los primeros años de aplicación de la reforma pues, dada la sobrecarga de trabajo del TC, era lógica la utilización de este instrumento por la celeridad que le otorgaba al Tribunal, sin embargo, a día de hoy, y teniendo en cuenta el descenso de asuntos que se presentan ante éste, sería una idea a tener en cuenta el cambiar este método de rechazo de asuntos para otorgar a nuestro TC una mayor legitimidad, así como una mayor seguridad para los justiciables.</w:t>
      </w:r>
    </w:p>
    <w:p w14:paraId="0496A42B" w14:textId="77777777" w:rsidR="006C3FF7" w:rsidRDefault="006C3FF7" w:rsidP="001A4310">
      <w:pPr>
        <w:pStyle w:val="Prrafodelista"/>
        <w:numPr>
          <w:ilvl w:val="0"/>
          <w:numId w:val="66"/>
        </w:numPr>
        <w:rPr>
          <w:szCs w:val="24"/>
        </w:rPr>
      </w:pPr>
      <w:r w:rsidRPr="00A97CCD">
        <w:rPr>
          <w:szCs w:val="24"/>
        </w:rPr>
        <w:t>En la actualidad, existe una jurisprudencia vacilante no sólo respecto a las obligaciones impuestas al demandante de amparo a la hora de desplegar las obligaciones  que le son impuestas por el art. 49.1 in fine LOTC; sino respecto al propio cumplimiento de las obligaciones que su propia Ley Orgánica le impone al Tribunal a la hora de admitir a trámite una demanda basada en la especial trascendencia constitucional y su necesaria apreciación no como cumplimiento de un mero requisito formal, sino como un verdadero requisito sustantivo o de fondo, art. 50.1 b) LOTC. Es por ello que, aún a día de hoy, muchos operadores jurídicos aún no han sido receptivos a la reforma. Esto es, aún se presentan recursos de amparo sin justificar la trascendencia constitucional, o sin haber agotado la vía judicial previa o sin justificar la lesión de un derecho fundamental. Esta situación está mejorando si se observa el número de recursos que llega al TC. Sin embargo, creemos que sigue siendo una asignatura pendiente</w:t>
      </w:r>
      <w:r>
        <w:rPr>
          <w:szCs w:val="24"/>
        </w:rPr>
        <w:t xml:space="preserve"> para </w:t>
      </w:r>
      <w:r w:rsidRPr="00A97CCD">
        <w:rPr>
          <w:szCs w:val="24"/>
        </w:rPr>
        <w:t>los operadores jurídicos</w:t>
      </w:r>
      <w:r>
        <w:rPr>
          <w:szCs w:val="24"/>
        </w:rPr>
        <w:t>, quedando aún mucho trabajo por hacer</w:t>
      </w:r>
      <w:r w:rsidRPr="00A97CCD">
        <w:rPr>
          <w:szCs w:val="24"/>
        </w:rPr>
        <w:t>.</w:t>
      </w:r>
    </w:p>
    <w:p w14:paraId="2224B820" w14:textId="77777777" w:rsidR="006C3FF7" w:rsidRDefault="006C3FF7" w:rsidP="001A4310">
      <w:pPr>
        <w:pStyle w:val="Prrafodelista"/>
        <w:numPr>
          <w:ilvl w:val="0"/>
          <w:numId w:val="66"/>
        </w:numPr>
        <w:rPr>
          <w:szCs w:val="24"/>
        </w:rPr>
      </w:pPr>
      <w:r w:rsidRPr="007B6D21">
        <w:rPr>
          <w:szCs w:val="24"/>
        </w:rPr>
        <w:t>A pesar del evidente carácter objetivo con el que el legislador quiso dotar al nuevo recurso de amparo y de las variadas ocasiones en las que el Tribunal ha admitido dicha objetivación, aún se dan resoluciones en las que el TC ha conocido y resuelto mediante sentencia, con carácter mayoritario, recursos de amparo en los que se produce una mera tutela subjetiva de los derechos fundamentales que se alegan como lesionados. Vemos por tanto que, a día de hoy, aún no se ha producido una total eliminación de la vertiente subjetiva del recurso de amparo</w:t>
      </w:r>
      <w:r>
        <w:rPr>
          <w:szCs w:val="24"/>
        </w:rPr>
        <w:t xml:space="preserve">. </w:t>
      </w:r>
      <w:r>
        <w:rPr>
          <w:szCs w:val="24"/>
        </w:rPr>
        <w:lastRenderedPageBreak/>
        <w:t>Sin embargo, consideramos que la evolución se encamina hacia dicha objetivación.</w:t>
      </w:r>
      <w:r w:rsidRPr="007B6D21">
        <w:rPr>
          <w:szCs w:val="24"/>
        </w:rPr>
        <w:t xml:space="preserve"> </w:t>
      </w:r>
    </w:p>
    <w:p w14:paraId="75B8676F" w14:textId="77777777" w:rsidR="006C3FF7" w:rsidRPr="003A63E8" w:rsidRDefault="006C3FF7" w:rsidP="001A4310">
      <w:pPr>
        <w:pStyle w:val="Prrafodelista"/>
        <w:numPr>
          <w:ilvl w:val="0"/>
          <w:numId w:val="66"/>
        </w:numPr>
        <w:rPr>
          <w:szCs w:val="24"/>
        </w:rPr>
      </w:pPr>
      <w:r w:rsidRPr="003A63E8">
        <w:rPr>
          <w:szCs w:val="24"/>
        </w:rPr>
        <w:t>A pesar de que la objetivación fue un deseo de nuestro legislador, en la práctica lo que existe es una  confluencia de elementos. Consideramos pues que el recurso de amparo se ha objetivado sólo de forma parcial. Entendemos que una objetivación total hubiera sido la concesión al TC de la capacidad plena de selección de los asuntos que le interese, atendiendo únicamente a su criterio. Sin embargo, lo que existen son una serie de elementos que han de cumplirse necesariamente para que un asunto sea admitido. Por tanto,  nuestro sistema presentaría una “objetivación parcial” ya que se da la existencia de unos elementos sin cuya existencia el TC no puede admitir un asunto, pero una vez dados estos elementos, el TC puede decidir atendiendo a su criterio sí admite el asunto o no.</w:t>
      </w:r>
    </w:p>
    <w:p w14:paraId="3E64F5ED" w14:textId="77777777" w:rsidR="006C3FF7" w:rsidRPr="003A63E8" w:rsidRDefault="006C3FF7" w:rsidP="001A4310">
      <w:pPr>
        <w:pStyle w:val="Prrafodelista"/>
        <w:numPr>
          <w:ilvl w:val="0"/>
          <w:numId w:val="66"/>
        </w:numPr>
        <w:rPr>
          <w:szCs w:val="24"/>
        </w:rPr>
      </w:pPr>
      <w:r w:rsidRPr="003A63E8">
        <w:rPr>
          <w:szCs w:val="24"/>
        </w:rPr>
        <w:t>Es necesario el planteamiento de ciertos que consideramos problemáticos para la efectiva protección de los derechos fundamentales. Consideramos que es totalmente necesario el fortalecimiento del papel del juez ordinario como garante principal de los derechos fundamentales. Sin embargo, la reforma de 2007 no cumplió este objetivo ya que no se incorporó un mecanismo efectivo para ello. No fue el incidente de nulidad de actuaciones la solución. Entendemos que se podrían haber llevado a cabo otras medidas, en nuestra opinión, más efectiva, como la modificación de la legislación procesal al hilo de crear un nuevo recurso para la protección de los derechos fundamentales o la creación de una Sala especial en el TS para tal cometido.</w:t>
      </w:r>
    </w:p>
    <w:p w14:paraId="423B4E74" w14:textId="77777777" w:rsidR="006C3FF7" w:rsidRDefault="006C3FF7" w:rsidP="001A4310">
      <w:pPr>
        <w:pStyle w:val="Prrafodelista"/>
        <w:numPr>
          <w:ilvl w:val="0"/>
          <w:numId w:val="66"/>
        </w:numPr>
      </w:pPr>
      <w:r w:rsidRPr="003A63E8">
        <w:t>La LO 6/20007 intentó conferir un plus de protección a los derechos fundamentales en la jurisdicción ordinaria y remarcar el estatus de principales garantes de estos derechos a los jueces de esta jurisdicción. Sin embargo, uno de los principales problemas que podemos encontrar al respecto es el hecho de que el legislador quiso cumplir este objetivo mediante una figura de carácter excepcional como es el incidente de nulidad de actuaciones. Consecuentemente, se pretendió otorgar una garantía extra de protección a los derechos fundamentales mediante un incidente excepcional antes</w:t>
      </w:r>
      <w:r>
        <w:t xml:space="preserve"> de recurrir, en su caso, al TC usando otro recurso excepcional como es el amparo constitucional. Además, si tenemos en cuenta que sólo el 1% de los recursos de amparo son admitidos a trámite, podemos </w:t>
      </w:r>
      <w:r>
        <w:lastRenderedPageBreak/>
        <w:t>ver que el incidente “excepcional” de nulidad de actuaciones será, en la mayoría de los casos, la última vía para la protección de estos derechos. Carece por tanto de sentido, a nuestro modo de ver, que esta última vía de protección se lleve a cabo mediante un recurso de naturaleza extraordinaria y subsidiaria que, como la propia LOPJ recoge, no será admitido como regla general.</w:t>
      </w:r>
    </w:p>
    <w:p w14:paraId="783D8B4F" w14:textId="77777777" w:rsidR="006C3FF7" w:rsidRDefault="006C3FF7" w:rsidP="001A4310">
      <w:pPr>
        <w:pStyle w:val="Prrafodelista"/>
        <w:numPr>
          <w:ilvl w:val="0"/>
          <w:numId w:val="66"/>
        </w:numPr>
      </w:pPr>
      <w:r>
        <w:t xml:space="preserve"> Si consideramos que la ampliación del objeto del incidente “excepcional” de nulidad de actuaciones en la reforma de 2007 tenía como objetivo que esta figura fuese concebida como una nueva garantía de los derechos en la vía jurisdiccional ordinaria (una garantía alternativa al amparo, teniendo en cuenta la dificultad de acudir a este tras la introducción del requisito de la especial trascendencia constitucional), consideramos que su diseño procesal no responde a este objetivo. </w:t>
      </w:r>
      <w:r w:rsidRPr="00E621F5">
        <w:t>Esta</w:t>
      </w:r>
      <w:r>
        <w:rPr>
          <w:color w:val="FF0000"/>
        </w:rPr>
        <w:t xml:space="preserve"> </w:t>
      </w:r>
      <w:r w:rsidRPr="003C477A">
        <w:t xml:space="preserve">ampliación material del objeto del incidente no se corresponde con una ampliación real de los motivos de impugnación al </w:t>
      </w:r>
      <w:r>
        <w:t xml:space="preserve">encontrarse </w:t>
      </w:r>
      <w:r w:rsidRPr="003C477A">
        <w:t>limita</w:t>
      </w:r>
      <w:r>
        <w:t xml:space="preserve">do </w:t>
      </w:r>
      <w:r w:rsidRPr="003C477A">
        <w:t>a las lesiones producidas por los propios órganos judiciales y no incluir las lesiones no reparadas por los mismos órganos.</w:t>
      </w:r>
      <w:r>
        <w:t xml:space="preserve"> Además, a</w:t>
      </w:r>
      <w:r w:rsidRPr="003C477A">
        <w:t>l prohibirse la “traslación” de las vulneraciones de derechos fundamentales y sólo admitirse las vulneraciones producidas por el mismo órgano que resolvió, difícilmente veremos incidentes de nulidad de actuaciones alegados en base</w:t>
      </w:r>
      <w:r>
        <w:t xml:space="preserve"> a un artículo distinto al</w:t>
      </w:r>
      <w:r w:rsidRPr="003C477A">
        <w:t xml:space="preserve"> 24 CE. Por tanto, pese a haberse ampliado el objeto, </w:t>
      </w:r>
      <w:r>
        <w:t>consideramos esta ampliación como ‘ficticia’ ya que no presenta ninguna proyección ni utilidad práctica.</w:t>
      </w:r>
    </w:p>
    <w:p w14:paraId="6C16475D" w14:textId="77777777" w:rsidR="006C3FF7" w:rsidRDefault="006C3FF7" w:rsidP="001A4310">
      <w:pPr>
        <w:pStyle w:val="Prrafodelista"/>
        <w:numPr>
          <w:ilvl w:val="0"/>
          <w:numId w:val="66"/>
        </w:numPr>
      </w:pPr>
      <w:r>
        <w:t>R</w:t>
      </w:r>
      <w:r w:rsidRPr="0068677C">
        <w:t>esulta difícil el conocimiento de los criterios del TC a la hora de valorar cuándo será imprescindible la interposición del</w:t>
      </w:r>
      <w:r>
        <w:t xml:space="preserve"> incidente</w:t>
      </w:r>
      <w:r w:rsidRPr="0068677C">
        <w:t xml:space="preserve"> </w:t>
      </w:r>
      <w:r>
        <w:t xml:space="preserve">“excepcional” de nulidad de actuaciones </w:t>
      </w:r>
      <w:r w:rsidRPr="0068677C">
        <w:t xml:space="preserve">para considerar agotada la vía judicial previa, o incluso para valorar cuándo éste será improcedente. Esta dificultad resulta incomprensible teniendo en cuenta que la adecuada interposición del incidente será determinante para la admisión, en su caso, de un posterior recurso de amparo.  Además, la </w:t>
      </w:r>
      <w:r w:rsidRPr="00E621F5">
        <w:t>doctrina del TC</w:t>
      </w:r>
      <w:r w:rsidRPr="008D4C23">
        <w:rPr>
          <w:color w:val="FF0000"/>
        </w:rPr>
        <w:t xml:space="preserve"> </w:t>
      </w:r>
      <w:r w:rsidRPr="0068677C">
        <w:t>no permite diseñar estrategias de litigio con garantía de éxito ya que, aún a día de hoy, los operadores jurídicos siguen teniendo dudas acerca de cuándo se debe interponer esta figura antes de acudir al recurso de amparo constitucional.</w:t>
      </w:r>
      <w:r>
        <w:t xml:space="preserve"> Y es que el recurso de amparo será considerado extemporáneo, por alargamiento de la vía judicial previa, si se interpuso un incidente de nulidad de actuaciones «improcedente» resultando la demanda de amparo presentada fuera del plazo </w:t>
      </w:r>
      <w:r>
        <w:lastRenderedPageBreak/>
        <w:t xml:space="preserve">legalmente establecido. En el caso de que no se interponga el incidente “excepcional” de nulidad de actuaciones y se acuda directamente al amparo, en el caso de que el TC considere que alguna de las vulneraciones denunciadas pudo denunciarse por la vía del incidente, el recurso de amparo será inadmitido por tener un carácter “prematuro”. </w:t>
      </w:r>
    </w:p>
    <w:p w14:paraId="2DBCA9C1" w14:textId="77777777" w:rsidR="006C3FF7" w:rsidRDefault="006C3FF7" w:rsidP="001A4310">
      <w:pPr>
        <w:pStyle w:val="Prrafodelista"/>
        <w:numPr>
          <w:ilvl w:val="0"/>
          <w:numId w:val="66"/>
        </w:numPr>
      </w:pPr>
      <w:r>
        <w:t xml:space="preserve"> Otro problema que, a nuestro modo de ver, hace del incidente un instrumento poco útil e inadecuado para la protección de los derechos fundamentales es su carácter no devolutivo. Este hecho hace que, en la práctica, su estimación sea bastante compleja debido al hecho en sí de que su resolución dependerá del cambio de criterio a la hora de resolver del propio órgano que originó la vulneración del derecho fundamental. En nuestra opinión, esta figura podría ser más efectiva si la resolución de la misma se llevara a cabo por un superior jerárquico ya que, de este modo, podría resolverse con una mayor objetividad o, en todo caso, por un juez distinto al que resolvió la sentencia objeto del incidente.</w:t>
      </w:r>
    </w:p>
    <w:p w14:paraId="39C92B67" w14:textId="77777777" w:rsidR="006C3FF7" w:rsidRPr="003A63E8" w:rsidRDefault="006C3FF7" w:rsidP="001A4310">
      <w:pPr>
        <w:pStyle w:val="Prrafodelista"/>
        <w:numPr>
          <w:ilvl w:val="0"/>
          <w:numId w:val="66"/>
        </w:numPr>
      </w:pPr>
      <w:r w:rsidRPr="004157B7">
        <w:t xml:space="preserve">Creemos que no se han cumplido los objetivos que se perseguían con esta figura. Por una parte, no se ha desarrollado el incidente </w:t>
      </w:r>
      <w:r>
        <w:t xml:space="preserve">“excepcional” de nulidad de actuaciones </w:t>
      </w:r>
      <w:r w:rsidRPr="004157B7">
        <w:t>como una garantía adicional más del justiciable ante la jurisdicción ordinaria, nada más lejos, la realidad ha sido que esta figura se ha convertido en un óbice procesal, a nuestro parecer molesto, que entorpece y dificulta la llegada al recurso de amparo. Bien es cierto, que la intención era que no fuese necesario llegar al TC, sino que la protección la otorgase el juez ordinario, pero siendo la realidad que esta figura no otorga dicha protección y que, finalmente, es necesario acudir a éste, lo único que hace el incidente es ralentizar el camino</w:t>
      </w:r>
      <w:r w:rsidRPr="003A63E8">
        <w:t>. Por otra parte, el incidente no ayuda en absoluto a la tutela de los derechos fundamentales por parte de la jurisdicción ordinaria, principalmente porque, aun habiéndose ampliado su objeto, la realidad es que la mayoría de los incidentes el único derecho alegado es el del art. 24 CE, por lo que la reforma de 2007 no ha conllevado ninguna mejora en este sentido.</w:t>
      </w:r>
    </w:p>
    <w:p w14:paraId="7592E389" w14:textId="77777777" w:rsidR="006C3FF7" w:rsidRPr="004157B7" w:rsidRDefault="006C3FF7" w:rsidP="001A4310">
      <w:pPr>
        <w:pStyle w:val="Prrafodelista"/>
        <w:numPr>
          <w:ilvl w:val="0"/>
          <w:numId w:val="66"/>
        </w:numPr>
      </w:pPr>
      <w:r w:rsidRPr="004157B7">
        <w:t xml:space="preserve">La configuración actual del incidente hace que éste no tenga ninguna utilidad en lo que respecta a la protección de los derechos fundamentales y a la acentuación de la jurisdicción ordinaria como principal garante de los mismos. </w:t>
      </w:r>
      <w:r>
        <w:t>Entendemos</w:t>
      </w:r>
      <w:r w:rsidRPr="004157B7">
        <w:t xml:space="preserve"> que la mejor opción sería o bien su supresión en pro de la agilidad procesal, o bien </w:t>
      </w:r>
      <w:r w:rsidRPr="004157B7">
        <w:lastRenderedPageBreak/>
        <w:t>cambiar esta configuración. Algunas opciones que creemos mejorarían dicha configuración y le darían una mayor eficacia a esta institución serían la resolución de la misma por parte de un juez distinto de esa misma instancia o por su superior jerárquico o su conversión en un recurso de carácter obligatorio para la protección de los derechos fundamentales (el TC ya reconoció en su STC  9/2014, FJ 5, que el incidente no es un recurso en sentido estricto)</w:t>
      </w:r>
      <w:r>
        <w:t>.</w:t>
      </w:r>
    </w:p>
    <w:p w14:paraId="1F2FE5CC" w14:textId="77777777" w:rsidR="006C3FF7" w:rsidRDefault="006C3FF7" w:rsidP="001A4310">
      <w:pPr>
        <w:pStyle w:val="Prrafodelista"/>
        <w:numPr>
          <w:ilvl w:val="0"/>
          <w:numId w:val="66"/>
        </w:numPr>
      </w:pPr>
      <w:r w:rsidRPr="004157B7">
        <w:t>Consideramos que el efectivo rendimiento del incidente se debería haber traducido en una considerable disminución de demandas de amparo que alegasen el art. 24 CE, pues esto significaría que, el juez ordinario, como garante principal de los derechos fundamentales, habría solventado las vulneraciones producidas a este derecho. Sin embargo, el porcentaje de invocación de este derecho sigue siendo considerablemente alto, de hecho, sigue siendo el derecho más invocado en los recursos de amparo, por lo que opinamos que el funcionamiento del incidente debe mejorar</w:t>
      </w:r>
      <w:r w:rsidRPr="003A63E8">
        <w:t>. Entendemos que este instrumento sólo es operativo en los supuestos de error patente del juez que dictó la última sentencia, ya que se le permite enmendar su propio error.</w:t>
      </w:r>
      <w:r w:rsidRPr="004157B7">
        <w:t xml:space="preserve"> Otro caso en el que podría parecer oportuno sería en los casos de procesos de única instancia ya que se permitiría ampliar la argumentación jurídica en relación al derecho fundamental.</w:t>
      </w:r>
    </w:p>
    <w:p w14:paraId="0B8F93A9" w14:textId="77777777" w:rsidR="006C3FF7" w:rsidRDefault="006C3FF7" w:rsidP="001A4310">
      <w:pPr>
        <w:pStyle w:val="Prrafodelista"/>
        <w:numPr>
          <w:ilvl w:val="0"/>
          <w:numId w:val="66"/>
        </w:numPr>
        <w:rPr>
          <w:szCs w:val="24"/>
        </w:rPr>
      </w:pPr>
      <w:r w:rsidRPr="00AB7545">
        <w:t>H</w:t>
      </w:r>
      <w:r w:rsidRPr="00A97CCD">
        <w:rPr>
          <w:szCs w:val="24"/>
        </w:rPr>
        <w:t>a existido una jurisprudencia vacilante en torno a la conexión entre el nuevo incidente de nulidad de actuaciones y el nuevo trámite de admisión del recurso de amparo. El Tribunal Constitucional ha establecido que para la interposición del incidente habrá de estarse a las circunstancias de cada caso. Nos encontramos pues antes un mecanismo procesal más para intentar reparar la lesión o vulneración del derecho en sede de jurisdicción ordinaria. El incidente de nulidad de actuaciones supone una vía procesal más para entender agotado los mecanismos jurisdiccionales posibles para la tutela del derecho en dicha sede que, dependiendo de las circunstancias concretas, permitirán entender agotada la vía judicial previa para la interposición del recurso de amparo.</w:t>
      </w:r>
    </w:p>
    <w:p w14:paraId="1E2077FD" w14:textId="77777777" w:rsidR="006C3FF7" w:rsidRDefault="006C3FF7" w:rsidP="001A4310">
      <w:pPr>
        <w:pStyle w:val="Prrafodelista"/>
        <w:numPr>
          <w:ilvl w:val="0"/>
          <w:numId w:val="66"/>
        </w:numPr>
        <w:rPr>
          <w:szCs w:val="24"/>
        </w:rPr>
      </w:pPr>
      <w:r w:rsidRPr="00CC0022">
        <w:rPr>
          <w:szCs w:val="24"/>
        </w:rPr>
        <w:t xml:space="preserve">Hemos podido apreciar una máxima rigidez por parte del TC a la hora de aplicar los óbices procesales. Esta extrema rigidez nos lleva a la creencia de que existe por parte del Tribunal una tendencia previa de no admisión de las demandas como regla general, sirviéndose de esta acumulación de óbices procesales para ello. En </w:t>
      </w:r>
      <w:r w:rsidRPr="00CC0022">
        <w:rPr>
          <w:szCs w:val="24"/>
        </w:rPr>
        <w:lastRenderedPageBreak/>
        <w:t>otras palabras, creemos que existe una mínima voluntad por parte del TC a la hora de admitir asuntos.   Además, existe la exigencia de que la justificación de estos óbices sea “suficiente”, no quedando claro qué será “suficiente” para el Tribunal.</w:t>
      </w:r>
    </w:p>
    <w:p w14:paraId="5EA7E439" w14:textId="77777777" w:rsidR="006C3FF7" w:rsidRDefault="006C3FF7" w:rsidP="001A4310">
      <w:pPr>
        <w:pStyle w:val="Prrafodelista"/>
        <w:numPr>
          <w:ilvl w:val="0"/>
          <w:numId w:val="66"/>
        </w:numPr>
        <w:rPr>
          <w:szCs w:val="24"/>
        </w:rPr>
      </w:pPr>
      <w:r w:rsidRPr="00371E56">
        <w:rPr>
          <w:szCs w:val="24"/>
        </w:rPr>
        <w:t>A día de hoy, se siguen produciendo inadmisiones de los recursos de amparo por la falta de justificación de la especial trascendencia constitucional o incluso por su insuficiente justificación. Además, se siguen inadmitiendo recursos por otras cuestiones procesales, como pueden ser la extemporaneidad en la interposición del recurso de amparo o la inexistencia o falta de apariencia de lesión o vulneración del derecho fundamental. Debido a esto, son muchas las voces en la doctrina que reclaman una mayor transparencia en la labor de nuestro TC, especialmente orientada a una mayor previsibilidad y, por consiguiente, una mayor seguridad jurídica; ya que su labor ha llegado a ser tachada, en ocasiones, de arbitraria. Para tal fin se insta, por ejemplo, a que las providencias sean motivadas y públicas.</w:t>
      </w:r>
    </w:p>
    <w:p w14:paraId="69EB4B33" w14:textId="77777777" w:rsidR="006C3FF7" w:rsidRDefault="006C3FF7" w:rsidP="001A4310">
      <w:pPr>
        <w:pStyle w:val="Prrafodelista"/>
        <w:numPr>
          <w:ilvl w:val="0"/>
          <w:numId w:val="66"/>
        </w:numPr>
        <w:rPr>
          <w:szCs w:val="24"/>
        </w:rPr>
      </w:pPr>
      <w:r w:rsidRPr="008E455C">
        <w:rPr>
          <w:szCs w:val="24"/>
        </w:rPr>
        <w:t>A pesar de la labor interpretativa que ha realizado el TC en estos años, aún existen supuestos de especial trascendencia constitucional bastante indeterminados. Los motivos son variados: poca determinación del TC en los casos en los que las demandas se admiten a trámite en base a ese supuesto, pocos casos en los que se ha utilizado, etc. Además, aún a día de hoy, son juchos los recursos de amparo que se presentan que son inadmitidos por no haber cumplido correctamente el requisito de justificación de la especial trascendencia constitucional impuesto por la LOTC. Es más, los pocos recursos admitidos a trámite lo son por los mismos supuestos de trascendencia, principalmente el primero y el segundo.</w:t>
      </w:r>
      <w:r>
        <w:rPr>
          <w:szCs w:val="24"/>
        </w:rPr>
        <w:t xml:space="preserve"> Asimismo, apreciamos “poca originalidad” por parte del TC en su labor de interpretación, realizando en la mayoría de los casos una aplicación de su doctrina ya existente.</w:t>
      </w:r>
    </w:p>
    <w:p w14:paraId="02B0E455" w14:textId="77777777" w:rsidR="006C3FF7" w:rsidRDefault="006C3FF7" w:rsidP="001A4310">
      <w:pPr>
        <w:pStyle w:val="Prrafodelista"/>
        <w:numPr>
          <w:ilvl w:val="0"/>
          <w:numId w:val="66"/>
        </w:numPr>
        <w:rPr>
          <w:szCs w:val="24"/>
        </w:rPr>
      </w:pPr>
      <w:r>
        <w:rPr>
          <w:szCs w:val="24"/>
        </w:rPr>
        <w:t>E</w:t>
      </w:r>
      <w:r w:rsidRPr="00E47DCB">
        <w:rPr>
          <w:szCs w:val="24"/>
        </w:rPr>
        <w:t xml:space="preserve">l TC estableció que la lista de supuestos de especial trascendencia constitucional enumerados en la STC 155/2009 era abierta, </w:t>
      </w:r>
      <w:r>
        <w:rPr>
          <w:szCs w:val="24"/>
        </w:rPr>
        <w:t xml:space="preserve">no obstante, </w:t>
      </w:r>
      <w:r w:rsidRPr="00E47DCB">
        <w:rPr>
          <w:szCs w:val="24"/>
        </w:rPr>
        <w:t>a día de hoy, más de diez años después, esta lista no ha sido ampliada. A nuestro parecer, el propio TC la ha cerrado no admitiendo casos fuera de la misma que amplíen este listado. Son mínimos los casos en que se admite una demanda por un</w:t>
      </w:r>
      <w:r>
        <w:rPr>
          <w:szCs w:val="24"/>
        </w:rPr>
        <w:t xml:space="preserve"> supuesto</w:t>
      </w:r>
      <w:r w:rsidRPr="00E47DCB">
        <w:rPr>
          <w:szCs w:val="24"/>
        </w:rPr>
        <w:t xml:space="preserve"> </w:t>
      </w:r>
      <w:r>
        <w:rPr>
          <w:szCs w:val="24"/>
        </w:rPr>
        <w:t>que no aparece recogido en</w:t>
      </w:r>
      <w:r w:rsidRPr="00373478">
        <w:rPr>
          <w:szCs w:val="24"/>
        </w:rPr>
        <w:t xml:space="preserve"> </w:t>
      </w:r>
      <w:r>
        <w:rPr>
          <w:szCs w:val="24"/>
        </w:rPr>
        <w:t>dicha</w:t>
      </w:r>
      <w:r w:rsidRPr="00373478">
        <w:rPr>
          <w:szCs w:val="24"/>
        </w:rPr>
        <w:t xml:space="preserve"> Sentencia</w:t>
      </w:r>
      <w:r w:rsidRPr="00E47DCB">
        <w:rPr>
          <w:szCs w:val="24"/>
        </w:rPr>
        <w:t xml:space="preserve">. Es más, muchos de </w:t>
      </w:r>
      <w:r>
        <w:rPr>
          <w:szCs w:val="24"/>
        </w:rPr>
        <w:t>citados casos son</w:t>
      </w:r>
      <w:r w:rsidRPr="00E47DCB">
        <w:rPr>
          <w:szCs w:val="24"/>
        </w:rPr>
        <w:t xml:space="preserve"> mínimamente utilizados, ya sea porque los propios demandantes de amparo no los alegan, </w:t>
      </w:r>
      <w:r w:rsidRPr="00E47DCB">
        <w:rPr>
          <w:szCs w:val="24"/>
        </w:rPr>
        <w:lastRenderedPageBreak/>
        <w:t xml:space="preserve">porque están aún muy poco concretados y ello hace que no sean utilizados por su indeterminación o porque el propio TC no admite a trámite casos que estén dentro de esos supuestos. </w:t>
      </w:r>
      <w:r w:rsidRPr="009F5023">
        <w:rPr>
          <w:szCs w:val="24"/>
        </w:rPr>
        <w:t>El supuesto “h”, por ejemplo, ha sido usado en muy pocas ocasiones</w:t>
      </w:r>
      <w:r w:rsidRPr="00E47DCB">
        <w:rPr>
          <w:szCs w:val="24"/>
        </w:rPr>
        <w:t xml:space="preserve">. Los más utilizados, con una gran diferencia, son los supuestos “a” y “b”, relativos a facetas de derechos fundamentales sobre los que no hay existe doctrina y cambios o aclaraciones de doctrina del propio TC.  </w:t>
      </w:r>
    </w:p>
    <w:p w14:paraId="57344D92" w14:textId="77777777" w:rsidR="006C3FF7" w:rsidRDefault="006C3FF7" w:rsidP="001A4310">
      <w:pPr>
        <w:pStyle w:val="Prrafodelista"/>
        <w:numPr>
          <w:ilvl w:val="0"/>
          <w:numId w:val="66"/>
        </w:numPr>
        <w:rPr>
          <w:szCs w:val="24"/>
        </w:rPr>
      </w:pPr>
      <w:r w:rsidRPr="00A65B8A">
        <w:rPr>
          <w:szCs w:val="24"/>
        </w:rPr>
        <w:t xml:space="preserve">Atendiendo a las cifras de la última década, podemos ver que se han cumplido varios de los objetivos que perseguía la reforma. Principalmente, el referido a la disminución del número de recursos que el Tribunal ha de resolver cada año. </w:t>
      </w:r>
      <w:r>
        <w:rPr>
          <w:szCs w:val="24"/>
        </w:rPr>
        <w:t xml:space="preserve">Asimismo, el número de asuntos pendientes ha disminuido considerablemente en estos años. </w:t>
      </w:r>
      <w:r w:rsidRPr="00A65B8A">
        <w:rPr>
          <w:szCs w:val="24"/>
        </w:rPr>
        <w:t>Sin embargo, son muchos los aspectos que aún podrían ser mejorados, entre ellos, la reducción de la llegada de recursos que aleguen aspectos de menor interés como podrán ser problemas relativos a la legalidad ordinaria, discrepancia de pronunciamientos judiciales o aspectos reiterativos relativos al artículo 24 CE. Creemos que, a pesar de que este tipo de recursos no terminasen siendo admitidos a trámite, conlleva un tiempo importante de trabajo para el TC el estudio de los mismos en la fase de admisión, por lo que debería introducirse medidas que evitasen su llegada disminuyendo así el número de recursos planteados ante el TC.</w:t>
      </w:r>
    </w:p>
    <w:p w14:paraId="0C90B8D4" w14:textId="77777777" w:rsidR="006C3FF7" w:rsidRDefault="006C3FF7" w:rsidP="001A4310">
      <w:pPr>
        <w:pStyle w:val="Prrafodelista"/>
        <w:numPr>
          <w:ilvl w:val="0"/>
          <w:numId w:val="66"/>
        </w:numPr>
        <w:rPr>
          <w:szCs w:val="24"/>
        </w:rPr>
      </w:pPr>
      <w:r w:rsidRPr="00F73E4D">
        <w:rPr>
          <w:szCs w:val="24"/>
        </w:rPr>
        <w:t>Creemos que el TC debería buscar un equilibrio para llevar a cabo sus tres funciones principales: tribunal de justicia constitucional, intérprete supremo de la Constitución y garante subsidiario de los derechos fundamentales. A nuestro modo de ver, sí que existen criterios de apreciación de la especial trascendencia constitucional que permitirían compaginar con éxito estas funciones. Un ejemplo de ello sería el último caso de los previstos en la STC 155/2009, que permite encuadrar dentro de él supuestos en los que se atiendan lesiones de relevante gravedad.  De este modo, nuestro Alto Tribunal podría recuperar esa faceta de garante de los derechos fundamentales que en los últimos años ha ido perdiendo.</w:t>
      </w:r>
    </w:p>
    <w:p w14:paraId="270F5EE1" w14:textId="77777777" w:rsidR="006C3FF7" w:rsidRDefault="006C3FF7" w:rsidP="001A4310">
      <w:pPr>
        <w:pStyle w:val="Prrafodelista"/>
        <w:numPr>
          <w:ilvl w:val="0"/>
          <w:numId w:val="66"/>
        </w:numPr>
        <w:rPr>
          <w:szCs w:val="24"/>
        </w:rPr>
      </w:pPr>
      <w:r w:rsidRPr="007108E1">
        <w:rPr>
          <w:szCs w:val="24"/>
        </w:rPr>
        <w:t xml:space="preserve">Cabe preguntarse cuál ha sido el precio que se ha tenido que pagar para “descongestionar” al TC y agilizar su funcionamiento y, sobre todo, si este ha sido excesivo para los demandantes de amparo, para la protección de los derechos fundamentales en general y, por supuesto, para la propia institución del recurso </w:t>
      </w:r>
      <w:r w:rsidRPr="007108E1">
        <w:rPr>
          <w:szCs w:val="24"/>
        </w:rPr>
        <w:lastRenderedPageBreak/>
        <w:t>de amparo. Por una parte, la calidad de los recursos de amparo que el TC admite es cuestionable, pues cabría plantearse si efectivamente los recursos que llegan merecen la pena ser atendido</w:t>
      </w:r>
      <w:r>
        <w:rPr>
          <w:szCs w:val="24"/>
        </w:rPr>
        <w:t>s</w:t>
      </w:r>
      <w:r w:rsidRPr="007108E1">
        <w:rPr>
          <w:szCs w:val="24"/>
        </w:rPr>
        <w:t xml:space="preserve"> y si no se están dejando fuera cuestiones relevantes. A nuestro modo de ver, el TC posee el “monopolio” de la especial trascendencia constitucional ya que sólo él puede decidir qué entra y qué no entra, así como qué es trascendente y qué no. Todo esto en detrimento de la verdadera protección de los derechos fundamentales que sería lo verdaderamente importante. Es por ello que, pese a que sí que se ha producido esa “descongestión” y agilización del TC, objetivos de la reforma, en nuestra opinión el precio a pagar ha sido muy caro, má</w:t>
      </w:r>
      <w:r>
        <w:rPr>
          <w:szCs w:val="24"/>
        </w:rPr>
        <w:t>xime</w:t>
      </w:r>
      <w:r w:rsidRPr="007108E1">
        <w:rPr>
          <w:szCs w:val="24"/>
        </w:rPr>
        <w:t xml:space="preserve"> teniendo en cuenta que la herramienta que se utilizó para dar un plus de protección en la jurisdicción ordinaria, el incidente “excepcional” de nulidad de actuaciones, ha sido un fracaso.</w:t>
      </w:r>
      <w:r>
        <w:rPr>
          <w:szCs w:val="24"/>
        </w:rPr>
        <w:t xml:space="preserve"> Entende</w:t>
      </w:r>
      <w:r w:rsidRPr="00293043">
        <w:rPr>
          <w:szCs w:val="24"/>
        </w:rPr>
        <w:t>mos que la  introducción de la institución de la especial trascendencia constitucional debería haber sido un mecanismo que mejorase el trabajo del Tribunal Constitucional, pero no a costa de eliminar una de sus funciones básicas como es la defensa de los derechos fundamentales.</w:t>
      </w:r>
    </w:p>
    <w:p w14:paraId="13B7AA9E" w14:textId="77777777" w:rsidR="006C3FF7" w:rsidRDefault="006C3FF7" w:rsidP="001A4310">
      <w:pPr>
        <w:pStyle w:val="Prrafodelista"/>
        <w:numPr>
          <w:ilvl w:val="0"/>
          <w:numId w:val="66"/>
        </w:numPr>
        <w:rPr>
          <w:szCs w:val="24"/>
        </w:rPr>
      </w:pPr>
      <w:r w:rsidRPr="00B726FA">
        <w:rPr>
          <w:szCs w:val="24"/>
        </w:rPr>
        <w:t>C</w:t>
      </w:r>
      <w:r>
        <w:rPr>
          <w:szCs w:val="24"/>
        </w:rPr>
        <w:t>reemos</w:t>
      </w:r>
      <w:r w:rsidRPr="00B726FA">
        <w:rPr>
          <w:szCs w:val="24"/>
        </w:rPr>
        <w:t xml:space="preserve"> que la pérdida de esta labor de protección de los derechos fundamentales puede ocasionar también un efecto perjudicial para la legitimidad de la institución del Tribunal Constitucional en sí misma ya que en los sistemas de justicia constitucional concentrada la idea del tribunal constitucional como juez de derechos fundamentales está muy arraigada y una institución de este tipo que sólo atiende un mínimo de los recursos de amparo que recibe es reprochable.</w:t>
      </w:r>
    </w:p>
    <w:p w14:paraId="081930D1" w14:textId="77777777" w:rsidR="006C3FF7" w:rsidRDefault="006C3FF7" w:rsidP="001A4310">
      <w:pPr>
        <w:pStyle w:val="Prrafodelista"/>
        <w:numPr>
          <w:ilvl w:val="0"/>
          <w:numId w:val="66"/>
        </w:numPr>
        <w:rPr>
          <w:szCs w:val="24"/>
        </w:rPr>
      </w:pPr>
      <w:r w:rsidRPr="00921C3B">
        <w:rPr>
          <w:szCs w:val="24"/>
        </w:rPr>
        <w:t xml:space="preserve">Consideramos de vital importancia la labor del Ministerio Fiscal al ser éste el único legitimado para recurrir las decisiones de inadmisión del Tribunal de acuerdo con el art. 50.3 LOTC. No son muchos los casos en estos últimos años en los que el Ministerio ha hecho uso de esta facultad, por lo que consideramos necesario manifestar la necesidad de un mayor uso de la misma para que así esta institución se reafirme en su tarea de garante de derechos fundamentales y de colaborador activo del Tribunal.  </w:t>
      </w:r>
    </w:p>
    <w:p w14:paraId="497264FE" w14:textId="77777777" w:rsidR="006C3FF7" w:rsidRDefault="006C3FF7" w:rsidP="001A4310">
      <w:pPr>
        <w:pStyle w:val="Prrafodelista"/>
        <w:numPr>
          <w:ilvl w:val="0"/>
          <w:numId w:val="66"/>
        </w:numPr>
        <w:rPr>
          <w:szCs w:val="24"/>
        </w:rPr>
      </w:pPr>
      <w:r>
        <w:rPr>
          <w:szCs w:val="24"/>
        </w:rPr>
        <w:t>Estimamos</w:t>
      </w:r>
      <w:r w:rsidRPr="00DA6BC2">
        <w:rPr>
          <w:szCs w:val="24"/>
        </w:rPr>
        <w:t xml:space="preserve"> necesaria la creación de un mecanismo extra de protección de los derechos fundamentales en la vía ordinaria más allá </w:t>
      </w:r>
      <w:r w:rsidRPr="00C16991">
        <w:rPr>
          <w:szCs w:val="24"/>
        </w:rPr>
        <w:t>del</w:t>
      </w:r>
      <w:r w:rsidRPr="00AE0D38">
        <w:rPr>
          <w:color w:val="FF0000"/>
          <w:szCs w:val="24"/>
        </w:rPr>
        <w:t xml:space="preserve"> </w:t>
      </w:r>
      <w:r w:rsidRPr="00DA6BC2">
        <w:rPr>
          <w:szCs w:val="24"/>
        </w:rPr>
        <w:t xml:space="preserve">incidente “excepcional” de nulidad de actuaciones. Una opción que solventaría esta necesidad y, asimismo, sería un adecuado mecanismo para trabajar en concordancia con el TC </w:t>
      </w:r>
      <w:r w:rsidRPr="00DA6BC2">
        <w:rPr>
          <w:szCs w:val="24"/>
        </w:rPr>
        <w:lastRenderedPageBreak/>
        <w:t>descongestionando a este de gran carga de trabajo sería una Sala especial en el Tribunal Supremo que se encargara de la tutela de los derechos fundamentales en última instancia. Esta Sala, a su vez, reafirmaría el papel del juez de la jurisdicción ordinaria como garante principal de la tutela de estos derechos. Esta institución no tendría por qué eliminar de modo alguno el recurso de amparo ante el TC, ya que esta es la única manera de interpretar el texto constitucional a través de la jurisprudencia del Alto Tribunal, pero sería una mejor manera de otorgar un plus de protección a los derechos fundamentales de lo que ha sido el incidente y, a su vez, un efectivo filtro de asuntos que llegasen al TC.</w:t>
      </w:r>
    </w:p>
    <w:p w14:paraId="44993E6A" w14:textId="77777777" w:rsidR="006C3FF7" w:rsidRPr="003A63E8" w:rsidRDefault="006C3FF7" w:rsidP="001A4310">
      <w:pPr>
        <w:pStyle w:val="Prrafodelista"/>
        <w:numPr>
          <w:ilvl w:val="0"/>
          <w:numId w:val="66"/>
        </w:numPr>
        <w:rPr>
          <w:szCs w:val="24"/>
        </w:rPr>
      </w:pPr>
      <w:r w:rsidRPr="003A63E8">
        <w:rPr>
          <w:szCs w:val="24"/>
        </w:rPr>
        <w:t>A pesar de las deficiencias que presenta el recurso de amparo, creemos que sigue siendo una figura de vital importancia en nuestro sistema de garantías de los derechos fundamentales. Además, su desaparición conllevaría, a nuestro modo de ver, la pérdida de la “esencia” del TC, ya que el recurso de amparo es una de las principales competencias atribuidas por la Constitución a este órgano. Creemos, por tanto, que esta figura aún puede ofrecer mucho a nuestro sistema, tanto en lo que a la protección de los derechos fundamentales se refiere, como a la protección e interpretación del propio texto constitucional.</w:t>
      </w:r>
    </w:p>
    <w:p w14:paraId="1BAA03D1" w14:textId="77777777" w:rsidR="006C3FF7" w:rsidRPr="006C3FF7" w:rsidRDefault="006C3FF7" w:rsidP="006C3FF7"/>
    <w:p w14:paraId="0B371C41" w14:textId="78F66F8E" w:rsidR="001815E7" w:rsidRDefault="001815E7" w:rsidP="00B33550"/>
    <w:p w14:paraId="21228343" w14:textId="3FA70EA4" w:rsidR="001815E7" w:rsidRDefault="001815E7" w:rsidP="00B33550">
      <w:r>
        <w:br w:type="page"/>
      </w:r>
    </w:p>
    <w:p w14:paraId="47A19833" w14:textId="051C9227" w:rsidR="00316C24" w:rsidRPr="000965CC" w:rsidRDefault="001815E7" w:rsidP="00316C24">
      <w:pPr>
        <w:pStyle w:val="Ttulo1"/>
        <w:jc w:val="center"/>
      </w:pPr>
      <w:bookmarkStart w:id="785" w:name="_Toc49423713"/>
      <w:bookmarkStart w:id="786" w:name="_Toc49708645"/>
      <w:bookmarkStart w:id="787" w:name="_Toc49790311"/>
      <w:bookmarkStart w:id="788" w:name="_Toc49866606"/>
      <w:bookmarkStart w:id="789" w:name="_Toc50373201"/>
      <w:bookmarkStart w:id="790" w:name="_Hlk49122540"/>
      <w:r w:rsidRPr="000965CC">
        <w:lastRenderedPageBreak/>
        <w:t>BIBLIOGRAFÍA</w:t>
      </w:r>
      <w:bookmarkEnd w:id="785"/>
      <w:bookmarkEnd w:id="786"/>
      <w:bookmarkEnd w:id="787"/>
      <w:bookmarkEnd w:id="788"/>
      <w:bookmarkEnd w:id="789"/>
    </w:p>
    <w:p w14:paraId="1D58B339" w14:textId="77777777" w:rsidR="00316C24" w:rsidRPr="00D21FAC" w:rsidRDefault="00316C24" w:rsidP="00316C24">
      <w:pPr>
        <w:spacing w:before="240" w:after="240"/>
        <w:rPr>
          <w:szCs w:val="24"/>
        </w:rPr>
      </w:pPr>
      <w:r>
        <w:rPr>
          <w:szCs w:val="24"/>
        </w:rPr>
        <w:t xml:space="preserve">AA. VV., </w:t>
      </w:r>
      <w:r w:rsidRPr="004C5EB9">
        <w:rPr>
          <w:szCs w:val="24"/>
        </w:rPr>
        <w:t>“Cuestionario sobre la reforma de la Ley</w:t>
      </w:r>
      <w:r>
        <w:rPr>
          <w:szCs w:val="24"/>
        </w:rPr>
        <w:t xml:space="preserve"> </w:t>
      </w:r>
      <w:r w:rsidRPr="004C5EB9">
        <w:rPr>
          <w:szCs w:val="24"/>
        </w:rPr>
        <w:t>Orgáni</w:t>
      </w:r>
      <w:r>
        <w:rPr>
          <w:szCs w:val="24"/>
        </w:rPr>
        <w:t>ca del Tribunal Constitucional”,</w:t>
      </w:r>
      <w:r w:rsidRPr="004C5EB9">
        <w:rPr>
          <w:szCs w:val="24"/>
        </w:rPr>
        <w:t xml:space="preserve"> </w:t>
      </w:r>
      <w:r w:rsidRPr="004C5EB9">
        <w:rPr>
          <w:i/>
          <w:szCs w:val="24"/>
        </w:rPr>
        <w:t>Teoría y realidad constitucional</w:t>
      </w:r>
      <w:r>
        <w:rPr>
          <w:i/>
          <w:szCs w:val="24"/>
        </w:rPr>
        <w:t xml:space="preserve">, núm. 4, </w:t>
      </w:r>
      <w:r w:rsidRPr="004C5EB9">
        <w:rPr>
          <w:szCs w:val="24"/>
        </w:rPr>
        <w:t>1999</w:t>
      </w:r>
      <w:r>
        <w:rPr>
          <w:szCs w:val="24"/>
        </w:rPr>
        <w:t>.</w:t>
      </w:r>
    </w:p>
    <w:p w14:paraId="6EE04B40" w14:textId="77777777" w:rsidR="00316C24" w:rsidRDefault="00316C24" w:rsidP="00316C24">
      <w:pPr>
        <w:spacing w:before="240" w:after="240"/>
        <w:rPr>
          <w:szCs w:val="24"/>
        </w:rPr>
      </w:pPr>
      <w:r w:rsidRPr="009D61FE">
        <w:rPr>
          <w:szCs w:val="24"/>
        </w:rPr>
        <w:t xml:space="preserve">AA. VV., Juan José González Rivas (Dir.), </w:t>
      </w:r>
      <w:r w:rsidRPr="009D61FE">
        <w:rPr>
          <w:i/>
          <w:szCs w:val="24"/>
        </w:rPr>
        <w:t>Comentarios a la Ley Orgánica del Tribunal Constitucional</w:t>
      </w:r>
      <w:r w:rsidRPr="009D61FE">
        <w:rPr>
          <w:szCs w:val="24"/>
        </w:rPr>
        <w:t>, Madrid, 2010.</w:t>
      </w:r>
    </w:p>
    <w:p w14:paraId="2DB3C346" w14:textId="77777777" w:rsidR="00316C24" w:rsidRPr="00D21FAC" w:rsidRDefault="00316C24" w:rsidP="00316C24">
      <w:pPr>
        <w:spacing w:before="240" w:after="240"/>
        <w:rPr>
          <w:szCs w:val="24"/>
        </w:rPr>
      </w:pPr>
      <w:r>
        <w:rPr>
          <w:szCs w:val="24"/>
        </w:rPr>
        <w:t xml:space="preserve"> </w:t>
      </w:r>
      <w:r w:rsidRPr="009D61FE">
        <w:rPr>
          <w:szCs w:val="24"/>
        </w:rPr>
        <w:t>AA. VV., La</w:t>
      </w:r>
      <w:r w:rsidRPr="009D61FE">
        <w:rPr>
          <w:i/>
          <w:szCs w:val="24"/>
        </w:rPr>
        <w:t xml:space="preserve"> defensa de los derechos fundamentales: Tribunal Constitucional y Poder Judicial, Actas de la Asociación de Letrados del Tribunal Constitucional, Tribunal Constitucional</w:t>
      </w:r>
      <w:r w:rsidRPr="009D61FE">
        <w:rPr>
          <w:szCs w:val="24"/>
        </w:rPr>
        <w:t>, Madrid. Centro de Estudios Políticos y Constitucionales, 2010</w:t>
      </w:r>
      <w:r>
        <w:rPr>
          <w:szCs w:val="24"/>
        </w:rPr>
        <w:t>.</w:t>
      </w:r>
    </w:p>
    <w:p w14:paraId="645712FE" w14:textId="77777777" w:rsidR="00316C24" w:rsidRDefault="00316C24" w:rsidP="00316C24">
      <w:pPr>
        <w:spacing w:before="240" w:after="240"/>
        <w:rPr>
          <w:szCs w:val="24"/>
        </w:rPr>
      </w:pPr>
      <w:r w:rsidRPr="009D61FE">
        <w:rPr>
          <w:szCs w:val="24"/>
        </w:rPr>
        <w:t xml:space="preserve">AA. VV., </w:t>
      </w:r>
      <w:r w:rsidRPr="009D61FE">
        <w:rPr>
          <w:i/>
          <w:szCs w:val="24"/>
        </w:rPr>
        <w:t>La reforma del recurso de amparo</w:t>
      </w:r>
      <w:r w:rsidRPr="009D61FE">
        <w:rPr>
          <w:szCs w:val="24"/>
        </w:rPr>
        <w:t>, Valencia, 2004.</w:t>
      </w:r>
    </w:p>
    <w:p w14:paraId="7B808DCF" w14:textId="77777777" w:rsidR="00316C24" w:rsidRDefault="00316C24" w:rsidP="00316C24">
      <w:pPr>
        <w:spacing w:before="240" w:after="240"/>
      </w:pPr>
      <w:r w:rsidRPr="009D61FE">
        <w:rPr>
          <w:szCs w:val="24"/>
        </w:rPr>
        <w:t xml:space="preserve">AA. VV., </w:t>
      </w:r>
      <w:r w:rsidRPr="009D61FE">
        <w:rPr>
          <w:i/>
          <w:szCs w:val="24"/>
        </w:rPr>
        <w:t>Recurso de Amparo, Derechos, Fundamentales y Trascendencia Constitucional, (el Camino Hacia la Objetivación del Amparo Constitucional en España)</w:t>
      </w:r>
      <w:r w:rsidRPr="009D61FE">
        <w:rPr>
          <w:szCs w:val="24"/>
        </w:rPr>
        <w:t>, Madrid, 2014.</w:t>
      </w:r>
    </w:p>
    <w:p w14:paraId="0DCD41DA" w14:textId="77777777" w:rsidR="00316C24" w:rsidRDefault="00316C24" w:rsidP="00316C24">
      <w:pPr>
        <w:rPr>
          <w:szCs w:val="24"/>
        </w:rPr>
      </w:pPr>
      <w:r w:rsidRPr="009D61FE">
        <w:rPr>
          <w:szCs w:val="24"/>
        </w:rPr>
        <w:t xml:space="preserve">AA.VV. </w:t>
      </w:r>
      <w:r w:rsidRPr="009D61FE">
        <w:rPr>
          <w:i/>
          <w:szCs w:val="24"/>
        </w:rPr>
        <w:t>Cuestiones actuales de la jurisdicción en España, Real Academia de Jurisprudencia y Legislación</w:t>
      </w:r>
      <w:r w:rsidRPr="009D61FE">
        <w:rPr>
          <w:szCs w:val="24"/>
        </w:rPr>
        <w:t>, Madrid, 2010.</w:t>
      </w:r>
    </w:p>
    <w:p w14:paraId="16640138" w14:textId="77777777" w:rsidR="00316C24" w:rsidRDefault="00316C24" w:rsidP="00316C24">
      <w:pPr>
        <w:spacing w:before="240" w:after="240"/>
        <w:rPr>
          <w:szCs w:val="24"/>
        </w:rPr>
      </w:pPr>
      <w:r w:rsidRPr="009D61FE">
        <w:rPr>
          <w:szCs w:val="24"/>
        </w:rPr>
        <w:t>AA.VV., “Encuesta sobre la reforma de la Ley Orgánica del Tribunal Constitucional”</w:t>
      </w:r>
      <w:r w:rsidRPr="009D61FE">
        <w:rPr>
          <w:i/>
          <w:szCs w:val="24"/>
        </w:rPr>
        <w:t>, UNED</w:t>
      </w:r>
      <w:r w:rsidRPr="009D61FE">
        <w:rPr>
          <w:szCs w:val="24"/>
        </w:rPr>
        <w:t>.</w:t>
      </w:r>
      <w:r w:rsidRPr="009D61FE">
        <w:rPr>
          <w:i/>
          <w:szCs w:val="24"/>
        </w:rPr>
        <w:t xml:space="preserve"> Teoría y Realidad Constitucional</w:t>
      </w:r>
      <w:r w:rsidRPr="009D61FE">
        <w:rPr>
          <w:szCs w:val="24"/>
        </w:rPr>
        <w:t>, núm. 18, 2006.</w:t>
      </w:r>
    </w:p>
    <w:p w14:paraId="158F7D97" w14:textId="77777777" w:rsidR="00316C24" w:rsidRDefault="00316C24" w:rsidP="00316C24">
      <w:pPr>
        <w:spacing w:before="240" w:after="240"/>
      </w:pPr>
      <w:r>
        <w:rPr>
          <w:szCs w:val="24"/>
        </w:rPr>
        <w:t>AA.VV</w:t>
      </w:r>
      <w:r w:rsidRPr="00D21FAC">
        <w:rPr>
          <w:szCs w:val="24"/>
        </w:rPr>
        <w:t>.</w:t>
      </w:r>
      <w:r>
        <w:rPr>
          <w:szCs w:val="24"/>
        </w:rPr>
        <w:t>,</w:t>
      </w:r>
      <w:r w:rsidRPr="00D21FAC">
        <w:rPr>
          <w:szCs w:val="24"/>
        </w:rPr>
        <w:t xml:space="preserve"> </w:t>
      </w:r>
      <w:r>
        <w:rPr>
          <w:i/>
          <w:szCs w:val="24"/>
        </w:rPr>
        <w:t>F</w:t>
      </w:r>
      <w:r w:rsidRPr="00CB3479">
        <w:rPr>
          <w:i/>
          <w:szCs w:val="24"/>
        </w:rPr>
        <w:t xml:space="preserve">ernando </w:t>
      </w:r>
      <w:r>
        <w:rPr>
          <w:i/>
          <w:szCs w:val="24"/>
        </w:rPr>
        <w:t>Herrero-Tejedor Algar.</w:t>
      </w:r>
      <w:r w:rsidRPr="00CB3479">
        <w:rPr>
          <w:i/>
          <w:szCs w:val="24"/>
        </w:rPr>
        <w:t xml:space="preserve"> </w:t>
      </w:r>
      <w:r>
        <w:rPr>
          <w:i/>
          <w:szCs w:val="24"/>
        </w:rPr>
        <w:t xml:space="preserve">Liber </w:t>
      </w:r>
      <w:proofErr w:type="spellStart"/>
      <w:r>
        <w:rPr>
          <w:i/>
          <w:szCs w:val="24"/>
        </w:rPr>
        <w:t>A</w:t>
      </w:r>
      <w:r w:rsidRPr="00CB3479">
        <w:rPr>
          <w:i/>
          <w:szCs w:val="24"/>
        </w:rPr>
        <w:t>micorum</w:t>
      </w:r>
      <w:proofErr w:type="spellEnd"/>
      <w:r>
        <w:rPr>
          <w:szCs w:val="24"/>
        </w:rPr>
        <w:t xml:space="preserve">, Madrid, </w:t>
      </w:r>
      <w:r w:rsidRPr="00D21FAC">
        <w:rPr>
          <w:szCs w:val="24"/>
        </w:rPr>
        <w:t>2015</w:t>
      </w:r>
      <w:r>
        <w:rPr>
          <w:szCs w:val="24"/>
        </w:rPr>
        <w:t>.</w:t>
      </w:r>
    </w:p>
    <w:p w14:paraId="3CD1BED5" w14:textId="77777777" w:rsidR="00316C24" w:rsidRDefault="00316C24" w:rsidP="00316C24">
      <w:pPr>
        <w:spacing w:before="240" w:after="240"/>
      </w:pPr>
      <w:r>
        <w:t xml:space="preserve">AA.VV., Francisco Marín Castán (Dir.), </w:t>
      </w:r>
      <w:r w:rsidRPr="00176006">
        <w:rPr>
          <w:i/>
          <w:iCs/>
        </w:rPr>
        <w:t>Comentarios a la Ley de Enjuiciamiento Civil</w:t>
      </w:r>
      <w:r>
        <w:t>, Valencia, 2015.</w:t>
      </w:r>
    </w:p>
    <w:p w14:paraId="5592B4F7" w14:textId="77777777" w:rsidR="00316C24" w:rsidRPr="00D21FAC" w:rsidRDefault="00316C24" w:rsidP="00316C24">
      <w:pPr>
        <w:spacing w:before="240" w:after="240"/>
        <w:rPr>
          <w:szCs w:val="24"/>
        </w:rPr>
      </w:pPr>
      <w:r w:rsidRPr="009D61FE">
        <w:rPr>
          <w:szCs w:val="24"/>
        </w:rPr>
        <w:t xml:space="preserve">AA.VV., </w:t>
      </w:r>
      <w:r w:rsidRPr="009D61FE">
        <w:rPr>
          <w:i/>
          <w:szCs w:val="24"/>
        </w:rPr>
        <w:t>Hacia una nueva jurisdicción constitucional,</w:t>
      </w:r>
      <w:r w:rsidRPr="009D61FE">
        <w:rPr>
          <w:szCs w:val="24"/>
        </w:rPr>
        <w:t xml:space="preserve"> Valencia 2008.</w:t>
      </w:r>
    </w:p>
    <w:p w14:paraId="78353B6C" w14:textId="77777777" w:rsidR="00316C24" w:rsidRDefault="00316C24" w:rsidP="00316C24">
      <w:pPr>
        <w:spacing w:before="240" w:after="240"/>
      </w:pPr>
      <w:r>
        <w:t xml:space="preserve">AA.VV., José González Olleros (Coord.), “Nulidad de actuaciones. Jurisprudencia al detalle”, </w:t>
      </w:r>
      <w:proofErr w:type="spellStart"/>
      <w:r w:rsidRPr="006E1B19">
        <w:rPr>
          <w:i/>
          <w:iCs/>
        </w:rPr>
        <w:t>SespinNETrevista</w:t>
      </w:r>
      <w:proofErr w:type="spellEnd"/>
      <w:r>
        <w:t>, núm. 69, febrero 2006.</w:t>
      </w:r>
    </w:p>
    <w:p w14:paraId="2D359A51" w14:textId="77777777" w:rsidR="00316C24" w:rsidRPr="00D21FAC" w:rsidRDefault="00316C24" w:rsidP="00316C24">
      <w:pPr>
        <w:spacing w:before="240" w:after="240"/>
        <w:rPr>
          <w:szCs w:val="24"/>
        </w:rPr>
      </w:pPr>
      <w:r w:rsidRPr="009D61FE">
        <w:rPr>
          <w:szCs w:val="24"/>
        </w:rPr>
        <w:t xml:space="preserve">AA.VV., </w:t>
      </w:r>
      <w:r w:rsidRPr="009D61FE">
        <w:rPr>
          <w:i/>
          <w:szCs w:val="24"/>
        </w:rPr>
        <w:t>La protección jurisdiccional de los derechos. Actas del XI Congreso de la Asociación de Constitucionalistas de España</w:t>
      </w:r>
      <w:r w:rsidRPr="009D61FE">
        <w:rPr>
          <w:szCs w:val="24"/>
        </w:rPr>
        <w:t>, Valencia, 2015.</w:t>
      </w:r>
    </w:p>
    <w:p w14:paraId="7C6DE778" w14:textId="77777777" w:rsidR="00316C24" w:rsidRDefault="00316C24" w:rsidP="00316C24">
      <w:pPr>
        <w:spacing w:before="240" w:after="240"/>
      </w:pPr>
      <w:r w:rsidRPr="009D61FE">
        <w:lastRenderedPageBreak/>
        <w:t xml:space="preserve">AA.VV., R. Bustos Gisbert, M. Fernández de Frutos y E. </w:t>
      </w:r>
      <w:proofErr w:type="spellStart"/>
      <w:r w:rsidRPr="009D61FE">
        <w:t>Fossas</w:t>
      </w:r>
      <w:proofErr w:type="spellEnd"/>
      <w:r w:rsidRPr="009D61FE">
        <w:t xml:space="preserve"> </w:t>
      </w:r>
      <w:proofErr w:type="spellStart"/>
      <w:r w:rsidRPr="009D61FE">
        <w:t>Espalader</w:t>
      </w:r>
      <w:proofErr w:type="spellEnd"/>
      <w:r w:rsidRPr="009D61FE">
        <w:t xml:space="preserve"> (Dir.), </w:t>
      </w:r>
      <w:r w:rsidRPr="009D61FE">
        <w:rPr>
          <w:i/>
        </w:rPr>
        <w:t>La protección jurisdiccional de los derechos,</w:t>
      </w:r>
      <w:r w:rsidRPr="009D61FE">
        <w:t xml:space="preserve"> </w:t>
      </w:r>
      <w:r w:rsidRPr="009D61FE">
        <w:rPr>
          <w:i/>
          <w:iCs/>
        </w:rPr>
        <w:t>Actas del XI Congreso de la Asociación de Constitucionalistas de España,</w:t>
      </w:r>
      <w:r w:rsidRPr="009D61FE">
        <w:t xml:space="preserve"> Valencia, 2015.</w:t>
      </w:r>
    </w:p>
    <w:p w14:paraId="1F55E2D4" w14:textId="77777777" w:rsidR="00316C24" w:rsidRPr="00D21FAC" w:rsidRDefault="00316C24" w:rsidP="00316C24">
      <w:pPr>
        <w:spacing w:before="240" w:after="240"/>
        <w:rPr>
          <w:szCs w:val="24"/>
        </w:rPr>
      </w:pPr>
      <w:r w:rsidRPr="00D21FAC">
        <w:rPr>
          <w:szCs w:val="24"/>
        </w:rPr>
        <w:t xml:space="preserve">AA.VV., </w:t>
      </w:r>
      <w:r w:rsidRPr="00CB3479">
        <w:rPr>
          <w:i/>
          <w:szCs w:val="24"/>
        </w:rPr>
        <w:t>Recurso de amparo, derechos fundamentales y trascendencia constitucional. El camino hacia la objetivación del amparo constitucional en España</w:t>
      </w:r>
      <w:r w:rsidRPr="00D21FAC">
        <w:rPr>
          <w:szCs w:val="24"/>
        </w:rPr>
        <w:t xml:space="preserve">, José María Morales Arroyo </w:t>
      </w:r>
      <w:r>
        <w:rPr>
          <w:szCs w:val="24"/>
        </w:rPr>
        <w:t>(Dir.</w:t>
      </w:r>
      <w:r w:rsidRPr="00D21FAC">
        <w:rPr>
          <w:szCs w:val="24"/>
        </w:rPr>
        <w:t>), Navarra, 2014.</w:t>
      </w:r>
    </w:p>
    <w:p w14:paraId="3CEB98C9" w14:textId="77777777" w:rsidR="00316C24" w:rsidRDefault="00316C24" w:rsidP="00316C24">
      <w:pPr>
        <w:spacing w:before="240" w:after="240"/>
      </w:pPr>
      <w:r w:rsidRPr="004420C9">
        <w:t xml:space="preserve">AAVV., </w:t>
      </w:r>
      <w:r w:rsidRPr="004420C9">
        <w:rPr>
          <w:i/>
          <w:iCs/>
        </w:rPr>
        <w:t xml:space="preserve">Realismo jurídico y experiencia procesal: Liber </w:t>
      </w:r>
      <w:proofErr w:type="spellStart"/>
      <w:r w:rsidRPr="004420C9">
        <w:rPr>
          <w:i/>
          <w:iCs/>
        </w:rPr>
        <w:t>Amicorum</w:t>
      </w:r>
      <w:proofErr w:type="spellEnd"/>
      <w:r w:rsidRPr="004420C9">
        <w:rPr>
          <w:i/>
          <w:iCs/>
        </w:rPr>
        <w:t xml:space="preserve"> Manuel Serra Domínguez</w:t>
      </w:r>
      <w:r w:rsidRPr="004420C9">
        <w:t>, Barcelona, 2009</w:t>
      </w:r>
      <w:r>
        <w:t>.</w:t>
      </w:r>
    </w:p>
    <w:p w14:paraId="35513295" w14:textId="77777777" w:rsidR="00316C24" w:rsidRDefault="00316C24" w:rsidP="00316C24">
      <w:r>
        <w:t xml:space="preserve">AAVV., </w:t>
      </w:r>
      <w:r w:rsidRPr="00484EC1">
        <w:rPr>
          <w:i/>
          <w:iCs/>
        </w:rPr>
        <w:t>El sistema constitucional español</w:t>
      </w:r>
      <w:r w:rsidRPr="00484EC1">
        <w:t>, Madrid, 2019</w:t>
      </w:r>
      <w:r>
        <w:t>.</w:t>
      </w:r>
    </w:p>
    <w:p w14:paraId="070E569F" w14:textId="77777777" w:rsidR="00316C24" w:rsidRDefault="00316C24" w:rsidP="00316C24">
      <w:pPr>
        <w:spacing w:before="240" w:after="240"/>
      </w:pPr>
      <w:r>
        <w:t xml:space="preserve">ADAN DOMENECH, F., “Documentación de la actividad procesal y nulidad de actuaciones”, </w:t>
      </w:r>
      <w:r w:rsidRPr="006E1B19">
        <w:rPr>
          <w:i/>
          <w:iCs/>
        </w:rPr>
        <w:t>Revista General de Derecho Procesal</w:t>
      </w:r>
      <w:r>
        <w:t>, núm. 30, 2013.</w:t>
      </w:r>
    </w:p>
    <w:p w14:paraId="4C1DD918" w14:textId="77777777" w:rsidR="00316C24" w:rsidRPr="00887623" w:rsidRDefault="00316C24" w:rsidP="00316C24">
      <w:pPr>
        <w:pStyle w:val="texto"/>
        <w:spacing w:before="240" w:after="240" w:afterAutospacing="0"/>
        <w:ind w:firstLine="0"/>
        <w:rPr>
          <w:rFonts w:ascii="Times New Roman" w:hAnsi="Times New Roman"/>
          <w:szCs w:val="24"/>
        </w:rPr>
      </w:pPr>
      <w:r w:rsidRPr="00887623">
        <w:rPr>
          <w:rFonts w:ascii="Times New Roman" w:hAnsi="Times New Roman"/>
          <w:szCs w:val="24"/>
        </w:rPr>
        <w:t xml:space="preserve">AGUIAR DE LUQUE, L., “Las garantías constitucionales de los derechos fundamentales en la Constitución española”, </w:t>
      </w:r>
      <w:r w:rsidRPr="00887623">
        <w:rPr>
          <w:rFonts w:ascii="Times New Roman" w:hAnsi="Times New Roman"/>
          <w:i/>
          <w:szCs w:val="24"/>
        </w:rPr>
        <w:t>Revista de Derecho Político</w:t>
      </w:r>
      <w:r>
        <w:rPr>
          <w:rFonts w:ascii="Times New Roman" w:hAnsi="Times New Roman"/>
          <w:szCs w:val="24"/>
        </w:rPr>
        <w:t>, núm. 10, 1981.</w:t>
      </w:r>
    </w:p>
    <w:p w14:paraId="301E4490" w14:textId="77777777" w:rsidR="00316C24" w:rsidRDefault="00316C24" w:rsidP="00316C24">
      <w:pPr>
        <w:spacing w:before="240" w:after="240"/>
      </w:pPr>
      <w:r w:rsidRPr="00B53B3E">
        <w:t xml:space="preserve">AGUILERA MORALES, M., “El incidente de nulidad de actuaciones ex artículo 241 LOPJ: una mala solución para un gran problema”, </w:t>
      </w:r>
      <w:r w:rsidRPr="00B53B3E">
        <w:rPr>
          <w:i/>
          <w:iCs/>
        </w:rPr>
        <w:t>Revista General de Derecho Procesal</w:t>
      </w:r>
      <w:r w:rsidRPr="00B53B3E">
        <w:t xml:space="preserve">, núm. 31, 2013. </w:t>
      </w:r>
    </w:p>
    <w:p w14:paraId="14390FCC" w14:textId="77777777" w:rsidR="00316C2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AHUMADA RUÍZ, M. A., “</w:t>
      </w:r>
      <w:r w:rsidRPr="00325A74">
        <w:rPr>
          <w:rFonts w:ascii="Times New Roman" w:hAnsi="Times New Roman"/>
          <w:szCs w:val="24"/>
        </w:rPr>
        <w:t xml:space="preserve">Marbury versus Madison doscientos años (y más) después”, </w:t>
      </w:r>
      <w:r w:rsidRPr="00325A74">
        <w:rPr>
          <w:rFonts w:ascii="Times New Roman" w:hAnsi="Times New Roman"/>
          <w:i/>
          <w:szCs w:val="24"/>
        </w:rPr>
        <w:t>Fundamentos. Cuadernos monográficos de Teoría del Estado, Derecho Público e Historia Constitucional</w:t>
      </w:r>
      <w:r>
        <w:rPr>
          <w:rFonts w:ascii="Times New Roman" w:hAnsi="Times New Roman"/>
          <w:szCs w:val="24"/>
        </w:rPr>
        <w:t>, núm. 4, 2006.</w:t>
      </w:r>
    </w:p>
    <w:p w14:paraId="6C1FC386" w14:textId="77777777" w:rsidR="00316C24" w:rsidRDefault="00316C24" w:rsidP="00316C24">
      <w:pPr>
        <w:spacing w:before="240" w:after="240"/>
      </w:pPr>
      <w:r>
        <w:t>AHUMADA RUIZ, M.A., “</w:t>
      </w:r>
      <w:r w:rsidRPr="00B0532D">
        <w:t xml:space="preserve">El </w:t>
      </w:r>
      <w:proofErr w:type="spellStart"/>
      <w:r w:rsidRPr="00B0532D">
        <w:t>certiorari</w:t>
      </w:r>
      <w:proofErr w:type="spellEnd"/>
      <w:r w:rsidRPr="00B0532D">
        <w:t>. Ejercicio discrecional de la Jurisdicción de apelación por el Tribuna</w:t>
      </w:r>
      <w:r>
        <w:t>l Supremo de los Estados Unidos”</w:t>
      </w:r>
      <w:r w:rsidRPr="00B0532D">
        <w:t xml:space="preserve">, </w:t>
      </w:r>
      <w:r w:rsidRPr="00224183">
        <w:rPr>
          <w:i/>
        </w:rPr>
        <w:t>Revista Española de Derecho Constitucional</w:t>
      </w:r>
      <w:r>
        <w:t>, núm. 41, 1994.</w:t>
      </w:r>
    </w:p>
    <w:p w14:paraId="199CD149" w14:textId="77777777" w:rsidR="00316C24" w:rsidRDefault="00316C24" w:rsidP="00316C24">
      <w:pPr>
        <w:spacing w:before="240" w:after="240"/>
      </w:pPr>
      <w:r>
        <w:t xml:space="preserve">ALBERTÍ ROVIRA, E., “El recurso de amparo constitucional: una revisión pendiente”, en AA. VV., </w:t>
      </w:r>
      <w:r w:rsidRPr="004C5EB9">
        <w:rPr>
          <w:i/>
        </w:rPr>
        <w:t>La reforma del recurso de amparo</w:t>
      </w:r>
      <w:r>
        <w:t>, Valencia, 2004.</w:t>
      </w:r>
    </w:p>
    <w:p w14:paraId="30159CAF"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ÁLVAREZ CONDE, E., TUR AUSINA, R., «La regulación constitucional de los derechos y libertades», </w:t>
      </w:r>
      <w:r w:rsidRPr="00827EB4">
        <w:rPr>
          <w:rFonts w:ascii="Times New Roman" w:hAnsi="Times New Roman"/>
          <w:i/>
          <w:szCs w:val="24"/>
        </w:rPr>
        <w:t>Derecho Constitucional</w:t>
      </w:r>
      <w:r w:rsidRPr="00827EB4">
        <w:rPr>
          <w:rFonts w:ascii="Times New Roman" w:hAnsi="Times New Roman"/>
          <w:szCs w:val="24"/>
        </w:rPr>
        <w:t>, Madrid, 2013.</w:t>
      </w:r>
    </w:p>
    <w:p w14:paraId="4828C422" w14:textId="77777777" w:rsidR="00316C24" w:rsidRDefault="00316C24" w:rsidP="00316C24">
      <w:pPr>
        <w:spacing w:before="240" w:after="240"/>
      </w:pPr>
      <w:r>
        <w:lastRenderedPageBreak/>
        <w:t xml:space="preserve">ÁLVAREZ DE LINERA, J., </w:t>
      </w:r>
      <w:r w:rsidRPr="006E1B19">
        <w:rPr>
          <w:i/>
          <w:iCs/>
        </w:rPr>
        <w:t>La nulidad de actuaciones en el proceso penal</w:t>
      </w:r>
      <w:r>
        <w:t>, Oviedo, 1982.</w:t>
      </w:r>
    </w:p>
    <w:p w14:paraId="5EF92F08" w14:textId="77777777" w:rsidR="00316C24" w:rsidRDefault="00316C24" w:rsidP="00316C24">
      <w:pPr>
        <w:spacing w:before="240" w:after="240"/>
      </w:pPr>
      <w:r>
        <w:t xml:space="preserve">ÁLVAREZ SÁNCHEZ DE MOVELLÁN, P., </w:t>
      </w:r>
      <w:r w:rsidRPr="00EF3270">
        <w:rPr>
          <w:i/>
          <w:iCs/>
        </w:rPr>
        <w:t>El incidente de nulidad de actuaciones. Solución o problema frente a la resolución firme</w:t>
      </w:r>
      <w:r>
        <w:t>, Madrid, 2015.</w:t>
      </w:r>
    </w:p>
    <w:p w14:paraId="188E2837" w14:textId="77777777" w:rsidR="00316C24" w:rsidRPr="00D21FAC" w:rsidRDefault="00316C24" w:rsidP="00316C24">
      <w:pPr>
        <w:spacing w:before="240" w:after="240"/>
        <w:rPr>
          <w:szCs w:val="24"/>
        </w:rPr>
      </w:pPr>
      <w:r w:rsidRPr="00D21FAC">
        <w:rPr>
          <w:szCs w:val="24"/>
        </w:rPr>
        <w:t xml:space="preserve">AMAT NAVARO, L., </w:t>
      </w:r>
      <w:r w:rsidRPr="00CB3479">
        <w:rPr>
          <w:i/>
          <w:szCs w:val="24"/>
        </w:rPr>
        <w:t>El recurso de amparo constitucional: los presupuestos de admisión de la demanda</w:t>
      </w:r>
      <w:r w:rsidRPr="00D21FAC">
        <w:rPr>
          <w:szCs w:val="24"/>
        </w:rPr>
        <w:t>, España, 2014.</w:t>
      </w:r>
    </w:p>
    <w:p w14:paraId="20A98572" w14:textId="77777777" w:rsidR="00316C24" w:rsidRDefault="00316C24" w:rsidP="00316C24">
      <w:pPr>
        <w:spacing w:before="240" w:after="240"/>
      </w:pPr>
      <w:r>
        <w:t xml:space="preserve">ANDRÉS CIURANA, B., </w:t>
      </w:r>
      <w:r w:rsidRPr="006E1B19">
        <w:rPr>
          <w:i/>
          <w:iCs/>
        </w:rPr>
        <w:t>La invalidez de actuaciones en el proceso civil</w:t>
      </w:r>
      <w:r>
        <w:t>, Valencia, 2005.</w:t>
      </w:r>
    </w:p>
    <w:p w14:paraId="22713A7C" w14:textId="77777777" w:rsidR="00316C24" w:rsidRDefault="00316C24" w:rsidP="00316C24">
      <w:pPr>
        <w:spacing w:before="240" w:after="240"/>
      </w:pPr>
      <w:r>
        <w:t xml:space="preserve">APARICIO PÉREZ, M., “Problemas actuales del recurso de amparo”, en AA. VV., </w:t>
      </w:r>
      <w:r w:rsidRPr="004C5EB9">
        <w:rPr>
          <w:i/>
        </w:rPr>
        <w:t>Anuario de Derecho Constitucional y Parlamentario</w:t>
      </w:r>
      <w:r>
        <w:t>, núm. 2, 1990.</w:t>
      </w:r>
    </w:p>
    <w:p w14:paraId="6CDD793E" w14:textId="77777777" w:rsidR="00316C24" w:rsidRPr="00D21FAC" w:rsidRDefault="00316C24" w:rsidP="00316C24">
      <w:pPr>
        <w:spacing w:before="240" w:after="240"/>
        <w:rPr>
          <w:szCs w:val="24"/>
        </w:rPr>
      </w:pPr>
      <w:r w:rsidRPr="00D21FAC">
        <w:rPr>
          <w:szCs w:val="24"/>
        </w:rPr>
        <w:t>ARAGÓN REYES, M. “Las dimensiones subjetiva y objetiva del nuevo recurso de amparo”</w:t>
      </w:r>
      <w:r>
        <w:rPr>
          <w:szCs w:val="24"/>
        </w:rPr>
        <w:t>,</w:t>
      </w:r>
      <w:r w:rsidRPr="00D21FAC">
        <w:rPr>
          <w:szCs w:val="24"/>
        </w:rPr>
        <w:t xml:space="preserve"> </w:t>
      </w:r>
      <w:r w:rsidRPr="00CB3479">
        <w:rPr>
          <w:i/>
          <w:szCs w:val="24"/>
        </w:rPr>
        <w:t>Otrosí</w:t>
      </w:r>
      <w:r>
        <w:rPr>
          <w:szCs w:val="24"/>
        </w:rPr>
        <w:t>, núm. 10, 2012.</w:t>
      </w:r>
    </w:p>
    <w:p w14:paraId="07812355" w14:textId="77777777" w:rsidR="00316C24" w:rsidRDefault="00316C24" w:rsidP="00316C24">
      <w:pPr>
        <w:spacing w:before="240" w:after="240"/>
      </w:pPr>
      <w:r>
        <w:t xml:space="preserve"> </w:t>
      </w:r>
      <w:r w:rsidRPr="00B0532D">
        <w:t xml:space="preserve">ARAGÓN </w:t>
      </w:r>
      <w:r>
        <w:t>REYES, M., “</w:t>
      </w:r>
      <w:r w:rsidRPr="00B0532D">
        <w:t>El incidente de nulidad de actuaciones como remedio previo al recurso de amparo. L</w:t>
      </w:r>
      <w:r>
        <w:t>a función del Ministerio Fiscal”</w:t>
      </w:r>
      <w:r w:rsidRPr="00B0532D">
        <w:t xml:space="preserve">, </w:t>
      </w:r>
      <w:r w:rsidRPr="00224183">
        <w:rPr>
          <w:i/>
        </w:rPr>
        <w:t>UNED. Teoría y Realidad Constitucional</w:t>
      </w:r>
      <w:r>
        <w:t>, núm. 28, 2011.</w:t>
      </w:r>
    </w:p>
    <w:p w14:paraId="00352543" w14:textId="77777777" w:rsidR="00316C24" w:rsidRDefault="00316C24" w:rsidP="00316C24">
      <w:pPr>
        <w:spacing w:before="240" w:after="240"/>
      </w:pPr>
      <w:r w:rsidRPr="000346CF">
        <w:t xml:space="preserve">ARAGÓN REYES, M., “La reforma de la Ley Orgánica del Tribunal Constitucional”, </w:t>
      </w:r>
      <w:r w:rsidRPr="000346CF">
        <w:rPr>
          <w:i/>
        </w:rPr>
        <w:t>Revista Española de Derecho Constitucional</w:t>
      </w:r>
      <w:r w:rsidRPr="000346CF">
        <w:t>, núm. 85, en</w:t>
      </w:r>
      <w:r>
        <w:t>ero-abril, 2009</w:t>
      </w:r>
    </w:p>
    <w:p w14:paraId="11E3235B" w14:textId="77777777" w:rsidR="00316C24" w:rsidRPr="00D21FAC" w:rsidRDefault="00316C24" w:rsidP="00316C24">
      <w:pPr>
        <w:spacing w:before="240" w:after="240"/>
        <w:rPr>
          <w:szCs w:val="24"/>
        </w:rPr>
      </w:pPr>
      <w:r w:rsidRPr="00D21FAC">
        <w:rPr>
          <w:szCs w:val="24"/>
        </w:rPr>
        <w:t xml:space="preserve">ARAGON REYES, M., “Nuevas reflexiones sobre el recurso de amparo”, </w:t>
      </w:r>
      <w:r w:rsidRPr="00D21FAC">
        <w:rPr>
          <w:i/>
          <w:iCs/>
          <w:szCs w:val="24"/>
        </w:rPr>
        <w:t xml:space="preserve">Derecho, Justicia, Universidad, Liber </w:t>
      </w:r>
      <w:proofErr w:type="spellStart"/>
      <w:r w:rsidRPr="00D21FAC">
        <w:rPr>
          <w:i/>
          <w:iCs/>
          <w:szCs w:val="24"/>
        </w:rPr>
        <w:t>amicorum</w:t>
      </w:r>
      <w:proofErr w:type="spellEnd"/>
      <w:r w:rsidRPr="00D21FAC">
        <w:rPr>
          <w:i/>
          <w:iCs/>
          <w:szCs w:val="24"/>
        </w:rPr>
        <w:t xml:space="preserve"> de Andrés de la Oliva Santos</w:t>
      </w:r>
      <w:r w:rsidRPr="00D21FAC">
        <w:rPr>
          <w:szCs w:val="24"/>
        </w:rPr>
        <w:t>, Ignacio Díez-Picazo Giménez (coord.), Jaime Vegas Torres (coord.) Editores: Madrid: Editorial Centro de Estudios Ramon Areces, España</w:t>
      </w:r>
      <w:r>
        <w:rPr>
          <w:szCs w:val="24"/>
        </w:rPr>
        <w:t>,</w:t>
      </w:r>
      <w:r w:rsidRPr="00D21FAC">
        <w:rPr>
          <w:szCs w:val="24"/>
        </w:rPr>
        <w:t xml:space="preserve"> </w:t>
      </w:r>
      <w:r>
        <w:rPr>
          <w:szCs w:val="24"/>
        </w:rPr>
        <w:t>2016.</w:t>
      </w:r>
    </w:p>
    <w:p w14:paraId="51D00D63" w14:textId="77777777" w:rsidR="00316C24" w:rsidRDefault="00316C24" w:rsidP="00316C24">
      <w:pPr>
        <w:spacing w:before="240" w:after="240"/>
        <w:rPr>
          <w:szCs w:val="24"/>
        </w:rPr>
      </w:pPr>
      <w:r w:rsidRPr="00D21FAC">
        <w:rPr>
          <w:szCs w:val="24"/>
        </w:rPr>
        <w:t>ARAGÓN REYES, M.</w:t>
      </w:r>
      <w:r>
        <w:rPr>
          <w:szCs w:val="24"/>
        </w:rPr>
        <w:t>,” Algunos</w:t>
      </w:r>
      <w:r w:rsidRPr="00D21FAC">
        <w:rPr>
          <w:szCs w:val="24"/>
        </w:rPr>
        <w:t xml:space="preserve"> problemas del n</w:t>
      </w:r>
      <w:r>
        <w:rPr>
          <w:szCs w:val="24"/>
        </w:rPr>
        <w:t>uevo recurso de amparo” en AA.VV</w:t>
      </w:r>
      <w:r w:rsidRPr="00D21FAC">
        <w:rPr>
          <w:szCs w:val="24"/>
        </w:rPr>
        <w:t>.</w:t>
      </w:r>
      <w:r>
        <w:rPr>
          <w:szCs w:val="24"/>
        </w:rPr>
        <w:t>,</w:t>
      </w:r>
      <w:r w:rsidRPr="00D21FAC">
        <w:rPr>
          <w:szCs w:val="24"/>
        </w:rPr>
        <w:t xml:space="preserve"> </w:t>
      </w:r>
      <w:r>
        <w:rPr>
          <w:i/>
          <w:szCs w:val="24"/>
        </w:rPr>
        <w:t>F</w:t>
      </w:r>
      <w:r w:rsidRPr="00CB3479">
        <w:rPr>
          <w:i/>
          <w:szCs w:val="24"/>
        </w:rPr>
        <w:t xml:space="preserve">ernando </w:t>
      </w:r>
      <w:r>
        <w:rPr>
          <w:i/>
          <w:szCs w:val="24"/>
        </w:rPr>
        <w:t>Herrero-Tejedor Algar.</w:t>
      </w:r>
      <w:r w:rsidRPr="00CB3479">
        <w:rPr>
          <w:i/>
          <w:szCs w:val="24"/>
        </w:rPr>
        <w:t xml:space="preserve"> </w:t>
      </w:r>
      <w:r>
        <w:rPr>
          <w:i/>
          <w:szCs w:val="24"/>
        </w:rPr>
        <w:t xml:space="preserve">Liber </w:t>
      </w:r>
      <w:proofErr w:type="spellStart"/>
      <w:r>
        <w:rPr>
          <w:i/>
          <w:szCs w:val="24"/>
        </w:rPr>
        <w:t>A</w:t>
      </w:r>
      <w:r w:rsidRPr="00CB3479">
        <w:rPr>
          <w:i/>
          <w:szCs w:val="24"/>
        </w:rPr>
        <w:t>micorum</w:t>
      </w:r>
      <w:proofErr w:type="spellEnd"/>
      <w:r>
        <w:rPr>
          <w:szCs w:val="24"/>
        </w:rPr>
        <w:t xml:space="preserve">, Madrid, </w:t>
      </w:r>
      <w:r w:rsidRPr="00D21FAC">
        <w:rPr>
          <w:szCs w:val="24"/>
        </w:rPr>
        <w:t>2015</w:t>
      </w:r>
      <w:r>
        <w:rPr>
          <w:szCs w:val="24"/>
        </w:rPr>
        <w:t>.</w:t>
      </w:r>
    </w:p>
    <w:p w14:paraId="359E6112" w14:textId="77777777" w:rsidR="00316C24" w:rsidRPr="00D21FAC" w:rsidRDefault="00316C24" w:rsidP="00316C24">
      <w:pPr>
        <w:spacing w:before="240" w:after="240"/>
        <w:rPr>
          <w:szCs w:val="24"/>
        </w:rPr>
      </w:pPr>
      <w:r w:rsidRPr="00D21FAC">
        <w:rPr>
          <w:szCs w:val="24"/>
        </w:rPr>
        <w:t>ARAGÓN REYES, M.</w:t>
      </w:r>
      <w:r>
        <w:rPr>
          <w:szCs w:val="24"/>
        </w:rPr>
        <w:t xml:space="preserve">,” Debate sobre las Ponencias”, </w:t>
      </w:r>
      <w:r w:rsidRPr="000A1C71">
        <w:rPr>
          <w:i/>
          <w:szCs w:val="24"/>
        </w:rPr>
        <w:t>La defensa de los derechos fundamentales: Tribunal Constitucional y Poder Judicial. Actas de la Asociación de Letrados del Tribunal Constitucional. Tribunal Constitucional</w:t>
      </w:r>
      <w:r>
        <w:rPr>
          <w:i/>
          <w:szCs w:val="24"/>
        </w:rPr>
        <w:t xml:space="preserve">, </w:t>
      </w:r>
      <w:r>
        <w:rPr>
          <w:szCs w:val="24"/>
        </w:rPr>
        <w:t>Madrid.</w:t>
      </w:r>
      <w:r w:rsidRPr="00D21FAC">
        <w:rPr>
          <w:szCs w:val="24"/>
        </w:rPr>
        <w:t xml:space="preserve"> Centro de E</w:t>
      </w:r>
      <w:r>
        <w:rPr>
          <w:szCs w:val="24"/>
        </w:rPr>
        <w:t>studios Políticos y Constitucionales, 2010.</w:t>
      </w:r>
    </w:p>
    <w:p w14:paraId="17FEADE2" w14:textId="77777777" w:rsidR="00316C24" w:rsidRDefault="00316C24" w:rsidP="00316C24">
      <w:pPr>
        <w:spacing w:before="240" w:after="240"/>
      </w:pPr>
      <w:r>
        <w:lastRenderedPageBreak/>
        <w:t>ARAGÓN REYES, M.., “El recurso de amparo”, Anales de estudios económicos y empresariales, núm. 2, 1987.</w:t>
      </w:r>
    </w:p>
    <w:p w14:paraId="20616F60" w14:textId="77777777" w:rsidR="00316C24" w:rsidRPr="004C5EB9" w:rsidRDefault="00316C24" w:rsidP="00316C24">
      <w:pPr>
        <w:spacing w:before="240" w:after="240"/>
        <w:rPr>
          <w:szCs w:val="24"/>
        </w:rPr>
      </w:pPr>
      <w:r>
        <w:rPr>
          <w:szCs w:val="24"/>
        </w:rPr>
        <w:t>ARAGÓN REYES, M..,</w:t>
      </w:r>
      <w:r w:rsidRPr="004C5EB9">
        <w:rPr>
          <w:szCs w:val="24"/>
        </w:rPr>
        <w:t xml:space="preserve"> “P</w:t>
      </w:r>
      <w:r>
        <w:rPr>
          <w:szCs w:val="24"/>
        </w:rPr>
        <w:t>roblemas del recurso de amparo”, en AA. VV</w:t>
      </w:r>
      <w:r w:rsidRPr="004C5EB9">
        <w:rPr>
          <w:i/>
          <w:szCs w:val="24"/>
        </w:rPr>
        <w:t xml:space="preserve">., La reforma del recurso de </w:t>
      </w:r>
      <w:proofErr w:type="spellStart"/>
      <w:r w:rsidRPr="004C5EB9">
        <w:rPr>
          <w:i/>
          <w:szCs w:val="24"/>
        </w:rPr>
        <w:t>amparo.,</w:t>
      </w:r>
      <w:r w:rsidRPr="004C5EB9">
        <w:rPr>
          <w:szCs w:val="24"/>
        </w:rPr>
        <w:t>Valencia</w:t>
      </w:r>
      <w:proofErr w:type="spellEnd"/>
      <w:r w:rsidRPr="004C5EB9">
        <w:rPr>
          <w:szCs w:val="24"/>
        </w:rPr>
        <w:t>, 2004.</w:t>
      </w:r>
    </w:p>
    <w:p w14:paraId="54FA7929" w14:textId="77777777" w:rsidR="00316C24" w:rsidRPr="004C5EB9" w:rsidRDefault="00316C24" w:rsidP="00316C24">
      <w:pPr>
        <w:spacing w:before="240" w:after="240"/>
        <w:rPr>
          <w:szCs w:val="24"/>
        </w:rPr>
      </w:pPr>
      <w:r w:rsidRPr="004C5EB9">
        <w:rPr>
          <w:szCs w:val="24"/>
        </w:rPr>
        <w:t>ARAGÓN REYES, M.</w:t>
      </w:r>
      <w:r>
        <w:rPr>
          <w:szCs w:val="24"/>
        </w:rPr>
        <w:t>.,</w:t>
      </w:r>
      <w:r w:rsidRPr="004C5EB9">
        <w:rPr>
          <w:szCs w:val="24"/>
        </w:rPr>
        <w:t xml:space="preserve"> “Relaciones Tribunal C</w:t>
      </w:r>
      <w:r>
        <w:rPr>
          <w:szCs w:val="24"/>
        </w:rPr>
        <w:t xml:space="preserve">onstitucional-Tribunal Supremo”, </w:t>
      </w:r>
      <w:r w:rsidRPr="004C5EB9">
        <w:rPr>
          <w:szCs w:val="24"/>
        </w:rPr>
        <w:t xml:space="preserve">Revista Iberoamericana de </w:t>
      </w:r>
      <w:r>
        <w:rPr>
          <w:szCs w:val="24"/>
        </w:rPr>
        <w:t>Derecho Procesal Constitución, núm.</w:t>
      </w:r>
      <w:r w:rsidRPr="004C5EB9">
        <w:rPr>
          <w:szCs w:val="24"/>
        </w:rPr>
        <w:t xml:space="preserve"> 8, 2007. </w:t>
      </w:r>
    </w:p>
    <w:p w14:paraId="2806F815" w14:textId="77777777" w:rsidR="00316C24" w:rsidRDefault="00316C24" w:rsidP="00316C24">
      <w:pPr>
        <w:spacing w:before="240" w:after="240"/>
      </w:pPr>
      <w:r>
        <w:t xml:space="preserve">ARMENTA DEU T., CORDÓN MORENO F., TAPIA FERNANDEZ I., MUERZA ESPARZA J.J., </w:t>
      </w:r>
      <w:r w:rsidRPr="006E1B19">
        <w:rPr>
          <w:i/>
          <w:iCs/>
        </w:rPr>
        <w:t>Comentarios a la Ley de Enjuiciamiento Civil</w:t>
      </w:r>
      <w:r>
        <w:t>, Pamplona, 2011.</w:t>
      </w:r>
    </w:p>
    <w:p w14:paraId="2E67FD78" w14:textId="77777777" w:rsidR="00316C24" w:rsidRDefault="00316C24" w:rsidP="00316C24">
      <w:pPr>
        <w:spacing w:before="240" w:after="240"/>
        <w:rPr>
          <w:szCs w:val="24"/>
        </w:rPr>
      </w:pPr>
      <w:r>
        <w:rPr>
          <w:szCs w:val="24"/>
        </w:rPr>
        <w:t>ARROYO JIMÉNEZ, L.,” Especial</w:t>
      </w:r>
      <w:r w:rsidRPr="00D21FAC">
        <w:rPr>
          <w:szCs w:val="24"/>
        </w:rPr>
        <w:t xml:space="preserve"> trascendencia constitucional del recurso de amparo”, </w:t>
      </w:r>
      <w:r w:rsidRPr="000A1C71">
        <w:rPr>
          <w:i/>
          <w:szCs w:val="24"/>
        </w:rPr>
        <w:t>El Cronista del Estado Social y Democrático de Derecho</w:t>
      </w:r>
      <w:r>
        <w:rPr>
          <w:szCs w:val="24"/>
        </w:rPr>
        <w:t>, núm. 68, abril, 2017.</w:t>
      </w:r>
    </w:p>
    <w:p w14:paraId="6673B524" w14:textId="77777777" w:rsidR="00316C24" w:rsidRPr="00D21FAC" w:rsidRDefault="00316C24" w:rsidP="00316C24">
      <w:pPr>
        <w:spacing w:before="240" w:after="240"/>
        <w:rPr>
          <w:szCs w:val="24"/>
        </w:rPr>
      </w:pPr>
      <w:r>
        <w:rPr>
          <w:szCs w:val="24"/>
        </w:rPr>
        <w:t>ASENSI SABATER, J.,</w:t>
      </w:r>
      <w:r w:rsidRPr="004C5EB9">
        <w:rPr>
          <w:szCs w:val="24"/>
        </w:rPr>
        <w:t xml:space="preserve"> “El Recurso de Amparo (aspectos p</w:t>
      </w:r>
      <w:r>
        <w:rPr>
          <w:szCs w:val="24"/>
        </w:rPr>
        <w:t xml:space="preserve">olíticos y jurídico procesales)”, </w:t>
      </w:r>
      <w:r w:rsidRPr="004C5EB9">
        <w:rPr>
          <w:i/>
          <w:szCs w:val="24"/>
        </w:rPr>
        <w:t>Anales de la Universidad de Alicante</w:t>
      </w:r>
      <w:r>
        <w:rPr>
          <w:i/>
          <w:szCs w:val="24"/>
        </w:rPr>
        <w:t xml:space="preserve">, </w:t>
      </w:r>
      <w:r w:rsidRPr="004C5EB9">
        <w:rPr>
          <w:szCs w:val="24"/>
        </w:rPr>
        <w:t>núm. 2,</w:t>
      </w:r>
      <w:r>
        <w:rPr>
          <w:szCs w:val="24"/>
        </w:rPr>
        <w:t xml:space="preserve"> 1983. </w:t>
      </w:r>
    </w:p>
    <w:p w14:paraId="7FF90A07" w14:textId="77777777" w:rsidR="00316C24" w:rsidRDefault="00316C24" w:rsidP="00316C24">
      <w:pPr>
        <w:spacing w:before="240" w:after="240"/>
      </w:pPr>
      <w:r>
        <w:t xml:space="preserve">BACHMAIER WINTER, L., “La reforma de la LOTC y la ampliación del incidente de nulidad de actuaciones”, </w:t>
      </w:r>
      <w:r w:rsidRPr="00EB79FC">
        <w:rPr>
          <w:i/>
          <w:iCs/>
        </w:rPr>
        <w:t>Revista General de Derecho Procesal</w:t>
      </w:r>
      <w:r>
        <w:t xml:space="preserve">, núm. </w:t>
      </w:r>
      <w:r w:rsidRPr="00EB79FC">
        <w:t>13, octubre 2007</w:t>
      </w:r>
      <w:r>
        <w:t>.</w:t>
      </w:r>
    </w:p>
    <w:p w14:paraId="1002BA96" w14:textId="77777777" w:rsidR="00316C24" w:rsidRPr="00B0532D" w:rsidRDefault="00316C24" w:rsidP="00316C24">
      <w:pPr>
        <w:spacing w:before="240" w:after="240"/>
      </w:pPr>
      <w:r>
        <w:t>BACHMAIER WINTER, L., “</w:t>
      </w:r>
      <w:r w:rsidRPr="00610EBF">
        <w:t>La reforma del recurso de amparo en la Ley Orgánica 6/2007, de 24 de mayo</w:t>
      </w:r>
      <w:r>
        <w:t xml:space="preserve">”, </w:t>
      </w:r>
      <w:r w:rsidRPr="00610EBF">
        <w:rPr>
          <w:i/>
        </w:rPr>
        <w:t>La Ley: Revista jurídica española de doctrina, jurisprudencia y bibliografía</w:t>
      </w:r>
      <w:r>
        <w:t>, núm. 4, 2007.</w:t>
      </w:r>
    </w:p>
    <w:p w14:paraId="53BCD2B3" w14:textId="77777777" w:rsidR="00316C24" w:rsidRDefault="00316C24" w:rsidP="00316C24">
      <w:pPr>
        <w:spacing w:before="240" w:after="240"/>
      </w:pPr>
      <w:r w:rsidRPr="005B1708">
        <w:t xml:space="preserve">BALAGUER CALLEJÓN, F., CÁMARA VILLAR, G., MEDINA REY, L. F., </w:t>
      </w:r>
      <w:r w:rsidRPr="005B1708">
        <w:rPr>
          <w:i/>
        </w:rPr>
        <w:t>La Nueva Ley Orgán</w:t>
      </w:r>
      <w:r>
        <w:rPr>
          <w:i/>
        </w:rPr>
        <w:t>ica del Tribunal Constitucional,</w:t>
      </w:r>
      <w:r>
        <w:t xml:space="preserve"> Madrid, 2008.</w:t>
      </w:r>
    </w:p>
    <w:p w14:paraId="0DEBFE70" w14:textId="77777777" w:rsidR="00316C24" w:rsidRDefault="00316C24" w:rsidP="00316C24">
      <w:pPr>
        <w:spacing w:before="240" w:after="240"/>
      </w:pPr>
      <w:r>
        <w:t xml:space="preserve">BANACLOCHE PALAO, J., “La reforma del incidente de nulidad de actuaciones y el pretendido amparo judicial”, en C. </w:t>
      </w:r>
      <w:proofErr w:type="spellStart"/>
      <w:r>
        <w:t>Banacloche</w:t>
      </w:r>
      <w:proofErr w:type="spellEnd"/>
      <w:r>
        <w:t xml:space="preserve"> Palao, J. </w:t>
      </w:r>
      <w:proofErr w:type="spellStart"/>
      <w:r>
        <w:t>Banacloche</w:t>
      </w:r>
      <w:proofErr w:type="spellEnd"/>
      <w:r>
        <w:t xml:space="preserve"> Pérez-Roldán, B. </w:t>
      </w:r>
      <w:proofErr w:type="spellStart"/>
      <w:r>
        <w:t>Banacloche</w:t>
      </w:r>
      <w:proofErr w:type="spellEnd"/>
      <w:r>
        <w:t xml:space="preserve"> Palao (</w:t>
      </w:r>
      <w:proofErr w:type="spellStart"/>
      <w:r>
        <w:t>coords</w:t>
      </w:r>
      <w:proofErr w:type="spellEnd"/>
      <w:r>
        <w:t xml:space="preserve">.), </w:t>
      </w:r>
      <w:r w:rsidRPr="006E1B19">
        <w:rPr>
          <w:i/>
          <w:iCs/>
        </w:rPr>
        <w:t xml:space="preserve">Justicia y Derecho tributario. Libro homenaje al profesor Julio </w:t>
      </w:r>
      <w:proofErr w:type="spellStart"/>
      <w:r w:rsidRPr="006E1B19">
        <w:rPr>
          <w:i/>
          <w:iCs/>
        </w:rPr>
        <w:t>Banacloche</w:t>
      </w:r>
      <w:proofErr w:type="spellEnd"/>
      <w:r w:rsidRPr="006E1B19">
        <w:rPr>
          <w:i/>
          <w:iCs/>
        </w:rPr>
        <w:t xml:space="preserve"> Pérez</w:t>
      </w:r>
      <w:r>
        <w:t xml:space="preserve">, Madrid, 2008. </w:t>
      </w:r>
    </w:p>
    <w:p w14:paraId="318CC742" w14:textId="77777777" w:rsidR="00316C24" w:rsidRDefault="00316C24" w:rsidP="00316C24">
      <w:pPr>
        <w:spacing w:before="240" w:after="240"/>
      </w:pPr>
      <w:r>
        <w:t xml:space="preserve">BARBER BURUSCO, S., “La reciente doctrina del Tribunal Constitucional sobre el incidente de nulidad de actuaciones”, </w:t>
      </w:r>
      <w:r w:rsidRPr="006E1B19">
        <w:rPr>
          <w:i/>
          <w:iCs/>
        </w:rPr>
        <w:t>Actualidad Jurídica Aranzadi</w:t>
      </w:r>
      <w:r>
        <w:t>, núm.880 Parte Tribuna, 2014.</w:t>
      </w:r>
    </w:p>
    <w:p w14:paraId="00C50E24" w14:textId="77777777" w:rsidR="00316C24" w:rsidRDefault="00316C24" w:rsidP="00316C24">
      <w:pPr>
        <w:spacing w:before="240" w:after="240"/>
      </w:pPr>
      <w:r w:rsidRPr="00B0532D">
        <w:lastRenderedPageBreak/>
        <w:t xml:space="preserve">BELADÍEZ ROJO, M., “El recurso de amparo y la especial trascendencia constitucional”, </w:t>
      </w:r>
      <w:r w:rsidRPr="00610EBF">
        <w:rPr>
          <w:i/>
        </w:rPr>
        <w:t>Revista General de Derecho Constitucional</w:t>
      </w:r>
      <w:r>
        <w:t>, núm. 25, octubre 2017.</w:t>
      </w:r>
    </w:p>
    <w:p w14:paraId="22BC226B" w14:textId="77777777" w:rsidR="00316C24" w:rsidRDefault="00316C24" w:rsidP="00316C24">
      <w:pPr>
        <w:spacing w:before="240" w:after="240"/>
      </w:pPr>
      <w:r>
        <w:t xml:space="preserve">BELADÍEZ ROJO, M., “La función constitucional del incidente de nulidad de actuaciones del art. 241 LOPJ”, en L. Arroyo Jiménez, M. </w:t>
      </w:r>
      <w:proofErr w:type="spellStart"/>
      <w:r>
        <w:t>Beladiez</w:t>
      </w:r>
      <w:proofErr w:type="spellEnd"/>
      <w:r>
        <w:t xml:space="preserve"> Rojo, C. Ortega Carballo y J. M. Rodríguez de Santiago, </w:t>
      </w:r>
      <w:r w:rsidRPr="006E1B19">
        <w:rPr>
          <w:i/>
          <w:iCs/>
        </w:rPr>
        <w:t>El juez del derecho administrativo. Libro homenaje a Javier Delgado Barrio</w:t>
      </w:r>
      <w:r>
        <w:t>, Madrid, 2015.</w:t>
      </w:r>
    </w:p>
    <w:p w14:paraId="26812436" w14:textId="77777777" w:rsidR="00316C24" w:rsidRDefault="00316C24" w:rsidP="00316C24">
      <w:pPr>
        <w:spacing w:before="240" w:after="240"/>
      </w:pPr>
      <w:r>
        <w:t xml:space="preserve">BELLIDO PENADÉS, R., “El incidente de nulidad de actuaciones como medio de tutela de derechos fundamentales”, </w:t>
      </w:r>
      <w:r w:rsidRPr="00310C03">
        <w:rPr>
          <w:i/>
          <w:iCs/>
        </w:rPr>
        <w:t>Revista General de Derecho Constitucional</w:t>
      </w:r>
      <w:r>
        <w:t>, núm. 25, 2017.</w:t>
      </w:r>
    </w:p>
    <w:p w14:paraId="4356F995" w14:textId="77777777" w:rsidR="00316C24" w:rsidRDefault="00316C24" w:rsidP="00316C24">
      <w:pPr>
        <w:pStyle w:val="texto"/>
        <w:spacing w:before="240" w:after="240" w:afterAutospacing="0"/>
        <w:ind w:firstLine="0"/>
        <w:rPr>
          <w:rFonts w:ascii="Times New Roman" w:hAnsi="Times New Roman"/>
          <w:szCs w:val="24"/>
        </w:rPr>
      </w:pPr>
      <w:r w:rsidRPr="00575AD6">
        <w:rPr>
          <w:rFonts w:ascii="Times New Roman" w:hAnsi="Times New Roman"/>
          <w:szCs w:val="24"/>
        </w:rPr>
        <w:t xml:space="preserve">BELTRÁN DE FELIPE, M., GONZÁLEZ GARCÍA, J. V., </w:t>
      </w:r>
      <w:r w:rsidRPr="00575AD6">
        <w:rPr>
          <w:rFonts w:ascii="Times New Roman" w:hAnsi="Times New Roman"/>
          <w:i/>
          <w:szCs w:val="24"/>
        </w:rPr>
        <w:t>Las sentencias básicas del Tribunal Supremo de los Estados Unidos de América</w:t>
      </w:r>
      <w:r w:rsidRPr="00575AD6">
        <w:rPr>
          <w:rFonts w:ascii="Times New Roman" w:hAnsi="Times New Roman"/>
          <w:szCs w:val="24"/>
        </w:rPr>
        <w:t>, Madrid, Centro de Estudios Pol</w:t>
      </w:r>
      <w:r>
        <w:rPr>
          <w:rFonts w:ascii="Times New Roman" w:hAnsi="Times New Roman"/>
          <w:szCs w:val="24"/>
        </w:rPr>
        <w:t>íticos y Constitucionales, 2006.</w:t>
      </w:r>
    </w:p>
    <w:p w14:paraId="7AB18FAC" w14:textId="77777777" w:rsidR="00316C24" w:rsidRPr="00D21FAC" w:rsidRDefault="00316C24" w:rsidP="00316C24">
      <w:pPr>
        <w:spacing w:before="240" w:after="240"/>
        <w:rPr>
          <w:szCs w:val="24"/>
        </w:rPr>
      </w:pPr>
      <w:r w:rsidRPr="00D21FAC">
        <w:rPr>
          <w:szCs w:val="24"/>
        </w:rPr>
        <w:t xml:space="preserve">BERCHOLC, J. O., </w:t>
      </w:r>
      <w:r w:rsidRPr="00D21FAC">
        <w:rPr>
          <w:i/>
          <w:iCs/>
          <w:szCs w:val="24"/>
        </w:rPr>
        <w:t>La Producción del Tribunal Constitucional de España a Través del Control de Constitucionalidad. Un estudio empírico-cuantitativo, con análisis cualitativo agregado, sobre el rol desempeñado por el Tribunal Constitucional en el sistema político-institucional español</w:t>
      </w:r>
      <w:r w:rsidRPr="00D21FAC">
        <w:rPr>
          <w:szCs w:val="24"/>
        </w:rPr>
        <w:t>, Valencia, 2017.</w:t>
      </w:r>
    </w:p>
    <w:p w14:paraId="08E1A709" w14:textId="77777777" w:rsidR="00316C24" w:rsidRDefault="00316C24" w:rsidP="00316C24">
      <w:pPr>
        <w:spacing w:before="240" w:after="240"/>
      </w:pPr>
      <w:r w:rsidRPr="00B0532D">
        <w:t xml:space="preserve">BIEDMA FERRER, J. M., “El trámite de admisión del recurso de amparo constitucional en el proyecto de reforma de la LOTC. ¿hacia el </w:t>
      </w:r>
      <w:proofErr w:type="spellStart"/>
      <w:r w:rsidRPr="00B0532D">
        <w:t>certiorari</w:t>
      </w:r>
      <w:proofErr w:type="spellEnd"/>
      <w:r w:rsidRPr="00B0532D">
        <w:t xml:space="preserve"> estadounidense?”, en </w:t>
      </w:r>
      <w:hyperlink r:id="rId9" w:history="1">
        <w:r w:rsidRPr="003E6765">
          <w:rPr>
            <w:rStyle w:val="Hipervnculo"/>
          </w:rPr>
          <w:t>https://porticolegal.eleconomista.es/pa_articulo.php?ref=293</w:t>
        </w:r>
      </w:hyperlink>
    </w:p>
    <w:p w14:paraId="53D1A6F6" w14:textId="77777777" w:rsidR="00316C24" w:rsidRDefault="00316C24" w:rsidP="00316C24">
      <w:pPr>
        <w:spacing w:before="240" w:after="240"/>
        <w:rPr>
          <w:szCs w:val="24"/>
        </w:rPr>
      </w:pPr>
      <w:r w:rsidRPr="00D21FAC">
        <w:rPr>
          <w:szCs w:val="24"/>
        </w:rPr>
        <w:t xml:space="preserve">BIEDMA FERRER, J.M., “El recurso de amparo constitucional. Reforma de la Ley Orgánica del Tribunal Constitucional 6/2007 y el trámite de admisión”, </w:t>
      </w:r>
      <w:r w:rsidRPr="00D21FAC">
        <w:rPr>
          <w:i/>
          <w:iCs/>
          <w:szCs w:val="24"/>
        </w:rPr>
        <w:t>Contribuciones a las Ciencias Sociales</w:t>
      </w:r>
      <w:r>
        <w:rPr>
          <w:szCs w:val="24"/>
        </w:rPr>
        <w:t>, núm. 25, 2012.</w:t>
      </w:r>
    </w:p>
    <w:p w14:paraId="2CFF0907" w14:textId="77777777" w:rsidR="00316C24" w:rsidRPr="00B0532D" w:rsidRDefault="00316C24" w:rsidP="00316C24">
      <w:pPr>
        <w:spacing w:before="240" w:after="240"/>
      </w:pPr>
      <w:r w:rsidRPr="00B0532D">
        <w:t xml:space="preserve">BONILLA SÁNCHEZ, J. J., “Motivos de inadmisión del recurso de amparo”, Espacio y tiempo. </w:t>
      </w:r>
      <w:r w:rsidRPr="00610EBF">
        <w:rPr>
          <w:i/>
        </w:rPr>
        <w:t>Revista de Ciencias Humanas</w:t>
      </w:r>
      <w:r>
        <w:t>, núm. 24, 2010.</w:t>
      </w:r>
    </w:p>
    <w:p w14:paraId="4F0A2D54" w14:textId="77777777" w:rsidR="00316C24" w:rsidRPr="00D21FAC" w:rsidRDefault="00316C24" w:rsidP="00316C24">
      <w:pPr>
        <w:spacing w:before="240" w:after="240"/>
        <w:rPr>
          <w:szCs w:val="24"/>
        </w:rPr>
      </w:pPr>
      <w:r w:rsidRPr="00D21FAC">
        <w:rPr>
          <w:szCs w:val="24"/>
        </w:rPr>
        <w:t xml:space="preserve">BORRAJO INIESTA, I., “La puesta en marcha del nuevo recurso de amparo y otras facetas de la jurisprudencia constitucional” </w:t>
      </w:r>
      <w:r w:rsidRPr="00D21FAC">
        <w:rPr>
          <w:i/>
          <w:iCs/>
          <w:szCs w:val="24"/>
        </w:rPr>
        <w:t>Revista General de Derecho Constitucional</w:t>
      </w:r>
      <w:r>
        <w:rPr>
          <w:szCs w:val="24"/>
        </w:rPr>
        <w:t>, núm. 22, 2011.</w:t>
      </w:r>
      <w:r w:rsidRPr="00D21FAC">
        <w:rPr>
          <w:szCs w:val="24"/>
        </w:rPr>
        <w:t xml:space="preserve"> </w:t>
      </w:r>
    </w:p>
    <w:p w14:paraId="5479DCE9" w14:textId="77777777" w:rsidR="00316C24" w:rsidRPr="00D21FAC" w:rsidRDefault="00316C24" w:rsidP="00316C24">
      <w:pPr>
        <w:spacing w:before="240" w:after="240"/>
        <w:rPr>
          <w:szCs w:val="24"/>
        </w:rPr>
      </w:pPr>
      <w:r w:rsidRPr="00D21FAC">
        <w:rPr>
          <w:szCs w:val="24"/>
        </w:rPr>
        <w:lastRenderedPageBreak/>
        <w:t>BORRAJO INIESTA, I., “Mitos y realidades de la jurisdicción constitucional de amparo: hechos, derecho, pronunciamientos, admisión, costes”, Teoría y Derecho: revista de pensamiento jurídico, núm. 3, 2008.</w:t>
      </w:r>
    </w:p>
    <w:p w14:paraId="621CB7FA"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BORRAJO INIESTA, I., “</w:t>
      </w:r>
      <w:r w:rsidRPr="00827EB4">
        <w:rPr>
          <w:rFonts w:ascii="Times New Roman" w:hAnsi="Times New Roman"/>
          <w:szCs w:val="24"/>
        </w:rPr>
        <w:t>Reflexiones acerca de las reformas que necesita el amparo judicial. Sencillez y celeridad como criterios determinan</w:t>
      </w:r>
      <w:r>
        <w:rPr>
          <w:rFonts w:ascii="Times New Roman" w:hAnsi="Times New Roman"/>
          <w:szCs w:val="24"/>
        </w:rPr>
        <w:t>tes”</w:t>
      </w:r>
      <w:r w:rsidRPr="00827EB4">
        <w:rPr>
          <w:rFonts w:ascii="Times New Roman" w:hAnsi="Times New Roman"/>
          <w:szCs w:val="24"/>
        </w:rPr>
        <w:t xml:space="preserve">, </w:t>
      </w:r>
      <w:r w:rsidRPr="00827EB4">
        <w:rPr>
          <w:rFonts w:ascii="Times New Roman" w:hAnsi="Times New Roman"/>
          <w:i/>
          <w:szCs w:val="24"/>
        </w:rPr>
        <w:t xml:space="preserve">Revista Española de Derecho </w:t>
      </w:r>
      <w:r>
        <w:rPr>
          <w:rFonts w:ascii="Times New Roman" w:hAnsi="Times New Roman"/>
          <w:i/>
          <w:szCs w:val="24"/>
        </w:rPr>
        <w:t>C</w:t>
      </w:r>
      <w:r w:rsidRPr="00827EB4">
        <w:rPr>
          <w:rFonts w:ascii="Times New Roman" w:hAnsi="Times New Roman"/>
          <w:i/>
          <w:szCs w:val="24"/>
        </w:rPr>
        <w:t>onstitucional</w:t>
      </w:r>
      <w:r>
        <w:rPr>
          <w:rFonts w:ascii="Times New Roman" w:hAnsi="Times New Roman"/>
          <w:szCs w:val="24"/>
        </w:rPr>
        <w:t>, núm. 43. 1995.</w:t>
      </w:r>
    </w:p>
    <w:p w14:paraId="02CAC9CA" w14:textId="77777777" w:rsidR="00316C24" w:rsidRPr="00D21FAC" w:rsidRDefault="00316C24" w:rsidP="00316C24">
      <w:pPr>
        <w:spacing w:before="240" w:after="240"/>
        <w:rPr>
          <w:szCs w:val="24"/>
        </w:rPr>
      </w:pPr>
      <w:r w:rsidRPr="004C5EB9">
        <w:rPr>
          <w:szCs w:val="24"/>
        </w:rPr>
        <w:t>BORRAJO INIESTA, I., DIEZ- PICAZO GIMENEZ, L.M. Y FERNÁNDEZ</w:t>
      </w:r>
      <w:r>
        <w:rPr>
          <w:szCs w:val="24"/>
        </w:rPr>
        <w:t xml:space="preserve"> </w:t>
      </w:r>
      <w:r w:rsidRPr="004C5EB9">
        <w:rPr>
          <w:szCs w:val="24"/>
        </w:rPr>
        <w:t>FARRERES, G.</w:t>
      </w:r>
      <w:r>
        <w:rPr>
          <w:szCs w:val="24"/>
        </w:rPr>
        <w:t>,</w:t>
      </w:r>
      <w:r w:rsidRPr="004C5EB9">
        <w:rPr>
          <w:szCs w:val="24"/>
        </w:rPr>
        <w:t xml:space="preserve"> </w:t>
      </w:r>
      <w:r w:rsidRPr="004C5EB9">
        <w:rPr>
          <w:i/>
          <w:szCs w:val="24"/>
        </w:rPr>
        <w:t>El derecho a la tutela judicial y el recurso de amparo</w:t>
      </w:r>
      <w:r>
        <w:rPr>
          <w:szCs w:val="24"/>
        </w:rPr>
        <w:t xml:space="preserve">, Madrid, 1995. </w:t>
      </w:r>
    </w:p>
    <w:p w14:paraId="38AC074D"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BREY, J.L., ENRILE, J., GONZÁLEZ RIVAS, J.J., MURILLO, R., RODRÍGUEZ, </w:t>
      </w:r>
      <w:r>
        <w:rPr>
          <w:rFonts w:ascii="Times New Roman" w:hAnsi="Times New Roman"/>
          <w:szCs w:val="24"/>
        </w:rPr>
        <w:t>J., ZAMORA, F. J., ZAMORA, T., “</w:t>
      </w:r>
      <w:r w:rsidRPr="00827EB4">
        <w:rPr>
          <w:rFonts w:ascii="Times New Roman" w:hAnsi="Times New Roman"/>
          <w:szCs w:val="24"/>
        </w:rPr>
        <w:t>La garant</w:t>
      </w:r>
      <w:r>
        <w:rPr>
          <w:rFonts w:ascii="Times New Roman" w:hAnsi="Times New Roman"/>
          <w:szCs w:val="24"/>
        </w:rPr>
        <w:t>ía y protección de los derechos”</w:t>
      </w:r>
      <w:r w:rsidRPr="00827EB4">
        <w:rPr>
          <w:rFonts w:ascii="Times New Roman" w:hAnsi="Times New Roman"/>
          <w:szCs w:val="24"/>
        </w:rPr>
        <w:t xml:space="preserve">, </w:t>
      </w:r>
      <w:r w:rsidRPr="00827EB4">
        <w:rPr>
          <w:rFonts w:ascii="Times New Roman" w:hAnsi="Times New Roman"/>
          <w:i/>
          <w:szCs w:val="24"/>
        </w:rPr>
        <w:t>Derecho Constitucional de España (sistema de la Constitución de 1978),</w:t>
      </w:r>
      <w:r w:rsidRPr="00827EB4">
        <w:rPr>
          <w:rFonts w:ascii="Times New Roman" w:hAnsi="Times New Roman"/>
          <w:szCs w:val="24"/>
        </w:rPr>
        <w:t xml:space="preserve"> Madrid, 2006</w:t>
      </w:r>
      <w:r>
        <w:rPr>
          <w:rFonts w:ascii="Times New Roman" w:hAnsi="Times New Roman"/>
          <w:szCs w:val="24"/>
        </w:rPr>
        <w:t>.</w:t>
      </w:r>
      <w:r w:rsidRPr="00827EB4">
        <w:rPr>
          <w:rFonts w:ascii="Times New Roman" w:hAnsi="Times New Roman"/>
          <w:szCs w:val="24"/>
        </w:rPr>
        <w:t xml:space="preserve"> </w:t>
      </w:r>
    </w:p>
    <w:p w14:paraId="3AA0E24D"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BUSTOS GISBERT, R., “</w:t>
      </w:r>
      <w:r w:rsidRPr="00827EB4">
        <w:rPr>
          <w:rFonts w:ascii="Times New Roman" w:hAnsi="Times New Roman"/>
          <w:szCs w:val="24"/>
        </w:rPr>
        <w:t>¿Está agotado el modelo de recurso de amparo diseña</w:t>
      </w:r>
      <w:r>
        <w:rPr>
          <w:rFonts w:ascii="Times New Roman" w:hAnsi="Times New Roman"/>
          <w:szCs w:val="24"/>
        </w:rPr>
        <w:t>do en la Constitución Española?”</w:t>
      </w:r>
      <w:r w:rsidRPr="00827EB4">
        <w:rPr>
          <w:rFonts w:ascii="Times New Roman" w:hAnsi="Times New Roman"/>
          <w:szCs w:val="24"/>
        </w:rPr>
        <w:t xml:space="preserve">, </w:t>
      </w:r>
      <w:r w:rsidRPr="00827EB4">
        <w:rPr>
          <w:rFonts w:ascii="Times New Roman" w:hAnsi="Times New Roman"/>
          <w:i/>
          <w:szCs w:val="24"/>
        </w:rPr>
        <w:t>Teoría y Realidad Constitucional</w:t>
      </w:r>
      <w:r w:rsidRPr="00827EB4">
        <w:rPr>
          <w:rFonts w:ascii="Times New Roman" w:hAnsi="Times New Roman"/>
          <w:szCs w:val="24"/>
        </w:rPr>
        <w:t>, núm. 4, 2</w:t>
      </w:r>
      <w:r>
        <w:rPr>
          <w:rFonts w:ascii="Times New Roman" w:hAnsi="Times New Roman"/>
          <w:szCs w:val="24"/>
        </w:rPr>
        <w:t>º semestre 1999.</w:t>
      </w:r>
    </w:p>
    <w:p w14:paraId="49167FD6" w14:textId="77777777" w:rsidR="00316C24" w:rsidRPr="00D21FAC" w:rsidRDefault="00316C24" w:rsidP="00316C24">
      <w:pPr>
        <w:spacing w:before="240" w:after="240"/>
        <w:rPr>
          <w:szCs w:val="24"/>
        </w:rPr>
      </w:pPr>
      <w:r w:rsidRPr="00D21FAC">
        <w:rPr>
          <w:szCs w:val="24"/>
        </w:rPr>
        <w:t xml:space="preserve">CABALLERO SÁNCHEZ-IZQUIEDO, J. M., </w:t>
      </w:r>
      <w:r>
        <w:rPr>
          <w:szCs w:val="24"/>
        </w:rPr>
        <w:t>“</w:t>
      </w:r>
      <w:r w:rsidRPr="00D21FAC">
        <w:rPr>
          <w:szCs w:val="24"/>
        </w:rPr>
        <w:t>Requisitos generales de admisión del recurso de amparo</w:t>
      </w:r>
      <w:r>
        <w:rPr>
          <w:szCs w:val="24"/>
        </w:rPr>
        <w:t>”</w:t>
      </w:r>
      <w:r w:rsidRPr="00D21FAC">
        <w:rPr>
          <w:szCs w:val="24"/>
        </w:rPr>
        <w:t xml:space="preserve">, </w:t>
      </w:r>
      <w:r w:rsidRPr="000A1C71">
        <w:rPr>
          <w:i/>
          <w:szCs w:val="24"/>
        </w:rPr>
        <w:t>Diario La Ley</w:t>
      </w:r>
      <w:r>
        <w:rPr>
          <w:szCs w:val="24"/>
        </w:rPr>
        <w:t>, núm. 7838, Sección Tribuna, 2012.</w:t>
      </w:r>
    </w:p>
    <w:p w14:paraId="7F3302BD" w14:textId="77777777" w:rsidR="00316C24" w:rsidRPr="00D21FAC" w:rsidRDefault="00316C24" w:rsidP="00316C24">
      <w:pPr>
        <w:spacing w:before="240" w:after="240"/>
        <w:rPr>
          <w:szCs w:val="24"/>
        </w:rPr>
      </w:pPr>
      <w:r>
        <w:rPr>
          <w:szCs w:val="24"/>
        </w:rPr>
        <w:t>CABAÑAS GARCÍA, J. C.,” El</w:t>
      </w:r>
      <w:r w:rsidRPr="00D21FAC">
        <w:rPr>
          <w:szCs w:val="24"/>
        </w:rPr>
        <w:t xml:space="preserve"> trámite de admisión del recurso de amparo y su especial trascendencia constitucional” en </w:t>
      </w:r>
      <w:r w:rsidRPr="009D61FE">
        <w:rPr>
          <w:szCs w:val="24"/>
        </w:rPr>
        <w:t xml:space="preserve">AA. VV. </w:t>
      </w:r>
      <w:r w:rsidRPr="009D61FE">
        <w:rPr>
          <w:i/>
          <w:szCs w:val="24"/>
        </w:rPr>
        <w:t>Cuestiones actuales de la jurisdicción en España, Real Academia de Jurisprudencia y Legislación</w:t>
      </w:r>
      <w:r w:rsidRPr="009D61FE">
        <w:rPr>
          <w:szCs w:val="24"/>
        </w:rPr>
        <w:t>, Madrid, 2010.</w:t>
      </w:r>
    </w:p>
    <w:p w14:paraId="62FD103C" w14:textId="77777777" w:rsidR="00316C24" w:rsidRDefault="00316C24" w:rsidP="00316C24">
      <w:pPr>
        <w:spacing w:before="240" w:after="240"/>
      </w:pPr>
      <w:r w:rsidRPr="00B0532D">
        <w:t xml:space="preserve">CABAÑAS GARCIA, J.C., “El recurso de amparo que queremos. Reflexiones a propósito de la Ley Orgánica 6/2007, de 24 de mayo, de reforma parcial de la Ley Orgánica del Tribunal Constitucional”, </w:t>
      </w:r>
      <w:r w:rsidRPr="00610EBF">
        <w:rPr>
          <w:i/>
        </w:rPr>
        <w:t>Revista Española de Derecho Constitucional</w:t>
      </w:r>
      <w:r w:rsidRPr="00B0532D">
        <w:t>, núm. 88,</w:t>
      </w:r>
      <w:r>
        <w:t xml:space="preserve"> 2010.</w:t>
      </w:r>
    </w:p>
    <w:p w14:paraId="2164A624"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CÁMARA VILLAR, G., «El sistema de los derechos y las libertades fundamentales en la Constitución Española», en AA.VV. (Coord. Francisco Balaguer Callejón), </w:t>
      </w:r>
      <w:r w:rsidRPr="00827EB4">
        <w:rPr>
          <w:rFonts w:ascii="Times New Roman" w:hAnsi="Times New Roman"/>
          <w:i/>
          <w:szCs w:val="24"/>
        </w:rPr>
        <w:t>Manual de Derecho Constitucional</w:t>
      </w:r>
      <w:r w:rsidRPr="00827EB4">
        <w:rPr>
          <w:rFonts w:ascii="Times New Roman" w:hAnsi="Times New Roman"/>
          <w:szCs w:val="24"/>
        </w:rPr>
        <w:t xml:space="preserve">. </w:t>
      </w:r>
      <w:r w:rsidRPr="00827EB4">
        <w:rPr>
          <w:rFonts w:ascii="Times New Roman" w:hAnsi="Times New Roman"/>
          <w:i/>
          <w:szCs w:val="24"/>
        </w:rPr>
        <w:t>Volumen II</w:t>
      </w:r>
      <w:r w:rsidRPr="00827EB4">
        <w:rPr>
          <w:rFonts w:ascii="Times New Roman" w:hAnsi="Times New Roman"/>
          <w:szCs w:val="24"/>
        </w:rPr>
        <w:t>, Madrid, 2006</w:t>
      </w:r>
      <w:r>
        <w:rPr>
          <w:rFonts w:ascii="Times New Roman" w:hAnsi="Times New Roman"/>
          <w:szCs w:val="24"/>
        </w:rPr>
        <w:t>.</w:t>
      </w:r>
    </w:p>
    <w:p w14:paraId="2D466C7A" w14:textId="77777777" w:rsidR="00316C24" w:rsidRPr="00887623" w:rsidRDefault="00316C24" w:rsidP="00316C24">
      <w:pPr>
        <w:pStyle w:val="texto"/>
        <w:spacing w:before="240" w:after="240" w:afterAutospacing="0"/>
        <w:ind w:firstLine="0"/>
        <w:rPr>
          <w:rFonts w:ascii="Times New Roman" w:hAnsi="Times New Roman"/>
          <w:szCs w:val="24"/>
        </w:rPr>
      </w:pPr>
      <w:r w:rsidRPr="00887623">
        <w:rPr>
          <w:rFonts w:ascii="Times New Roman" w:hAnsi="Times New Roman"/>
          <w:szCs w:val="24"/>
        </w:rPr>
        <w:t xml:space="preserve">CANO MATA, A., “Derechos y libertades fundamentales: su protección jurisdiccional”, </w:t>
      </w:r>
      <w:r w:rsidRPr="00887623">
        <w:rPr>
          <w:rFonts w:ascii="Times New Roman" w:hAnsi="Times New Roman"/>
          <w:i/>
          <w:szCs w:val="24"/>
        </w:rPr>
        <w:t>Revista de Derecho Público</w:t>
      </w:r>
      <w:r>
        <w:rPr>
          <w:rFonts w:ascii="Times New Roman" w:hAnsi="Times New Roman"/>
          <w:szCs w:val="24"/>
        </w:rPr>
        <w:t>, núm. 91, 1983.</w:t>
      </w:r>
    </w:p>
    <w:p w14:paraId="01BC3D0C"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lastRenderedPageBreak/>
        <w:t>CARBONELL SÁNCHEZ, M., “</w:t>
      </w:r>
      <w:r w:rsidRPr="00827EB4">
        <w:rPr>
          <w:rFonts w:ascii="Times New Roman" w:hAnsi="Times New Roman"/>
          <w:szCs w:val="24"/>
        </w:rPr>
        <w:t>Marbury versus Madison en los orígenes de la supremacía constitucional y el control de la constitucionalidad</w:t>
      </w:r>
      <w:r>
        <w:rPr>
          <w:rFonts w:ascii="Times New Roman" w:hAnsi="Times New Roman"/>
          <w:szCs w:val="24"/>
        </w:rPr>
        <w:t>”</w:t>
      </w:r>
      <w:r w:rsidRPr="00827EB4">
        <w:rPr>
          <w:rFonts w:ascii="Times New Roman" w:hAnsi="Times New Roman"/>
          <w:szCs w:val="24"/>
        </w:rPr>
        <w:t xml:space="preserve">, </w:t>
      </w:r>
      <w:r w:rsidRPr="00827EB4">
        <w:rPr>
          <w:rFonts w:ascii="Times New Roman" w:hAnsi="Times New Roman"/>
          <w:i/>
          <w:szCs w:val="24"/>
        </w:rPr>
        <w:t>Revista Iberoamericana de Derecho Procesal Constitucional</w:t>
      </w:r>
      <w:r>
        <w:rPr>
          <w:rFonts w:ascii="Times New Roman" w:hAnsi="Times New Roman"/>
          <w:szCs w:val="24"/>
        </w:rPr>
        <w:t>, núm. 5, 2006</w:t>
      </w:r>
    </w:p>
    <w:p w14:paraId="2D7E95BB" w14:textId="77777777" w:rsidR="00316C24" w:rsidRDefault="00316C24" w:rsidP="00316C24">
      <w:pPr>
        <w:pStyle w:val="texto"/>
        <w:spacing w:before="240" w:after="240" w:afterAutospacing="0"/>
        <w:ind w:firstLine="0"/>
        <w:rPr>
          <w:rFonts w:ascii="Times New Roman" w:hAnsi="Times New Roman"/>
          <w:szCs w:val="24"/>
        </w:rPr>
      </w:pPr>
      <w:r w:rsidRPr="00575AD6">
        <w:rPr>
          <w:rFonts w:ascii="Times New Roman" w:hAnsi="Times New Roman"/>
          <w:szCs w:val="24"/>
          <w:lang w:val="en-GB"/>
        </w:rPr>
        <w:t>CARBONELL</w:t>
      </w:r>
      <w:r>
        <w:rPr>
          <w:rFonts w:ascii="Times New Roman" w:hAnsi="Times New Roman"/>
          <w:szCs w:val="24"/>
          <w:lang w:val="en-GB"/>
        </w:rPr>
        <w:t xml:space="preserve"> SÁNCHEZ</w:t>
      </w:r>
      <w:r w:rsidRPr="00575AD6">
        <w:rPr>
          <w:rFonts w:ascii="Times New Roman" w:hAnsi="Times New Roman"/>
          <w:szCs w:val="24"/>
          <w:lang w:val="en-GB"/>
        </w:rPr>
        <w:t>, M., “</w:t>
      </w:r>
      <w:proofErr w:type="spellStart"/>
      <w:r w:rsidRPr="00575AD6">
        <w:rPr>
          <w:rFonts w:ascii="Times New Roman" w:hAnsi="Times New Roman"/>
          <w:szCs w:val="24"/>
          <w:lang w:val="en-GB"/>
        </w:rPr>
        <w:t>Marbury</w:t>
      </w:r>
      <w:proofErr w:type="spellEnd"/>
      <w:r w:rsidRPr="00575AD6">
        <w:rPr>
          <w:rFonts w:ascii="Times New Roman" w:hAnsi="Times New Roman"/>
          <w:szCs w:val="24"/>
          <w:lang w:val="en-GB"/>
        </w:rPr>
        <w:t xml:space="preserve"> vs Madison. </w:t>
      </w:r>
      <w:r w:rsidRPr="00325A74">
        <w:rPr>
          <w:rFonts w:ascii="Times New Roman" w:hAnsi="Times New Roman"/>
          <w:szCs w:val="24"/>
        </w:rPr>
        <w:t xml:space="preserve">Regreso a la leyenda”, </w:t>
      </w:r>
      <w:r w:rsidRPr="00325A74">
        <w:rPr>
          <w:rFonts w:ascii="Times New Roman" w:hAnsi="Times New Roman"/>
          <w:i/>
          <w:szCs w:val="24"/>
        </w:rPr>
        <w:t>Lex. Difusión y análisis,</w:t>
      </w:r>
      <w:r w:rsidRPr="00325A74">
        <w:rPr>
          <w:rFonts w:ascii="Times New Roman" w:hAnsi="Times New Roman"/>
          <w:szCs w:val="24"/>
        </w:rPr>
        <w:t xml:space="preserve"> número 120, M</w:t>
      </w:r>
      <w:r>
        <w:rPr>
          <w:rFonts w:ascii="Times New Roman" w:hAnsi="Times New Roman"/>
          <w:szCs w:val="24"/>
        </w:rPr>
        <w:t>éxico, 2005.</w:t>
      </w:r>
    </w:p>
    <w:p w14:paraId="6C42EC64" w14:textId="77777777" w:rsidR="00316C24" w:rsidRDefault="00316C24" w:rsidP="00316C24">
      <w:pPr>
        <w:pStyle w:val="texto"/>
        <w:spacing w:before="240" w:after="240"/>
        <w:ind w:firstLine="0"/>
        <w:rPr>
          <w:rFonts w:ascii="Times New Roman" w:hAnsi="Times New Roman"/>
          <w:szCs w:val="24"/>
        </w:rPr>
      </w:pPr>
      <w:r w:rsidRPr="004C5EB9">
        <w:rPr>
          <w:rFonts w:ascii="Times New Roman" w:hAnsi="Times New Roman"/>
          <w:szCs w:val="24"/>
        </w:rPr>
        <w:t>CARMONA CUENCA, E.</w:t>
      </w:r>
      <w:r>
        <w:rPr>
          <w:rFonts w:ascii="Times New Roman" w:hAnsi="Times New Roman"/>
          <w:szCs w:val="24"/>
        </w:rPr>
        <w:t>,</w:t>
      </w:r>
      <w:r w:rsidRPr="004C5EB9">
        <w:rPr>
          <w:rFonts w:ascii="Times New Roman" w:hAnsi="Times New Roman"/>
          <w:szCs w:val="24"/>
        </w:rPr>
        <w:t xml:space="preserve"> “El recurso de amparo constitucional y la defensa del</w:t>
      </w:r>
      <w:r>
        <w:rPr>
          <w:rFonts w:ascii="Times New Roman" w:hAnsi="Times New Roman"/>
          <w:szCs w:val="24"/>
        </w:rPr>
        <w:t xml:space="preserve"> </w:t>
      </w:r>
      <w:r w:rsidRPr="004C5EB9">
        <w:rPr>
          <w:rFonts w:ascii="Times New Roman" w:hAnsi="Times New Roman"/>
          <w:szCs w:val="24"/>
        </w:rPr>
        <w:t>derecho a la tutela judicial efec</w:t>
      </w:r>
      <w:r>
        <w:rPr>
          <w:rFonts w:ascii="Times New Roman" w:hAnsi="Times New Roman"/>
          <w:szCs w:val="24"/>
        </w:rPr>
        <w:t xml:space="preserve">tiva. Apuntes para una reforma”, en AA. VV., </w:t>
      </w:r>
      <w:r w:rsidRPr="004C5EB9">
        <w:rPr>
          <w:rFonts w:ascii="Times New Roman" w:hAnsi="Times New Roman"/>
          <w:i/>
          <w:szCs w:val="24"/>
        </w:rPr>
        <w:t>La reforma del recurso de amparo</w:t>
      </w:r>
      <w:r>
        <w:rPr>
          <w:rFonts w:ascii="Times New Roman" w:hAnsi="Times New Roman"/>
          <w:szCs w:val="24"/>
        </w:rPr>
        <w:t xml:space="preserve">, </w:t>
      </w:r>
      <w:r w:rsidRPr="004C5EB9">
        <w:rPr>
          <w:rFonts w:ascii="Times New Roman" w:hAnsi="Times New Roman"/>
          <w:szCs w:val="24"/>
        </w:rPr>
        <w:t>Valencia, 2004.</w:t>
      </w:r>
    </w:p>
    <w:p w14:paraId="5E73B7C8" w14:textId="77777777" w:rsidR="00316C24" w:rsidRDefault="00316C24" w:rsidP="00316C24">
      <w:pPr>
        <w:spacing w:before="240" w:after="240"/>
      </w:pPr>
      <w:r>
        <w:t xml:space="preserve">CARRASCO DURÁN, M., "La definición constitucional del derecho a la tutela judicial efectiva", </w:t>
      </w:r>
      <w:r w:rsidRPr="00336FA1">
        <w:rPr>
          <w:i/>
          <w:iCs/>
        </w:rPr>
        <w:t>UNED. Revista de Derecho Político</w:t>
      </w:r>
      <w:r>
        <w:t>, núm. 107, 2020.</w:t>
      </w:r>
    </w:p>
    <w:p w14:paraId="185E4C73" w14:textId="77777777" w:rsidR="00316C24" w:rsidRPr="00224183" w:rsidRDefault="00316C24" w:rsidP="00316C24">
      <w:pPr>
        <w:spacing w:before="240" w:after="240"/>
      </w:pPr>
      <w:r w:rsidRPr="00B0532D">
        <w:t>CARRASCO DURÁN, M., “</w:t>
      </w:r>
      <w:r>
        <w:t xml:space="preserve">Amparo judicial: presente y futuro” </w:t>
      </w:r>
      <w:r w:rsidRPr="00224183">
        <w:rPr>
          <w:i/>
        </w:rPr>
        <w:t>Revista de Derecho Político</w:t>
      </w:r>
      <w:r>
        <w:t>, núm. 68, 2007.</w:t>
      </w:r>
    </w:p>
    <w:p w14:paraId="74A7949E" w14:textId="77777777" w:rsidR="00316C24" w:rsidRDefault="00316C24" w:rsidP="00316C24">
      <w:pPr>
        <w:spacing w:before="240" w:after="240"/>
      </w:pPr>
      <w:r>
        <w:t xml:space="preserve">CARRASCO DURÁN, M., “El incidente de nulidad de actuaciones: problemas y algunas soluciones”, </w:t>
      </w:r>
      <w:r w:rsidRPr="006E1B19">
        <w:rPr>
          <w:i/>
          <w:iCs/>
        </w:rPr>
        <w:t>Revista Aranzadi Doctrinal</w:t>
      </w:r>
      <w:r>
        <w:t>, núm.3, 2013.</w:t>
      </w:r>
    </w:p>
    <w:p w14:paraId="5BFD5E1E" w14:textId="77777777" w:rsidR="00316C24" w:rsidRDefault="00316C24" w:rsidP="00316C24">
      <w:pPr>
        <w:spacing w:before="240" w:after="240"/>
      </w:pPr>
      <w:r>
        <w:t xml:space="preserve">CARRASCO DURÁN, M., “La tutela de los derechos fundamentales a través del incidente de nulidad de actuaciones”, </w:t>
      </w:r>
      <w:r w:rsidRPr="00250616">
        <w:rPr>
          <w:i/>
          <w:iCs/>
        </w:rPr>
        <w:t>Revista Española de Derecho Constitucional</w:t>
      </w:r>
      <w:r>
        <w:t>, núm. 95, 2012.</w:t>
      </w:r>
    </w:p>
    <w:p w14:paraId="22109452"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CARRASCO DURÁN, M., «El concepto constitucional de recurso de amparo: Examen de posibilidades para una reforma de la regulación y la práctica del recurso de amparo</w:t>
      </w:r>
      <w:r w:rsidRPr="00827EB4">
        <w:rPr>
          <w:rFonts w:ascii="Times New Roman" w:hAnsi="Times New Roman"/>
          <w:i/>
          <w:szCs w:val="24"/>
        </w:rPr>
        <w:t>», Revista Española de Derecho Constitucional</w:t>
      </w:r>
      <w:r>
        <w:rPr>
          <w:rFonts w:ascii="Times New Roman" w:hAnsi="Times New Roman"/>
          <w:szCs w:val="24"/>
        </w:rPr>
        <w:t>, núm. 63, 2001.</w:t>
      </w:r>
    </w:p>
    <w:p w14:paraId="7116C515" w14:textId="77777777" w:rsidR="00316C24" w:rsidRDefault="00316C24" w:rsidP="00316C24">
      <w:pPr>
        <w:spacing w:before="240" w:after="240"/>
      </w:pPr>
      <w:r>
        <w:t xml:space="preserve">CARRASCO DURÁN, M., </w:t>
      </w:r>
      <w:r w:rsidRPr="004C5EB9">
        <w:rPr>
          <w:i/>
        </w:rPr>
        <w:t>Los procesos para la tutela judicial de los derechos fundamentales</w:t>
      </w:r>
      <w:r>
        <w:rPr>
          <w:i/>
        </w:rPr>
        <w:t xml:space="preserve">, </w:t>
      </w:r>
      <w:r>
        <w:t>Madrid, 2002.</w:t>
      </w:r>
    </w:p>
    <w:p w14:paraId="1193B8C8" w14:textId="77777777" w:rsidR="00316C24" w:rsidRPr="00D21FAC" w:rsidRDefault="00316C24" w:rsidP="00316C24">
      <w:pPr>
        <w:spacing w:before="240" w:after="240"/>
        <w:rPr>
          <w:szCs w:val="24"/>
        </w:rPr>
      </w:pPr>
      <w:r w:rsidRPr="00D21FAC">
        <w:rPr>
          <w:szCs w:val="24"/>
        </w:rPr>
        <w:t xml:space="preserve">CARRERAS SERRA, F. “Una interpretación, moderadamente optimista del nuevo recurso de amparo”, </w:t>
      </w:r>
      <w:r w:rsidRPr="000A1C71">
        <w:rPr>
          <w:i/>
          <w:szCs w:val="24"/>
        </w:rPr>
        <w:t>Parlamento y Constitución</w:t>
      </w:r>
      <w:r>
        <w:rPr>
          <w:szCs w:val="24"/>
        </w:rPr>
        <w:t>, núm. 11, 2008.</w:t>
      </w:r>
    </w:p>
    <w:p w14:paraId="6B2497C3" w14:textId="77777777" w:rsidR="00316C24" w:rsidRDefault="00316C24" w:rsidP="00316C24">
      <w:pPr>
        <w:spacing w:before="240" w:after="240"/>
      </w:pPr>
      <w:r>
        <w:t xml:space="preserve">CARRETERO SÁNCHEZ, S., “Acerca de la nulidad de actuaciones y su complicada clarificación constitucional”, </w:t>
      </w:r>
      <w:r w:rsidRPr="006E1B19">
        <w:rPr>
          <w:i/>
          <w:iCs/>
        </w:rPr>
        <w:t>Diario La Ley</w:t>
      </w:r>
      <w:r>
        <w:t>, núm. 8291, 2014.</w:t>
      </w:r>
    </w:p>
    <w:p w14:paraId="75DEFC23" w14:textId="77777777" w:rsidR="00316C24" w:rsidRPr="00D21FAC" w:rsidRDefault="00316C24" w:rsidP="00316C24">
      <w:pPr>
        <w:spacing w:before="240" w:after="240"/>
        <w:rPr>
          <w:szCs w:val="24"/>
        </w:rPr>
      </w:pPr>
      <w:r w:rsidRPr="00D21FAC">
        <w:rPr>
          <w:szCs w:val="24"/>
        </w:rPr>
        <w:lastRenderedPageBreak/>
        <w:t>CARRILLO</w:t>
      </w:r>
      <w:r>
        <w:rPr>
          <w:szCs w:val="24"/>
        </w:rPr>
        <w:t xml:space="preserve"> LÓPEZ</w:t>
      </w:r>
      <w:r w:rsidRPr="00D21FAC">
        <w:rPr>
          <w:szCs w:val="24"/>
        </w:rPr>
        <w:t xml:space="preserve">, </w:t>
      </w:r>
      <w:r>
        <w:rPr>
          <w:szCs w:val="24"/>
        </w:rPr>
        <w:t>M., “El TC</w:t>
      </w:r>
      <w:r w:rsidRPr="00D21FAC">
        <w:rPr>
          <w:szCs w:val="24"/>
        </w:rPr>
        <w:t xml:space="preserve"> un balance de cuarenta años</w:t>
      </w:r>
      <w:r>
        <w:rPr>
          <w:szCs w:val="24"/>
        </w:rPr>
        <w:t>”</w:t>
      </w:r>
      <w:r w:rsidRPr="00D21FAC">
        <w:rPr>
          <w:szCs w:val="24"/>
        </w:rPr>
        <w:t xml:space="preserve">, </w:t>
      </w:r>
      <w:r w:rsidRPr="000A1C71">
        <w:rPr>
          <w:i/>
          <w:szCs w:val="24"/>
        </w:rPr>
        <w:t>UNED. Revista de Derecho Político</w:t>
      </w:r>
      <w:r>
        <w:rPr>
          <w:szCs w:val="24"/>
        </w:rPr>
        <w:t>, núm.</w:t>
      </w:r>
      <w:r w:rsidRPr="00D21FAC">
        <w:rPr>
          <w:szCs w:val="24"/>
        </w:rPr>
        <w:t xml:space="preserve"> 101</w:t>
      </w:r>
      <w:r>
        <w:rPr>
          <w:szCs w:val="24"/>
        </w:rPr>
        <w:t>, 2018.</w:t>
      </w:r>
    </w:p>
    <w:p w14:paraId="067BC4ED" w14:textId="77777777" w:rsidR="00316C24" w:rsidRDefault="00316C24" w:rsidP="00316C24">
      <w:pPr>
        <w:spacing w:before="240" w:after="240"/>
      </w:pPr>
      <w:r>
        <w:t xml:space="preserve">CARRILLO LÓPEZ, M., </w:t>
      </w:r>
      <w:r w:rsidRPr="000346CF">
        <w:t>“Encuesta sobre la reforma de la LOTC</w:t>
      </w:r>
      <w:r>
        <w:t>”,</w:t>
      </w:r>
      <w:r w:rsidRPr="000346CF">
        <w:t xml:space="preserve"> </w:t>
      </w:r>
      <w:r w:rsidRPr="000346CF">
        <w:rPr>
          <w:i/>
        </w:rPr>
        <w:t>Teoría y Realidad Constitucional</w:t>
      </w:r>
      <w:r>
        <w:t>, núm. 18, 2006.</w:t>
      </w:r>
    </w:p>
    <w:p w14:paraId="553E7577"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CARRILLO</w:t>
      </w:r>
      <w:r>
        <w:rPr>
          <w:rFonts w:ascii="Times New Roman" w:hAnsi="Times New Roman"/>
          <w:szCs w:val="24"/>
        </w:rPr>
        <w:t xml:space="preserve"> LÓPEZ, M., “</w:t>
      </w:r>
      <w:r w:rsidRPr="00827EB4">
        <w:rPr>
          <w:rFonts w:ascii="Times New Roman" w:hAnsi="Times New Roman"/>
          <w:szCs w:val="24"/>
        </w:rPr>
        <w:t>La aplicación jurisdiccional del recurso de amparo ordinario (La Ley 62/78, de protección jurisdiccional de los derech</w:t>
      </w:r>
      <w:r>
        <w:rPr>
          <w:rFonts w:ascii="Times New Roman" w:hAnsi="Times New Roman"/>
          <w:szCs w:val="24"/>
        </w:rPr>
        <w:t>os fundamentales de la persona)”</w:t>
      </w:r>
      <w:r w:rsidRPr="00827EB4">
        <w:rPr>
          <w:rFonts w:ascii="Times New Roman" w:hAnsi="Times New Roman"/>
          <w:szCs w:val="24"/>
        </w:rPr>
        <w:t xml:space="preserve">, </w:t>
      </w:r>
      <w:r w:rsidRPr="00827EB4">
        <w:rPr>
          <w:rFonts w:ascii="Times New Roman" w:hAnsi="Times New Roman"/>
          <w:i/>
          <w:szCs w:val="24"/>
        </w:rPr>
        <w:t xml:space="preserve">Revista del Centro de Estudios Constitucionales, </w:t>
      </w:r>
      <w:r w:rsidRPr="00827EB4">
        <w:rPr>
          <w:rFonts w:ascii="Times New Roman" w:hAnsi="Times New Roman"/>
          <w:szCs w:val="24"/>
        </w:rPr>
        <w:t xml:space="preserve">núm. 11, </w:t>
      </w:r>
      <w:r>
        <w:rPr>
          <w:rFonts w:ascii="Times New Roman" w:hAnsi="Times New Roman"/>
          <w:szCs w:val="24"/>
        </w:rPr>
        <w:t>1992.</w:t>
      </w:r>
    </w:p>
    <w:p w14:paraId="582D2701" w14:textId="77777777" w:rsidR="00316C24" w:rsidRPr="00D21FAC" w:rsidRDefault="00316C24" w:rsidP="00316C24">
      <w:pPr>
        <w:spacing w:before="240" w:after="240"/>
        <w:rPr>
          <w:szCs w:val="24"/>
        </w:rPr>
      </w:pPr>
      <w:r w:rsidRPr="00D21FAC">
        <w:rPr>
          <w:szCs w:val="24"/>
        </w:rPr>
        <w:t xml:space="preserve">CARRILLO LÓPEZ, M., “La objetivación del recurso de amparo: una nueva vía de garantía jurisdiccional de los derechos”, en CARRILLO, M., Y ROMBOLI, R., </w:t>
      </w:r>
      <w:r w:rsidRPr="000A1C71">
        <w:rPr>
          <w:i/>
          <w:szCs w:val="24"/>
        </w:rPr>
        <w:t>La reforma del recurso de amparo</w:t>
      </w:r>
      <w:r w:rsidRPr="00D21FAC">
        <w:rPr>
          <w:szCs w:val="24"/>
        </w:rPr>
        <w:t>, Madrid, 2012.</w:t>
      </w:r>
    </w:p>
    <w:p w14:paraId="573E23DC" w14:textId="77777777" w:rsidR="00316C24" w:rsidRPr="000346CF" w:rsidRDefault="00316C24" w:rsidP="00316C24">
      <w:pPr>
        <w:spacing w:before="240" w:after="240"/>
      </w:pPr>
      <w:r w:rsidRPr="000346CF">
        <w:t>CARRILLO</w:t>
      </w:r>
      <w:r>
        <w:t xml:space="preserve"> LÓPEZ</w:t>
      </w:r>
      <w:r w:rsidRPr="000346CF">
        <w:t>, M., “La objetivación del recurso de amparo: una necesidad Ineludible”, Revista</w:t>
      </w:r>
      <w:r w:rsidRPr="000346CF">
        <w:rPr>
          <w:i/>
        </w:rPr>
        <w:t xml:space="preserve"> Vasca de la Administración Pública</w:t>
      </w:r>
      <w:r>
        <w:t>, núm. 81, 2008.</w:t>
      </w:r>
    </w:p>
    <w:p w14:paraId="05F2883E" w14:textId="77777777" w:rsidR="00316C24" w:rsidRPr="00D21FAC" w:rsidRDefault="00316C24" w:rsidP="00316C24">
      <w:pPr>
        <w:spacing w:before="240" w:after="240"/>
        <w:rPr>
          <w:szCs w:val="24"/>
        </w:rPr>
      </w:pPr>
      <w:r w:rsidRPr="00D21FAC">
        <w:rPr>
          <w:szCs w:val="24"/>
        </w:rPr>
        <w:t>CARRILLO LÓPEZ, M., “La reforma de la jurisdicción constitucional: la necesaria racionalización de un órgano co</w:t>
      </w:r>
      <w:r w:rsidRPr="009D61FE">
        <w:rPr>
          <w:szCs w:val="24"/>
        </w:rPr>
        <w:t xml:space="preserve">nstitucional en crisis”, en AA.VV., </w:t>
      </w:r>
      <w:r w:rsidRPr="009D61FE">
        <w:rPr>
          <w:i/>
          <w:szCs w:val="24"/>
        </w:rPr>
        <w:t>Hacia una nueva jurisdicción constitucional,</w:t>
      </w:r>
      <w:r w:rsidRPr="009D61FE">
        <w:rPr>
          <w:szCs w:val="24"/>
        </w:rPr>
        <w:t xml:space="preserve"> Valencia 2008.</w:t>
      </w:r>
    </w:p>
    <w:p w14:paraId="4461536B" w14:textId="77777777" w:rsidR="00316C2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CARRILO LÓPEZ, M.</w:t>
      </w:r>
      <w:r w:rsidRPr="00827EB4">
        <w:rPr>
          <w:rFonts w:ascii="Times New Roman" w:hAnsi="Times New Roman"/>
          <w:szCs w:val="24"/>
        </w:rPr>
        <w:t xml:space="preserve">, </w:t>
      </w:r>
      <w:r w:rsidRPr="00827EB4">
        <w:rPr>
          <w:rFonts w:ascii="Times New Roman" w:hAnsi="Times New Roman"/>
          <w:i/>
          <w:szCs w:val="24"/>
        </w:rPr>
        <w:t>La tutela de los derechos fundamentales por los tribunales ordinarios</w:t>
      </w:r>
      <w:r>
        <w:rPr>
          <w:rFonts w:ascii="Times New Roman" w:hAnsi="Times New Roman"/>
          <w:szCs w:val="24"/>
        </w:rPr>
        <w:t>, Madrid, 1995.</w:t>
      </w:r>
    </w:p>
    <w:p w14:paraId="64C9FFBE" w14:textId="77777777" w:rsidR="00316C24" w:rsidRDefault="00316C24" w:rsidP="00316C24">
      <w:pPr>
        <w:spacing w:before="240" w:after="240"/>
      </w:pPr>
      <w:r>
        <w:t xml:space="preserve">CASTRO MARTÍN, J. L., MORENILLA ALLARD, P., “Sobre la inconstitucionalidad del artículo 241.1. LOPJ, en cuanto que atribuye la competencia para el conocimiento y resolución del incidente excepcional de nulidad de actuaciones al mismo Tribunal que dictó la resolución judicial firme cuya rescisión se postula”, </w:t>
      </w:r>
      <w:r w:rsidRPr="006E1B19">
        <w:rPr>
          <w:i/>
          <w:iCs/>
        </w:rPr>
        <w:t>Diario La Ley</w:t>
      </w:r>
      <w:r>
        <w:t>, núm. 7784, Sección Doctrina, 2012.</w:t>
      </w:r>
    </w:p>
    <w:p w14:paraId="34650DFE" w14:textId="77777777" w:rsidR="00316C24" w:rsidRDefault="00316C24" w:rsidP="00316C24">
      <w:pPr>
        <w:spacing w:before="240" w:after="240"/>
      </w:pPr>
      <w:r w:rsidRPr="00084BBE">
        <w:t>CHOZAS ALONSO, J. M., “La expansión del incidente de nulidad de actuaciones por motivos procesales. A propósito de la STC 43/2010, de 26 de julio”, Derecho</w:t>
      </w:r>
      <w:r w:rsidRPr="00084BBE">
        <w:rPr>
          <w:i/>
          <w:iCs/>
        </w:rPr>
        <w:t xml:space="preserve"> Privado y Constitución</w:t>
      </w:r>
      <w:r w:rsidRPr="00084BBE">
        <w:t>, núm. 25, 2011</w:t>
      </w:r>
      <w:r>
        <w:t>.</w:t>
      </w:r>
    </w:p>
    <w:p w14:paraId="23D68751"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CLEMENTE VALDÉS, S., “</w:t>
      </w:r>
      <w:r w:rsidRPr="00827EB4">
        <w:rPr>
          <w:rFonts w:ascii="Times New Roman" w:hAnsi="Times New Roman"/>
          <w:szCs w:val="24"/>
        </w:rPr>
        <w:t>Marbury vs Madison: Un ensayo sobre el origen del poder de los jueces en los Estados Unidos</w:t>
      </w:r>
      <w:r>
        <w:rPr>
          <w:rFonts w:ascii="Times New Roman" w:hAnsi="Times New Roman"/>
          <w:szCs w:val="24"/>
        </w:rPr>
        <w:t>”</w:t>
      </w:r>
      <w:r w:rsidRPr="00827EB4">
        <w:rPr>
          <w:rFonts w:ascii="Times New Roman" w:hAnsi="Times New Roman"/>
          <w:szCs w:val="24"/>
        </w:rPr>
        <w:t xml:space="preserve">, </w:t>
      </w:r>
      <w:r w:rsidRPr="00827EB4">
        <w:rPr>
          <w:rFonts w:ascii="Times New Roman" w:hAnsi="Times New Roman"/>
          <w:i/>
          <w:szCs w:val="24"/>
        </w:rPr>
        <w:t xml:space="preserve">Revista Iberoamericana de Derecho Procesal Constitucional, </w:t>
      </w:r>
      <w:r>
        <w:rPr>
          <w:rFonts w:ascii="Times New Roman" w:hAnsi="Times New Roman"/>
          <w:szCs w:val="24"/>
        </w:rPr>
        <w:t>núm. 35, 2005.</w:t>
      </w:r>
    </w:p>
    <w:p w14:paraId="7811F12F"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lastRenderedPageBreak/>
        <w:t xml:space="preserve">CORDÓN MORENO, F., </w:t>
      </w:r>
      <w:r w:rsidRPr="00827EB4">
        <w:rPr>
          <w:rFonts w:ascii="Times New Roman" w:hAnsi="Times New Roman"/>
          <w:i/>
          <w:szCs w:val="24"/>
        </w:rPr>
        <w:t>El proceso de amparo constitucional</w:t>
      </w:r>
      <w:r w:rsidRPr="00827EB4">
        <w:rPr>
          <w:rFonts w:ascii="Times New Roman" w:hAnsi="Times New Roman"/>
          <w:szCs w:val="24"/>
        </w:rPr>
        <w:t>, Madrid, 1987</w:t>
      </w:r>
      <w:r>
        <w:rPr>
          <w:rFonts w:ascii="Times New Roman" w:hAnsi="Times New Roman"/>
          <w:szCs w:val="24"/>
        </w:rPr>
        <w:t>.</w:t>
      </w:r>
    </w:p>
    <w:p w14:paraId="635E9235"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CRUZ VILLALÓN, P., “</w:t>
      </w:r>
      <w:r w:rsidRPr="00827EB4">
        <w:rPr>
          <w:rFonts w:ascii="Times New Roman" w:hAnsi="Times New Roman"/>
          <w:szCs w:val="24"/>
        </w:rPr>
        <w:t>El recurso de amparo constitucional: el juez y el legislador</w:t>
      </w:r>
      <w:r>
        <w:rPr>
          <w:rFonts w:ascii="Times New Roman" w:hAnsi="Times New Roman"/>
          <w:szCs w:val="24"/>
        </w:rPr>
        <w:t>”</w:t>
      </w:r>
      <w:r w:rsidRPr="00827EB4">
        <w:rPr>
          <w:rFonts w:ascii="Times New Roman" w:hAnsi="Times New Roman"/>
          <w:szCs w:val="24"/>
        </w:rPr>
        <w:t xml:space="preserve">, en AA.VV. Los procesos constitucionales (Segundo Simposio de Derecho Constitucional), </w:t>
      </w:r>
      <w:r w:rsidRPr="00827EB4">
        <w:rPr>
          <w:rFonts w:ascii="Times New Roman" w:hAnsi="Times New Roman"/>
          <w:i/>
          <w:szCs w:val="24"/>
        </w:rPr>
        <w:t>Centro de Estudios Constitucionales</w:t>
      </w:r>
      <w:r>
        <w:rPr>
          <w:rFonts w:ascii="Times New Roman" w:hAnsi="Times New Roman"/>
          <w:szCs w:val="24"/>
        </w:rPr>
        <w:t>, Madrid, 1992.</w:t>
      </w:r>
    </w:p>
    <w:p w14:paraId="3E1BD817" w14:textId="77777777" w:rsidR="00316C24" w:rsidRPr="00827EB4" w:rsidRDefault="00316C24" w:rsidP="00316C24">
      <w:pPr>
        <w:spacing w:before="240" w:after="240"/>
        <w:rPr>
          <w:szCs w:val="24"/>
        </w:rPr>
      </w:pPr>
      <w:r>
        <w:rPr>
          <w:szCs w:val="24"/>
        </w:rPr>
        <w:t>CRUZ VILLALÓN, P., “Sobre el amparo”</w:t>
      </w:r>
      <w:r w:rsidRPr="00827EB4">
        <w:rPr>
          <w:szCs w:val="24"/>
        </w:rPr>
        <w:t xml:space="preserve">, </w:t>
      </w:r>
      <w:r w:rsidRPr="00827EB4">
        <w:rPr>
          <w:i/>
          <w:szCs w:val="24"/>
        </w:rPr>
        <w:t>Revista Española de Derecho Constitucional,</w:t>
      </w:r>
      <w:r w:rsidRPr="00827EB4">
        <w:rPr>
          <w:szCs w:val="24"/>
        </w:rPr>
        <w:t xml:space="preserve"> núm. </w:t>
      </w:r>
      <w:r>
        <w:rPr>
          <w:szCs w:val="24"/>
        </w:rPr>
        <w:t>41, 1994.</w:t>
      </w:r>
    </w:p>
    <w:p w14:paraId="4D3DC638" w14:textId="77777777" w:rsidR="00316C24" w:rsidRPr="00827EB4" w:rsidRDefault="00316C24" w:rsidP="00316C24">
      <w:pPr>
        <w:pStyle w:val="texto"/>
        <w:spacing w:before="240" w:after="240" w:afterAutospacing="0"/>
        <w:ind w:firstLine="0"/>
        <w:rPr>
          <w:rFonts w:ascii="Times New Roman" w:hAnsi="Times New Roman"/>
          <w:szCs w:val="24"/>
        </w:rPr>
      </w:pPr>
      <w:r w:rsidRPr="00887623">
        <w:rPr>
          <w:rFonts w:ascii="Times New Roman" w:hAnsi="Times New Roman"/>
          <w:szCs w:val="24"/>
        </w:rPr>
        <w:t xml:space="preserve">DE LA OLIVA SANTOS, A., “La perversión jurídica del amparo constitucional en España”, </w:t>
      </w:r>
      <w:r w:rsidRPr="00887623">
        <w:rPr>
          <w:rFonts w:ascii="Times New Roman" w:hAnsi="Times New Roman"/>
          <w:i/>
          <w:szCs w:val="24"/>
        </w:rPr>
        <w:t>Actualidad Jurídica Aranzadi</w:t>
      </w:r>
      <w:r w:rsidRPr="00887623">
        <w:rPr>
          <w:rFonts w:ascii="Times New Roman" w:hAnsi="Times New Roman"/>
          <w:szCs w:val="24"/>
        </w:rPr>
        <w:t>, núm. 75</w:t>
      </w:r>
      <w:r>
        <w:rPr>
          <w:rFonts w:ascii="Times New Roman" w:hAnsi="Times New Roman"/>
          <w:szCs w:val="24"/>
        </w:rPr>
        <w:t>1, 2008.</w:t>
      </w:r>
    </w:p>
    <w:p w14:paraId="55EA2058" w14:textId="77777777" w:rsidR="00316C24" w:rsidRDefault="00316C24" w:rsidP="00316C24">
      <w:pPr>
        <w:spacing w:before="240" w:after="240"/>
      </w:pPr>
      <w:r>
        <w:t xml:space="preserve">DE LAMO RUBIO, J., </w:t>
      </w:r>
      <w:r w:rsidRPr="006E1B19">
        <w:rPr>
          <w:i/>
          <w:iCs/>
        </w:rPr>
        <w:t>Nulidad de actuaciones judiciales. Régimen jurídico actual y perspectivas</w:t>
      </w:r>
      <w:r>
        <w:t>, Valencia, 1998.</w:t>
      </w:r>
    </w:p>
    <w:p w14:paraId="11E7AD2F" w14:textId="77777777" w:rsidR="00316C24" w:rsidRPr="00D21FAC" w:rsidRDefault="00316C24" w:rsidP="00316C24">
      <w:pPr>
        <w:spacing w:before="240" w:after="240"/>
        <w:rPr>
          <w:szCs w:val="24"/>
        </w:rPr>
      </w:pPr>
      <w:r w:rsidRPr="00D21FAC">
        <w:rPr>
          <w:szCs w:val="24"/>
        </w:rPr>
        <w:t xml:space="preserve">DELGADO SANCHO, C., D., </w:t>
      </w:r>
      <w:r w:rsidRPr="00D21FAC">
        <w:rPr>
          <w:i/>
          <w:iCs/>
          <w:szCs w:val="24"/>
        </w:rPr>
        <w:t>Cuadernos de práctica procesal. El recurso de amparo</w:t>
      </w:r>
      <w:r w:rsidRPr="00D21FAC">
        <w:rPr>
          <w:szCs w:val="24"/>
        </w:rPr>
        <w:t>, Bilbao, 2016.</w:t>
      </w:r>
    </w:p>
    <w:p w14:paraId="7FEB960C" w14:textId="77777777" w:rsidR="00316C24" w:rsidRPr="000346CF" w:rsidRDefault="00316C24" w:rsidP="00316C24">
      <w:pPr>
        <w:spacing w:before="240" w:after="240"/>
      </w:pPr>
      <w:r>
        <w:t xml:space="preserve"> </w:t>
      </w:r>
      <w:r w:rsidRPr="000346CF">
        <w:t xml:space="preserve">DÍAZ REVORIO, F. J., “Tribunal Constitucional y procesos constitucionales en España: Algunas reflexiones tras la reforma de la Ley Orgánica del Tribunal Constitucional de 2007”, </w:t>
      </w:r>
      <w:r w:rsidRPr="000346CF">
        <w:rPr>
          <w:i/>
        </w:rPr>
        <w:t xml:space="preserve">Estudios Constitucionales </w:t>
      </w:r>
      <w:r w:rsidRPr="000346CF">
        <w:t xml:space="preserve">(Centro de Estudios Constitucionales de Chile), </w:t>
      </w:r>
      <w:r>
        <w:t>núm. 2, 2009.</w:t>
      </w:r>
    </w:p>
    <w:p w14:paraId="0BE8507C" w14:textId="77777777" w:rsidR="00316C24" w:rsidRDefault="00316C24" w:rsidP="00316C24">
      <w:pPr>
        <w:spacing w:before="240" w:after="240"/>
      </w:pPr>
      <w:r w:rsidRPr="00B0532D">
        <w:t xml:space="preserve">DÍEZ PICAZO, L. M., “Dificultades prácticas y significado constitucional del recurso de amparo”, </w:t>
      </w:r>
      <w:r w:rsidRPr="00610EBF">
        <w:rPr>
          <w:i/>
        </w:rPr>
        <w:t>Revista Española de Derecho Constitucional</w:t>
      </w:r>
      <w:r w:rsidRPr="00B0532D">
        <w:t>, año 14, núm. 40,</w:t>
      </w:r>
      <w:r>
        <w:t xml:space="preserve"> 1994.</w:t>
      </w:r>
    </w:p>
    <w:p w14:paraId="6A645DEA" w14:textId="77777777" w:rsidR="00316C24" w:rsidRDefault="00316C24" w:rsidP="00316C24">
      <w:pPr>
        <w:spacing w:before="240" w:after="240"/>
      </w:pPr>
      <w:r>
        <w:t xml:space="preserve">DÍEZ-PICAZO GIIMÉNEZ, I., “La reforma del artículo 240 de la Ley Orgánica del Poder Judicial: luces y sombras”, </w:t>
      </w:r>
      <w:r w:rsidRPr="00E33044">
        <w:rPr>
          <w:i/>
          <w:iCs/>
        </w:rPr>
        <w:t>Tribunales de Justicia</w:t>
      </w:r>
      <w:r>
        <w:t>, núm. 2, 1998.</w:t>
      </w:r>
    </w:p>
    <w:p w14:paraId="2773D50B" w14:textId="77777777" w:rsidR="00316C24" w:rsidRDefault="00316C24" w:rsidP="00316C24">
      <w:pPr>
        <w:spacing w:before="240" w:after="240"/>
      </w:pPr>
      <w:r w:rsidRPr="00B0532D">
        <w:t>DÍEZ-PICAZO GIMÉNEZ, I., "El artículo 53.2 de la Constitución: interpretación y alternativas de desarrollo.”, en</w:t>
      </w:r>
      <w:r>
        <w:t xml:space="preserve"> </w:t>
      </w:r>
      <w:r w:rsidRPr="00B0532D">
        <w:t xml:space="preserve">Andrés de la Oliva e Ignacio Díez-Picazo, </w:t>
      </w:r>
      <w:r w:rsidRPr="00610EBF">
        <w:rPr>
          <w:i/>
        </w:rPr>
        <w:t>Tribunal Constitucional, jurisdicción ordinaria y derechos fundamentales</w:t>
      </w:r>
      <w:r>
        <w:t>, Madrid, 1996.</w:t>
      </w:r>
    </w:p>
    <w:p w14:paraId="21C0C437" w14:textId="77777777" w:rsidR="00316C24" w:rsidRPr="00827EB4" w:rsidRDefault="00316C24" w:rsidP="00316C24">
      <w:pPr>
        <w:spacing w:before="240" w:after="240"/>
        <w:rPr>
          <w:szCs w:val="24"/>
        </w:rPr>
      </w:pPr>
      <w:r>
        <w:rPr>
          <w:szCs w:val="24"/>
        </w:rPr>
        <w:t>DIEZ-PICAZO, L- M., “</w:t>
      </w:r>
      <w:r w:rsidRPr="00827EB4">
        <w:rPr>
          <w:szCs w:val="24"/>
        </w:rPr>
        <w:t>Dificultades prácticas y significado const</w:t>
      </w:r>
      <w:r>
        <w:rPr>
          <w:szCs w:val="24"/>
        </w:rPr>
        <w:t>itucional del recurso de amparo”</w:t>
      </w:r>
      <w:r w:rsidRPr="00827EB4">
        <w:rPr>
          <w:szCs w:val="24"/>
        </w:rPr>
        <w:t xml:space="preserve">, </w:t>
      </w:r>
      <w:r w:rsidRPr="00827EB4">
        <w:rPr>
          <w:i/>
          <w:szCs w:val="24"/>
        </w:rPr>
        <w:t>Revista Española de Derecho Constitucional</w:t>
      </w:r>
      <w:r w:rsidRPr="00827EB4">
        <w:rPr>
          <w:szCs w:val="24"/>
        </w:rPr>
        <w:t xml:space="preserve">, </w:t>
      </w:r>
      <w:r>
        <w:rPr>
          <w:szCs w:val="24"/>
        </w:rPr>
        <w:t>n</w:t>
      </w:r>
      <w:r w:rsidRPr="00827EB4">
        <w:rPr>
          <w:szCs w:val="24"/>
        </w:rPr>
        <w:t>úm. 4</w:t>
      </w:r>
      <w:r>
        <w:rPr>
          <w:szCs w:val="24"/>
        </w:rPr>
        <w:t>0, 1994.</w:t>
      </w:r>
    </w:p>
    <w:p w14:paraId="7B3434D0"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DÍEZ-PICAZO, L.M</w:t>
      </w:r>
      <w:r>
        <w:rPr>
          <w:rFonts w:ascii="Times New Roman" w:hAnsi="Times New Roman"/>
          <w:szCs w:val="24"/>
        </w:rPr>
        <w:t xml:space="preserve">., </w:t>
      </w:r>
      <w:r w:rsidRPr="009D61FE">
        <w:rPr>
          <w:rFonts w:ascii="Times New Roman" w:hAnsi="Times New Roman"/>
          <w:szCs w:val="24"/>
        </w:rPr>
        <w:t>“Encuesta sobre la reforma de la Ley Orgánica del Tribunal Constitucional”</w:t>
      </w:r>
      <w:r w:rsidRPr="009D61FE">
        <w:rPr>
          <w:rFonts w:ascii="Times New Roman" w:hAnsi="Times New Roman"/>
          <w:i/>
          <w:szCs w:val="24"/>
        </w:rPr>
        <w:t xml:space="preserve">, </w:t>
      </w:r>
      <w:r w:rsidRPr="009D61FE">
        <w:rPr>
          <w:rFonts w:ascii="Times New Roman" w:hAnsi="Times New Roman"/>
          <w:szCs w:val="24"/>
        </w:rPr>
        <w:t>en AA.VV., UNED.</w:t>
      </w:r>
      <w:r w:rsidRPr="009D61FE">
        <w:rPr>
          <w:rFonts w:ascii="Times New Roman" w:hAnsi="Times New Roman"/>
          <w:i/>
          <w:szCs w:val="24"/>
        </w:rPr>
        <w:t xml:space="preserve"> Teoría y Realidad Constitucional</w:t>
      </w:r>
      <w:r w:rsidRPr="009D61FE">
        <w:rPr>
          <w:rFonts w:ascii="Times New Roman" w:hAnsi="Times New Roman"/>
          <w:szCs w:val="24"/>
        </w:rPr>
        <w:t>, núm. 18, 2006.</w:t>
      </w:r>
    </w:p>
    <w:p w14:paraId="1CDB10AB" w14:textId="77777777" w:rsidR="00316C24" w:rsidRDefault="00316C24" w:rsidP="00316C24">
      <w:pPr>
        <w:spacing w:before="240" w:after="240"/>
      </w:pPr>
      <w:r>
        <w:lastRenderedPageBreak/>
        <w:t xml:space="preserve">DOIG DÍAZ, Y., “Análisis del nuevo incidente de nulidad de actuaciones en la Ley Orgánica 6/2007 de reforma del art. 241 LOPJ”, </w:t>
      </w:r>
      <w:r w:rsidRPr="00310C03">
        <w:rPr>
          <w:i/>
          <w:iCs/>
        </w:rPr>
        <w:t>Diario La Ley</w:t>
      </w:r>
      <w:r>
        <w:t>, núm. 6889, Sección Doctrina, 2008.</w:t>
      </w:r>
    </w:p>
    <w:p w14:paraId="1B1B2267" w14:textId="77777777" w:rsidR="00316C24" w:rsidRDefault="00316C24" w:rsidP="00316C24">
      <w:pPr>
        <w:spacing w:before="240" w:after="240"/>
      </w:pPr>
      <w:r>
        <w:t xml:space="preserve">DOIG DÍAZ, Y., “El renovado incidente de nulidad de actuaciones. A propósito de la modificación de la LOTC. Práctica de Tribunales”, </w:t>
      </w:r>
      <w:r w:rsidRPr="00176006">
        <w:rPr>
          <w:i/>
          <w:iCs/>
        </w:rPr>
        <w:t>Revista de Derecho Procesal Civil y Mercantil,</w:t>
      </w:r>
      <w:r>
        <w:t xml:space="preserve"> núm.46, 2008.</w:t>
      </w:r>
    </w:p>
    <w:p w14:paraId="7B037852" w14:textId="77777777" w:rsidR="00316C24" w:rsidRPr="00D21FAC" w:rsidRDefault="00316C24" w:rsidP="00316C24">
      <w:pPr>
        <w:spacing w:before="240" w:after="240"/>
        <w:rPr>
          <w:szCs w:val="24"/>
        </w:rPr>
      </w:pPr>
      <w:r w:rsidRPr="00D21FAC">
        <w:rPr>
          <w:szCs w:val="24"/>
        </w:rPr>
        <w:t xml:space="preserve">DUQUE VILLANUEVA, J. C., “Doctrina del Tribunal Constitucional durante el primer cuatrimestre de 2017”, </w:t>
      </w:r>
      <w:r w:rsidRPr="000A1C71">
        <w:rPr>
          <w:i/>
          <w:szCs w:val="24"/>
        </w:rPr>
        <w:t>Revista Española de Derecho Constitucional</w:t>
      </w:r>
      <w:r>
        <w:rPr>
          <w:szCs w:val="24"/>
        </w:rPr>
        <w:t>, núm. 110. 2017.</w:t>
      </w:r>
    </w:p>
    <w:p w14:paraId="4F2BD6C0" w14:textId="77777777" w:rsidR="00316C24" w:rsidRPr="00D21FAC" w:rsidRDefault="00316C24" w:rsidP="00316C24">
      <w:pPr>
        <w:spacing w:before="240" w:after="240"/>
        <w:rPr>
          <w:szCs w:val="24"/>
        </w:rPr>
      </w:pPr>
      <w:r w:rsidRPr="00D21FAC">
        <w:rPr>
          <w:szCs w:val="24"/>
        </w:rPr>
        <w:t xml:space="preserve">DURÁN ALBA, J.F. “Poliorcética del amparo constitucional: asedio y defensa del recurso de amparo en términos procedimentales” en </w:t>
      </w:r>
      <w:r>
        <w:rPr>
          <w:szCs w:val="24"/>
        </w:rPr>
        <w:t xml:space="preserve">AA. VV., </w:t>
      </w:r>
      <w:r w:rsidRPr="000A1C71">
        <w:rPr>
          <w:i/>
          <w:szCs w:val="24"/>
        </w:rPr>
        <w:t xml:space="preserve">La Constitución política de España. </w:t>
      </w:r>
      <w:r>
        <w:rPr>
          <w:i/>
          <w:szCs w:val="24"/>
        </w:rPr>
        <w:t xml:space="preserve">Estudios en homenaje a Manuel Aragón Reyes, </w:t>
      </w:r>
      <w:r>
        <w:rPr>
          <w:szCs w:val="24"/>
        </w:rPr>
        <w:t>Madrid, 2016.</w:t>
      </w:r>
    </w:p>
    <w:p w14:paraId="5FDA726B"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ESPINOSA DÍAZ, A., “</w:t>
      </w:r>
      <w:r w:rsidRPr="00827EB4">
        <w:rPr>
          <w:rFonts w:ascii="Times New Roman" w:hAnsi="Times New Roman"/>
          <w:szCs w:val="24"/>
        </w:rPr>
        <w:t>El recurso de amparo: Problemas antes y después de la reforma</w:t>
      </w:r>
      <w:r>
        <w:rPr>
          <w:rFonts w:ascii="Times New Roman" w:hAnsi="Times New Roman"/>
          <w:szCs w:val="24"/>
        </w:rPr>
        <w:t>”</w:t>
      </w:r>
      <w:r w:rsidRPr="00827EB4">
        <w:rPr>
          <w:rFonts w:ascii="Times New Roman" w:hAnsi="Times New Roman"/>
          <w:szCs w:val="24"/>
        </w:rPr>
        <w:t xml:space="preserve">, </w:t>
      </w:r>
      <w:proofErr w:type="spellStart"/>
      <w:r w:rsidRPr="00827EB4">
        <w:rPr>
          <w:rFonts w:ascii="Times New Roman" w:hAnsi="Times New Roman"/>
          <w:i/>
          <w:szCs w:val="24"/>
        </w:rPr>
        <w:t>InDret</w:t>
      </w:r>
      <w:proofErr w:type="spellEnd"/>
      <w:r w:rsidRPr="00827EB4">
        <w:rPr>
          <w:rFonts w:ascii="Times New Roman" w:hAnsi="Times New Roman"/>
          <w:i/>
          <w:szCs w:val="24"/>
        </w:rPr>
        <w:t>: Revista para el Análisis del Derecho</w:t>
      </w:r>
      <w:r>
        <w:rPr>
          <w:rFonts w:ascii="Times New Roman" w:hAnsi="Times New Roman"/>
          <w:szCs w:val="24"/>
        </w:rPr>
        <w:t>, núm. 2, 2010.</w:t>
      </w:r>
    </w:p>
    <w:p w14:paraId="5A645793" w14:textId="77777777" w:rsidR="00316C24" w:rsidRPr="00D21FAC" w:rsidRDefault="00316C24" w:rsidP="00316C24">
      <w:pPr>
        <w:spacing w:before="240" w:after="240"/>
        <w:rPr>
          <w:szCs w:val="24"/>
        </w:rPr>
      </w:pPr>
      <w:r w:rsidRPr="00D21FAC">
        <w:rPr>
          <w:szCs w:val="24"/>
        </w:rPr>
        <w:t xml:space="preserve">ESQUIVEL ALONSO, Y., “El requisito de la especial trascendencia constitucional «decidir no decidir»”, </w:t>
      </w:r>
      <w:r w:rsidRPr="00D21FAC">
        <w:rPr>
          <w:i/>
          <w:iCs/>
          <w:szCs w:val="24"/>
        </w:rPr>
        <w:t>Estudios de Deusto. Revista de la Universidad de Deusto</w:t>
      </w:r>
      <w:r w:rsidRPr="00D21FAC">
        <w:rPr>
          <w:szCs w:val="24"/>
        </w:rPr>
        <w:t>, vol</w:t>
      </w:r>
      <w:r>
        <w:rPr>
          <w:szCs w:val="24"/>
        </w:rPr>
        <w:t>. 61/2, Bilbao, 2013.</w:t>
      </w:r>
    </w:p>
    <w:p w14:paraId="56808109" w14:textId="77777777" w:rsidR="00316C24" w:rsidRPr="00D21FAC" w:rsidRDefault="00316C24" w:rsidP="00316C24">
      <w:pPr>
        <w:spacing w:before="240" w:after="240"/>
        <w:rPr>
          <w:szCs w:val="24"/>
        </w:rPr>
      </w:pPr>
      <w:r w:rsidRPr="00D21FAC">
        <w:rPr>
          <w:szCs w:val="24"/>
        </w:rPr>
        <w:t xml:space="preserve">FABEIRO HIDALGO, P., “El nuevo Recurso de amparo” </w:t>
      </w:r>
      <w:r w:rsidRPr="00D21FAC">
        <w:rPr>
          <w:i/>
          <w:iCs/>
          <w:szCs w:val="24"/>
        </w:rPr>
        <w:t>Revista Vasca de Gestión de Personas y Organizaciones Públicas</w:t>
      </w:r>
      <w:r w:rsidRPr="00D21FAC">
        <w:rPr>
          <w:szCs w:val="24"/>
        </w:rPr>
        <w:t>.</w:t>
      </w:r>
      <w:r>
        <w:rPr>
          <w:szCs w:val="24"/>
        </w:rPr>
        <w:t xml:space="preserve"> núm. 102, 2015.</w:t>
      </w:r>
    </w:p>
    <w:p w14:paraId="1AE31FEC" w14:textId="77777777" w:rsidR="00316C24" w:rsidRPr="00887623" w:rsidRDefault="00316C24" w:rsidP="00316C24">
      <w:pPr>
        <w:pStyle w:val="texto"/>
        <w:spacing w:before="240" w:after="240" w:afterAutospacing="0"/>
        <w:ind w:firstLine="0"/>
        <w:rPr>
          <w:rFonts w:ascii="Times New Roman" w:hAnsi="Times New Roman"/>
          <w:szCs w:val="24"/>
        </w:rPr>
      </w:pPr>
      <w:r w:rsidRPr="00887623">
        <w:rPr>
          <w:rFonts w:ascii="Times New Roman" w:hAnsi="Times New Roman"/>
          <w:szCs w:val="24"/>
        </w:rPr>
        <w:t>FAIRÉN GUILLÉN, V., “El procedimiento "preferente y sumario" y el recurso de amparo en el artículo 53.2 de la Constitución</w:t>
      </w:r>
      <w:r w:rsidRPr="00887623">
        <w:rPr>
          <w:rFonts w:ascii="Times New Roman" w:hAnsi="Times New Roman"/>
          <w:i/>
          <w:szCs w:val="24"/>
        </w:rPr>
        <w:t>”, Revista de Administración Pública,</w:t>
      </w:r>
      <w:r>
        <w:rPr>
          <w:rFonts w:ascii="Times New Roman" w:hAnsi="Times New Roman"/>
          <w:szCs w:val="24"/>
        </w:rPr>
        <w:t xml:space="preserve"> núm. 89, 1979.</w:t>
      </w:r>
    </w:p>
    <w:p w14:paraId="164C588F" w14:textId="77777777" w:rsidR="00316C24" w:rsidRDefault="00316C24" w:rsidP="00316C24">
      <w:pPr>
        <w:spacing w:before="240" w:after="240"/>
      </w:pPr>
      <w:bookmarkStart w:id="791" w:name="_Hlk37356191"/>
      <w:r w:rsidRPr="00176006">
        <w:t>FERNÁNDEZ CABALLERO</w:t>
      </w:r>
      <w:r>
        <w:t xml:space="preserve">, G., “El incidente excepcional de nulidad de actuaciones. Teoría e incidencia práctica en el proceso civil tras su modificación por la ley orgánica 6/2007”, </w:t>
      </w:r>
      <w:r w:rsidRPr="00176006">
        <w:rPr>
          <w:i/>
          <w:iCs/>
        </w:rPr>
        <w:t>Revista Internacional de Estudios de Derecho Procesal y Arbitraje,</w:t>
      </w:r>
      <w:r>
        <w:t xml:space="preserve"> núm. 2, 2012.</w:t>
      </w:r>
    </w:p>
    <w:bookmarkEnd w:id="791"/>
    <w:p w14:paraId="09EE25CB" w14:textId="77777777" w:rsidR="00316C24" w:rsidRPr="00D21FAC" w:rsidRDefault="00316C24" w:rsidP="00316C24">
      <w:pPr>
        <w:spacing w:before="240" w:after="240"/>
        <w:rPr>
          <w:szCs w:val="24"/>
        </w:rPr>
      </w:pPr>
      <w:r w:rsidRPr="00D21FAC">
        <w:rPr>
          <w:szCs w:val="24"/>
        </w:rPr>
        <w:t>FERNANDEZ FARRERES, G., “</w:t>
      </w:r>
      <w:r w:rsidRPr="00D21FAC">
        <w:rPr>
          <w:i/>
          <w:iCs/>
          <w:szCs w:val="24"/>
        </w:rPr>
        <w:t>La reforma de la Ley Orgánica del Tribunal Constitucional (Comentario a la Ley Orgánica 6/2007, de 24 de mayo</w:t>
      </w:r>
      <w:r w:rsidRPr="00D21FAC">
        <w:rPr>
          <w:szCs w:val="24"/>
        </w:rPr>
        <w:t xml:space="preserve">)”, </w:t>
      </w:r>
      <w:r w:rsidRPr="00A725CB">
        <w:rPr>
          <w:i/>
          <w:szCs w:val="24"/>
        </w:rPr>
        <w:t xml:space="preserve">Hacia una nueva </w:t>
      </w:r>
      <w:r w:rsidRPr="00A725CB">
        <w:rPr>
          <w:i/>
          <w:szCs w:val="24"/>
        </w:rPr>
        <w:lastRenderedPageBreak/>
        <w:t xml:space="preserve">jurisdicción constitucional (Estudios sobre la ley 6/2007, de 24 de mayo, de reforma de la </w:t>
      </w:r>
      <w:r w:rsidRPr="00A725CB">
        <w:rPr>
          <w:i/>
          <w:iCs/>
          <w:szCs w:val="24"/>
        </w:rPr>
        <w:t>LOTC</w:t>
      </w:r>
      <w:r w:rsidRPr="00D21FAC">
        <w:rPr>
          <w:i/>
          <w:iCs/>
          <w:szCs w:val="24"/>
        </w:rPr>
        <w:t xml:space="preserve">, </w:t>
      </w:r>
      <w:r w:rsidRPr="00D21FAC">
        <w:rPr>
          <w:szCs w:val="24"/>
        </w:rPr>
        <w:t>Marc Carrillo (coord.), Valencia, 2008.</w:t>
      </w:r>
    </w:p>
    <w:p w14:paraId="102C86EF" w14:textId="77777777" w:rsidR="00316C24" w:rsidRDefault="00316C24" w:rsidP="00316C24">
      <w:pPr>
        <w:pStyle w:val="Textonotapie"/>
        <w:spacing w:before="240" w:after="240"/>
        <w:rPr>
          <w:szCs w:val="24"/>
        </w:rPr>
      </w:pPr>
      <w:r w:rsidRPr="00AE135E">
        <w:rPr>
          <w:szCs w:val="24"/>
        </w:rPr>
        <w:t xml:space="preserve">FERNÁNDEZ FARRERES, G., “La reforma de la Ley Orgánica del Tribunal Constitucional. (Comentario a la Ley Orgánica 6/2007, de 24 de mayo)”, </w:t>
      </w:r>
      <w:r w:rsidRPr="00AE135E">
        <w:rPr>
          <w:i/>
          <w:szCs w:val="24"/>
        </w:rPr>
        <w:t xml:space="preserve">Revista Española de Derecho Constitucional, </w:t>
      </w:r>
      <w:r>
        <w:rPr>
          <w:szCs w:val="24"/>
        </w:rPr>
        <w:t>núm. 81, 2007.</w:t>
      </w:r>
    </w:p>
    <w:p w14:paraId="17413C6B"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FERNÁNDEZ FARRERES, G., «El recurso de amparo constitucional: una propuesta de reforma», en </w:t>
      </w:r>
      <w:hyperlink r:id="rId10" w:history="1">
        <w:r w:rsidRPr="00827EB4">
          <w:rPr>
            <w:rStyle w:val="Hipervnculo"/>
            <w:rFonts w:ascii="Times New Roman" w:hAnsi="Times New Roman"/>
            <w:szCs w:val="24"/>
          </w:rPr>
          <w:t>http://www.falternativas.org/en/laboratorio/documentos/documentos-de-trabajo/el-recurso-de-amparo-constitucional-una-propuesta-de-reforma</w:t>
        </w:r>
      </w:hyperlink>
    </w:p>
    <w:p w14:paraId="3CB79430"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FERNANDEZ FARRERES, G., </w:t>
      </w:r>
      <w:r w:rsidRPr="00827EB4">
        <w:rPr>
          <w:rFonts w:ascii="Times New Roman" w:hAnsi="Times New Roman"/>
          <w:i/>
          <w:szCs w:val="24"/>
        </w:rPr>
        <w:t>El recurso de amparo según la jurisprudencia constitucional: Comentarios al Título III de la LOTC</w:t>
      </w:r>
      <w:r w:rsidRPr="00827EB4">
        <w:rPr>
          <w:rFonts w:ascii="Times New Roman" w:hAnsi="Times New Roman"/>
          <w:szCs w:val="24"/>
        </w:rPr>
        <w:t>, Madrid</w:t>
      </w:r>
      <w:r>
        <w:rPr>
          <w:rFonts w:ascii="Times New Roman" w:hAnsi="Times New Roman"/>
          <w:szCs w:val="24"/>
        </w:rPr>
        <w:t>,</w:t>
      </w:r>
      <w:r w:rsidRPr="00827EB4">
        <w:rPr>
          <w:rFonts w:ascii="Times New Roman" w:hAnsi="Times New Roman"/>
          <w:szCs w:val="24"/>
        </w:rPr>
        <w:t xml:space="preserve"> 1994</w:t>
      </w:r>
      <w:r>
        <w:rPr>
          <w:rFonts w:ascii="Times New Roman" w:hAnsi="Times New Roman"/>
          <w:szCs w:val="24"/>
        </w:rPr>
        <w:t>.</w:t>
      </w:r>
      <w:r w:rsidRPr="00827EB4">
        <w:rPr>
          <w:rFonts w:ascii="Times New Roman" w:hAnsi="Times New Roman"/>
          <w:szCs w:val="24"/>
        </w:rPr>
        <w:t xml:space="preserve">     </w:t>
      </w:r>
    </w:p>
    <w:p w14:paraId="69BCBB91" w14:textId="77777777" w:rsidR="00316C24" w:rsidRDefault="00316C24" w:rsidP="00316C24">
      <w:pPr>
        <w:spacing w:before="240" w:after="240"/>
      </w:pPr>
      <w:r>
        <w:t xml:space="preserve">FERNÁNDEZ SEGADO, F., “Los </w:t>
      </w:r>
      <w:proofErr w:type="spellStart"/>
      <w:r>
        <w:t>overruling</w:t>
      </w:r>
      <w:proofErr w:type="spellEnd"/>
      <w:r>
        <w:t xml:space="preserve"> de la jurisprudencia constitucional”, </w:t>
      </w:r>
      <w:r>
        <w:rPr>
          <w:i/>
        </w:rPr>
        <w:t>Foro. Nueva época</w:t>
      </w:r>
      <w:r>
        <w:t>, núm. 3, 2006.</w:t>
      </w:r>
    </w:p>
    <w:p w14:paraId="0874AA7B" w14:textId="77777777" w:rsidR="00316C24" w:rsidRPr="00D21FAC" w:rsidRDefault="00316C24" w:rsidP="00316C24">
      <w:pPr>
        <w:spacing w:before="240" w:after="240"/>
        <w:rPr>
          <w:szCs w:val="24"/>
        </w:rPr>
      </w:pPr>
      <w:r w:rsidRPr="00D21FAC">
        <w:rPr>
          <w:szCs w:val="24"/>
        </w:rPr>
        <w:t xml:space="preserve">FERNÁNDEZ SEGADO, F., </w:t>
      </w:r>
      <w:r w:rsidRPr="00D21FAC">
        <w:rPr>
          <w:i/>
          <w:iCs/>
          <w:szCs w:val="24"/>
        </w:rPr>
        <w:t>La reforma del régimen jurídico-procesal del recurso de amparo</w:t>
      </w:r>
      <w:r w:rsidRPr="00D21FAC">
        <w:rPr>
          <w:szCs w:val="24"/>
        </w:rPr>
        <w:t>, Madrid, 2008.</w:t>
      </w:r>
    </w:p>
    <w:p w14:paraId="7EBCED5F" w14:textId="77777777" w:rsidR="00316C24" w:rsidRPr="00D21FAC" w:rsidRDefault="00316C24" w:rsidP="00316C24">
      <w:pPr>
        <w:spacing w:before="240" w:after="240"/>
        <w:rPr>
          <w:szCs w:val="24"/>
        </w:rPr>
      </w:pPr>
      <w:r w:rsidRPr="00D21FAC">
        <w:rPr>
          <w:szCs w:val="24"/>
        </w:rPr>
        <w:t xml:space="preserve">FIGUEROA GUTARRA, E., “La exigencia de especial trascendencia constitucional en el ordenamiento en el ordenamiento constitucional. Indeterminación y reconstrucción del precedente vinculante” </w:t>
      </w:r>
      <w:r>
        <w:rPr>
          <w:i/>
          <w:szCs w:val="24"/>
        </w:rPr>
        <w:t xml:space="preserve">Revista </w:t>
      </w:r>
      <w:r w:rsidRPr="00A725CB">
        <w:rPr>
          <w:i/>
          <w:szCs w:val="24"/>
        </w:rPr>
        <w:t>de Derecho Constituciona</w:t>
      </w:r>
      <w:r>
        <w:rPr>
          <w:i/>
          <w:szCs w:val="24"/>
        </w:rPr>
        <w:t>l</w:t>
      </w:r>
      <w:r w:rsidRPr="00A725CB">
        <w:rPr>
          <w:i/>
          <w:szCs w:val="24"/>
        </w:rPr>
        <w:t>,</w:t>
      </w:r>
      <w:r w:rsidRPr="00D21FAC">
        <w:rPr>
          <w:szCs w:val="24"/>
        </w:rPr>
        <w:t xml:space="preserve"> núm. 8, 2015</w:t>
      </w:r>
      <w:r>
        <w:rPr>
          <w:szCs w:val="24"/>
        </w:rPr>
        <w:t>.</w:t>
      </w:r>
    </w:p>
    <w:p w14:paraId="30EB5AA9" w14:textId="77777777" w:rsidR="00316C24" w:rsidRDefault="00316C24" w:rsidP="00316C24">
      <w:pPr>
        <w:spacing w:before="240" w:after="240"/>
      </w:pPr>
      <w:r w:rsidRPr="00B842F0">
        <w:t>FONTESTAD PORTALÉS, L., “El incidente de nulidad de actuaciones: un sistema de amparo "ordinario" fr</w:t>
      </w:r>
      <w:r>
        <w:t xml:space="preserve">ente al amparo constitucional”. En: </w:t>
      </w:r>
      <w:r w:rsidRPr="00B842F0">
        <w:t xml:space="preserve"> </w:t>
      </w:r>
      <w:hyperlink r:id="rId11" w:history="1">
        <w:r w:rsidRPr="00B842F0">
          <w:rPr>
            <w:rStyle w:val="Hipervnculo"/>
            <w:rFonts w:eastAsiaTheme="majorEastAsia"/>
          </w:rPr>
          <w:t>https://riuma.uma.es/xmlui/handle/10630/10232</w:t>
        </w:r>
      </w:hyperlink>
    </w:p>
    <w:p w14:paraId="5001D6B1" w14:textId="77777777" w:rsidR="00316C24" w:rsidRPr="00AE135E" w:rsidRDefault="00316C24" w:rsidP="00316C24">
      <w:pPr>
        <w:spacing w:before="240" w:after="240"/>
        <w:rPr>
          <w:szCs w:val="24"/>
        </w:rPr>
      </w:pPr>
      <w:r>
        <w:rPr>
          <w:szCs w:val="24"/>
        </w:rPr>
        <w:t>FOSSAS ESPADALER, E., “</w:t>
      </w:r>
      <w:r w:rsidRPr="00AE135E">
        <w:rPr>
          <w:szCs w:val="24"/>
        </w:rPr>
        <w:t>El proyecto de reforma de la ley orgáni</w:t>
      </w:r>
      <w:r>
        <w:rPr>
          <w:szCs w:val="24"/>
        </w:rPr>
        <w:t>ca del Tribunal Constitucional”</w:t>
      </w:r>
      <w:r w:rsidRPr="00AE135E">
        <w:rPr>
          <w:szCs w:val="24"/>
        </w:rPr>
        <w:t xml:space="preserve">, </w:t>
      </w:r>
      <w:r w:rsidRPr="00AE135E">
        <w:rPr>
          <w:i/>
          <w:szCs w:val="24"/>
        </w:rPr>
        <w:t>Revista General de Derecho Constitucional,</w:t>
      </w:r>
      <w:r>
        <w:rPr>
          <w:szCs w:val="24"/>
        </w:rPr>
        <w:t xml:space="preserve"> núm.1, 2006.</w:t>
      </w:r>
    </w:p>
    <w:p w14:paraId="71962136" w14:textId="77777777" w:rsidR="00316C24" w:rsidRPr="001751CE" w:rsidRDefault="00316C24" w:rsidP="00316C24">
      <w:pPr>
        <w:spacing w:before="240" w:after="240"/>
      </w:pPr>
      <w:r w:rsidRPr="000C3A7D">
        <w:t xml:space="preserve">GALLEGO GARCIA, </w:t>
      </w:r>
      <w:r>
        <w:t>R</w:t>
      </w:r>
      <w:r w:rsidRPr="000C3A7D">
        <w:t xml:space="preserve">., </w:t>
      </w:r>
      <w:r w:rsidRPr="000C3A7D">
        <w:rPr>
          <w:i/>
          <w:iCs/>
        </w:rPr>
        <w:t>Comentarios a la Ley de Enjuiciamiento Civil</w:t>
      </w:r>
      <w:r>
        <w:t xml:space="preserve">, en AA. VV., </w:t>
      </w:r>
      <w:r w:rsidRPr="000C3A7D">
        <w:t xml:space="preserve">Fernando </w:t>
      </w:r>
      <w:r>
        <w:t>T</w:t>
      </w:r>
      <w:r w:rsidRPr="000C3A7D">
        <w:t xml:space="preserve">oribio </w:t>
      </w:r>
      <w:r>
        <w:t>F</w:t>
      </w:r>
      <w:r w:rsidRPr="000C3A7D">
        <w:t>uentes</w:t>
      </w:r>
      <w:r>
        <w:t xml:space="preserve"> (Dir.</w:t>
      </w:r>
      <w:r w:rsidRPr="000C3A7D">
        <w:t>)</w:t>
      </w:r>
      <w:r>
        <w:t>,</w:t>
      </w:r>
      <w:r w:rsidRPr="000C3A7D">
        <w:t xml:space="preserve"> Valladolid, 2012</w:t>
      </w:r>
      <w:r>
        <w:t>.</w:t>
      </w:r>
    </w:p>
    <w:p w14:paraId="2784F773" w14:textId="77777777" w:rsidR="00316C24" w:rsidRDefault="00316C24" w:rsidP="00316C24">
      <w:pPr>
        <w:spacing w:before="240" w:after="240"/>
      </w:pPr>
      <w:r w:rsidRPr="00B0532D">
        <w:t xml:space="preserve">GARBERÍ LLOBREGAT, J., “Art. 49”, en </w:t>
      </w:r>
      <w:r>
        <w:t xml:space="preserve">Juan Luís </w:t>
      </w:r>
      <w:r w:rsidRPr="00B0532D">
        <w:t>R</w:t>
      </w:r>
      <w:r>
        <w:t>equejo</w:t>
      </w:r>
      <w:r w:rsidRPr="00B0532D">
        <w:t xml:space="preserve"> P</w:t>
      </w:r>
      <w:r>
        <w:t>agés</w:t>
      </w:r>
      <w:r w:rsidRPr="00B0532D">
        <w:t xml:space="preserve"> (Coord.), </w:t>
      </w:r>
      <w:r w:rsidRPr="00610EBF">
        <w:rPr>
          <w:i/>
        </w:rPr>
        <w:t>Comentarios a la Ley Orgánica del Tribunal Constitucional</w:t>
      </w:r>
      <w:r w:rsidRPr="00B0532D">
        <w:t>, Madrid, 2001.</w:t>
      </w:r>
    </w:p>
    <w:p w14:paraId="3315C0BC" w14:textId="77777777" w:rsidR="00316C24" w:rsidRDefault="00316C24" w:rsidP="00316C24">
      <w:pPr>
        <w:spacing w:before="240" w:after="240"/>
      </w:pPr>
      <w:r>
        <w:lastRenderedPageBreak/>
        <w:t>GARBERÍ LLOBREGAT, J., “Doctrina nulidad de actuaciones e indefensión por falta de emplazamiento: dos exigencias condicionantes del éxito de la pretensión de nulidad (materiales no aportados por quienes fueron parte y responsabilidad directa del tribunal en la falta de emplazamiento), Diario</w:t>
      </w:r>
      <w:r w:rsidRPr="00F81607">
        <w:rPr>
          <w:i/>
        </w:rPr>
        <w:t xml:space="preserve"> </w:t>
      </w:r>
      <w:r w:rsidRPr="00F81607">
        <w:rPr>
          <w:i/>
          <w:iCs/>
        </w:rPr>
        <w:t>La Ley</w:t>
      </w:r>
      <w:r>
        <w:t>, núm. 6233, 2005.</w:t>
      </w:r>
    </w:p>
    <w:p w14:paraId="648FAA7C" w14:textId="77777777" w:rsidR="00316C24" w:rsidRPr="00D21FAC" w:rsidRDefault="00316C24" w:rsidP="00316C24">
      <w:pPr>
        <w:spacing w:before="240" w:after="240"/>
        <w:rPr>
          <w:szCs w:val="24"/>
        </w:rPr>
      </w:pPr>
      <w:r w:rsidRPr="00D21FAC">
        <w:rPr>
          <w:szCs w:val="24"/>
        </w:rPr>
        <w:t xml:space="preserve">GARBERÍ LLOBREGAT, J., </w:t>
      </w:r>
      <w:r>
        <w:rPr>
          <w:szCs w:val="24"/>
        </w:rPr>
        <w:t>“</w:t>
      </w:r>
      <w:proofErr w:type="spellStart"/>
      <w:r w:rsidRPr="00D21FAC">
        <w:rPr>
          <w:szCs w:val="24"/>
        </w:rPr>
        <w:t>Requiem</w:t>
      </w:r>
      <w:proofErr w:type="spellEnd"/>
      <w:r w:rsidRPr="00D21FAC">
        <w:rPr>
          <w:szCs w:val="24"/>
        </w:rPr>
        <w:t xml:space="preserve"> por el recurso de amparo constitucional</w:t>
      </w:r>
      <w:r>
        <w:rPr>
          <w:szCs w:val="24"/>
        </w:rPr>
        <w:t>”</w:t>
      </w:r>
      <w:r w:rsidRPr="00D21FAC">
        <w:rPr>
          <w:szCs w:val="24"/>
        </w:rPr>
        <w:t xml:space="preserve">, </w:t>
      </w:r>
      <w:r w:rsidRPr="00F81607">
        <w:rPr>
          <w:i/>
          <w:szCs w:val="24"/>
        </w:rPr>
        <w:t>Diario la Ley,</w:t>
      </w:r>
      <w:r w:rsidRPr="00D21FAC">
        <w:rPr>
          <w:szCs w:val="24"/>
        </w:rPr>
        <w:t xml:space="preserve"> núm. 7120, Sección Tribuna, </w:t>
      </w:r>
      <w:r>
        <w:rPr>
          <w:szCs w:val="24"/>
        </w:rPr>
        <w:t>2009</w:t>
      </w:r>
      <w:r w:rsidRPr="00D21FAC">
        <w:rPr>
          <w:szCs w:val="24"/>
        </w:rPr>
        <w:t>.</w:t>
      </w:r>
    </w:p>
    <w:p w14:paraId="768C4E1B" w14:textId="77777777" w:rsidR="00316C24" w:rsidRPr="00D21FAC" w:rsidRDefault="00316C24" w:rsidP="00316C24">
      <w:pPr>
        <w:spacing w:before="240" w:after="240"/>
        <w:rPr>
          <w:szCs w:val="24"/>
        </w:rPr>
      </w:pPr>
      <w:r w:rsidRPr="00D21FAC">
        <w:rPr>
          <w:szCs w:val="24"/>
        </w:rPr>
        <w:t xml:space="preserve">GARCÍA COUSO, S., “El nuevo modelo de protección de los derechos fundamentales tras la aprobación de la LO 6/2007: la objetivación del amparo constitucional y la tutela subjetiva de los derechos por la jurisdicción ordinaria y el Tribunal Europeo de Derechos Humanos”, </w:t>
      </w:r>
      <w:r w:rsidRPr="00F81607">
        <w:rPr>
          <w:i/>
          <w:szCs w:val="24"/>
        </w:rPr>
        <w:t>Revista Europea de derechos fundamentales</w:t>
      </w:r>
      <w:r w:rsidRPr="00D21FAC">
        <w:rPr>
          <w:szCs w:val="24"/>
        </w:rPr>
        <w:t>, núm. 15, 2010</w:t>
      </w:r>
      <w:r>
        <w:rPr>
          <w:szCs w:val="24"/>
        </w:rPr>
        <w:t>.</w:t>
      </w:r>
      <w:r w:rsidRPr="00D21FAC">
        <w:rPr>
          <w:szCs w:val="24"/>
        </w:rPr>
        <w:t xml:space="preserve"> </w:t>
      </w:r>
    </w:p>
    <w:p w14:paraId="7F9D53B2" w14:textId="77777777" w:rsidR="00316C24" w:rsidRPr="00827EB4" w:rsidRDefault="00316C24" w:rsidP="00316C24">
      <w:pPr>
        <w:spacing w:before="240" w:after="240"/>
        <w:rPr>
          <w:szCs w:val="24"/>
        </w:rPr>
      </w:pPr>
      <w:r>
        <w:rPr>
          <w:szCs w:val="24"/>
        </w:rPr>
        <w:t>GARCÍA MORILLO, J., “</w:t>
      </w:r>
      <w:r w:rsidRPr="00827EB4">
        <w:rPr>
          <w:szCs w:val="24"/>
        </w:rPr>
        <w:t>Las garantías de los derechos fundamentales (II). Las garantías jurisdiccionale</w:t>
      </w:r>
      <w:r>
        <w:rPr>
          <w:szCs w:val="24"/>
        </w:rPr>
        <w:t>s”</w:t>
      </w:r>
      <w:r w:rsidRPr="00827EB4">
        <w:rPr>
          <w:szCs w:val="24"/>
        </w:rPr>
        <w:t xml:space="preserve">, </w:t>
      </w:r>
      <w:r>
        <w:rPr>
          <w:szCs w:val="24"/>
        </w:rPr>
        <w:t xml:space="preserve">en </w:t>
      </w:r>
      <w:r w:rsidRPr="00827EB4">
        <w:rPr>
          <w:szCs w:val="24"/>
        </w:rPr>
        <w:t xml:space="preserve">AA.VV. (Luís López Guerra y otros), </w:t>
      </w:r>
      <w:r w:rsidRPr="00827EB4">
        <w:rPr>
          <w:i/>
          <w:szCs w:val="24"/>
        </w:rPr>
        <w:t>Derecho Constitucional. Volumen I. El ordenamiento constitucional. Derechos y deberes de los ciudadanos</w:t>
      </w:r>
      <w:r>
        <w:rPr>
          <w:szCs w:val="24"/>
        </w:rPr>
        <w:t>, Valencia, 2013.</w:t>
      </w:r>
    </w:p>
    <w:p w14:paraId="51A0D776" w14:textId="77777777" w:rsidR="00316C24" w:rsidRPr="00827EB4" w:rsidRDefault="00316C24" w:rsidP="00316C24">
      <w:pPr>
        <w:spacing w:before="240" w:after="240"/>
        <w:rPr>
          <w:szCs w:val="24"/>
        </w:rPr>
      </w:pPr>
      <w:r w:rsidRPr="00827EB4">
        <w:rPr>
          <w:szCs w:val="24"/>
        </w:rPr>
        <w:t xml:space="preserve">GARCÍA MORILLO, J., </w:t>
      </w:r>
      <w:r w:rsidRPr="00827EB4">
        <w:rPr>
          <w:i/>
          <w:szCs w:val="24"/>
        </w:rPr>
        <w:t xml:space="preserve">La protección judicial de los derechos fundamentales, </w:t>
      </w:r>
      <w:r w:rsidRPr="00827EB4">
        <w:rPr>
          <w:szCs w:val="24"/>
        </w:rPr>
        <w:t>Valencia, 1994</w:t>
      </w:r>
      <w:r>
        <w:rPr>
          <w:szCs w:val="24"/>
        </w:rPr>
        <w:t>.</w:t>
      </w:r>
    </w:p>
    <w:p w14:paraId="2276B731" w14:textId="77777777" w:rsidR="00316C24" w:rsidRPr="00D21FAC" w:rsidRDefault="00316C24" w:rsidP="00316C24">
      <w:pPr>
        <w:spacing w:before="240" w:after="240"/>
        <w:rPr>
          <w:szCs w:val="24"/>
        </w:rPr>
      </w:pPr>
      <w:r w:rsidRPr="00D21FAC">
        <w:rPr>
          <w:szCs w:val="24"/>
        </w:rPr>
        <w:t>GARCÍA ROCA, J., “La cifra del amparo constitucional y su reforma</w:t>
      </w:r>
      <w:r w:rsidRPr="009D61FE">
        <w:rPr>
          <w:szCs w:val="24"/>
        </w:rPr>
        <w:t xml:space="preserve">”, en AA. VV., </w:t>
      </w:r>
      <w:r w:rsidRPr="009D61FE">
        <w:rPr>
          <w:i/>
          <w:szCs w:val="24"/>
        </w:rPr>
        <w:t>La reforma del recurso de amparo</w:t>
      </w:r>
      <w:r w:rsidRPr="009D61FE">
        <w:rPr>
          <w:szCs w:val="24"/>
        </w:rPr>
        <w:t>, Valencia, 2004.</w:t>
      </w:r>
    </w:p>
    <w:p w14:paraId="3F5E86CD" w14:textId="77777777" w:rsidR="00316C24" w:rsidRDefault="00316C24" w:rsidP="00316C24">
      <w:pPr>
        <w:spacing w:before="240" w:after="240"/>
      </w:pPr>
      <w:r>
        <w:t xml:space="preserve">GARCÍA-VILLARUBIA BERNABÉ, M., “A vueltas con el incidente de nulidad de actuaciones y el recurso de amparo. Examen de la cuestión a la vista de los recientes avances legislativos y jurisprudencial”, </w:t>
      </w:r>
      <w:r w:rsidRPr="00176006">
        <w:rPr>
          <w:i/>
          <w:iCs/>
        </w:rPr>
        <w:t>Diario La Ley</w:t>
      </w:r>
      <w:r>
        <w:t>, núm. 6156, 2004.</w:t>
      </w:r>
    </w:p>
    <w:p w14:paraId="28664290" w14:textId="77777777" w:rsidR="00316C24" w:rsidRDefault="00316C24" w:rsidP="00316C24">
      <w:pPr>
        <w:spacing w:before="240" w:after="240"/>
      </w:pPr>
      <w:r>
        <w:t xml:space="preserve">GARNICA MARTÍN, J. F., </w:t>
      </w:r>
      <w:r w:rsidRPr="00B53B3E">
        <w:rPr>
          <w:i/>
          <w:iCs/>
        </w:rPr>
        <w:t>Comentarios a la nueva Ley de Enjuiciamiento Civil</w:t>
      </w:r>
      <w:r>
        <w:rPr>
          <w:i/>
          <w:iCs/>
        </w:rPr>
        <w:t xml:space="preserve">, </w:t>
      </w:r>
      <w:r>
        <w:rPr>
          <w:iCs/>
        </w:rPr>
        <w:t xml:space="preserve">en AA.VV., </w:t>
      </w:r>
      <w:r>
        <w:t xml:space="preserve">M. Á. Fernández-Ballesteros, J. M. </w:t>
      </w:r>
      <w:proofErr w:type="spellStart"/>
      <w:r>
        <w:t>Rifá</w:t>
      </w:r>
      <w:proofErr w:type="spellEnd"/>
      <w:r>
        <w:t xml:space="preserve"> Soler, y J. F. Valls </w:t>
      </w:r>
      <w:proofErr w:type="spellStart"/>
      <w:r>
        <w:t>Gombau</w:t>
      </w:r>
      <w:proofErr w:type="spellEnd"/>
      <w:r>
        <w:t xml:space="preserve"> (</w:t>
      </w:r>
      <w:proofErr w:type="spellStart"/>
      <w:r>
        <w:t>Coords</w:t>
      </w:r>
      <w:proofErr w:type="spellEnd"/>
      <w:r>
        <w:t>.), Madrid, 2000.</w:t>
      </w:r>
    </w:p>
    <w:p w14:paraId="76144ADA" w14:textId="77777777" w:rsidR="00316C24" w:rsidRDefault="00316C24" w:rsidP="00316C24">
      <w:pPr>
        <w:spacing w:before="240" w:after="240"/>
      </w:pPr>
      <w:r w:rsidRPr="00380106">
        <w:t>GARRIGA ARIÑO, F.</w:t>
      </w:r>
      <w:r>
        <w:t>,</w:t>
      </w:r>
      <w:r w:rsidRPr="00380106">
        <w:t xml:space="preserve"> </w:t>
      </w:r>
      <w:r>
        <w:t>“</w:t>
      </w:r>
      <w:r w:rsidRPr="00380106">
        <w:t>La nulidad de las actuaciones. Evolución de su regulación</w:t>
      </w:r>
      <w:r>
        <w:t>”,</w:t>
      </w:r>
      <w:r w:rsidRPr="00380106">
        <w:t xml:space="preserve"> </w:t>
      </w:r>
      <w:r>
        <w:t xml:space="preserve">en AA.VV., </w:t>
      </w:r>
      <w:r w:rsidRPr="00176006">
        <w:rPr>
          <w:i/>
          <w:iCs/>
        </w:rPr>
        <w:t xml:space="preserve">Realismo jurídico y experiencia procesal: Liber </w:t>
      </w:r>
      <w:proofErr w:type="spellStart"/>
      <w:r w:rsidRPr="00176006">
        <w:rPr>
          <w:i/>
          <w:iCs/>
        </w:rPr>
        <w:t>Amicorum</w:t>
      </w:r>
      <w:proofErr w:type="spellEnd"/>
      <w:r w:rsidRPr="00176006">
        <w:rPr>
          <w:i/>
          <w:iCs/>
        </w:rPr>
        <w:t xml:space="preserve"> Manuel Serra Domínguez</w:t>
      </w:r>
      <w:r>
        <w:t xml:space="preserve">, </w:t>
      </w:r>
      <w:r w:rsidRPr="00380106">
        <w:t>Barcelona</w:t>
      </w:r>
      <w:r>
        <w:t>, 2009.</w:t>
      </w:r>
    </w:p>
    <w:p w14:paraId="03888469"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lastRenderedPageBreak/>
        <w:t>GARRO VARGAS, A., “</w:t>
      </w:r>
      <w:r w:rsidRPr="00827EB4">
        <w:rPr>
          <w:rFonts w:ascii="Times New Roman" w:hAnsi="Times New Roman"/>
          <w:szCs w:val="24"/>
        </w:rPr>
        <w:t>El debate sobre la reforma del recurso de amparo en España: Análisis de las propues</w:t>
      </w:r>
      <w:r>
        <w:rPr>
          <w:rFonts w:ascii="Times New Roman" w:hAnsi="Times New Roman"/>
          <w:szCs w:val="24"/>
        </w:rPr>
        <w:t>tas a la luz de la Constitución”</w:t>
      </w:r>
      <w:r w:rsidRPr="00827EB4">
        <w:rPr>
          <w:rFonts w:ascii="Times New Roman" w:hAnsi="Times New Roman"/>
          <w:szCs w:val="24"/>
        </w:rPr>
        <w:t xml:space="preserve">, </w:t>
      </w:r>
      <w:r w:rsidRPr="00827EB4">
        <w:rPr>
          <w:rFonts w:ascii="Times New Roman" w:hAnsi="Times New Roman"/>
          <w:i/>
          <w:szCs w:val="24"/>
        </w:rPr>
        <w:t>Revista Española de Derecho constitucional</w:t>
      </w:r>
      <w:r>
        <w:rPr>
          <w:rFonts w:ascii="Times New Roman" w:hAnsi="Times New Roman"/>
          <w:szCs w:val="24"/>
        </w:rPr>
        <w:t>, núm. 76, 2006.</w:t>
      </w:r>
    </w:p>
    <w:p w14:paraId="274C6353" w14:textId="77777777" w:rsidR="00316C24" w:rsidRPr="00575AD6" w:rsidRDefault="00316C24" w:rsidP="00316C24">
      <w:pPr>
        <w:pStyle w:val="texto"/>
        <w:spacing w:before="240" w:after="240" w:afterAutospacing="0"/>
        <w:ind w:firstLine="0"/>
        <w:rPr>
          <w:rFonts w:ascii="Times New Roman" w:hAnsi="Times New Roman"/>
          <w:szCs w:val="24"/>
        </w:rPr>
      </w:pPr>
      <w:r w:rsidRPr="00575AD6">
        <w:rPr>
          <w:rFonts w:ascii="Times New Roman" w:hAnsi="Times New Roman"/>
          <w:szCs w:val="24"/>
        </w:rPr>
        <w:t xml:space="preserve">GARRO, A. M., “Algunas reflexiones sobre la Corte Suprema de los Estados Unidos en su actual composición y el rol institucional de la Corte”, </w:t>
      </w:r>
      <w:r w:rsidRPr="00575AD6">
        <w:rPr>
          <w:rFonts w:ascii="Times New Roman" w:hAnsi="Times New Roman"/>
          <w:i/>
          <w:szCs w:val="24"/>
        </w:rPr>
        <w:t>Revista Española de Derecho Constitucional,</w:t>
      </w:r>
      <w:r w:rsidRPr="00575AD6">
        <w:rPr>
          <w:rFonts w:ascii="Times New Roman" w:hAnsi="Times New Roman"/>
          <w:szCs w:val="24"/>
        </w:rPr>
        <w:t xml:space="preserve"> núm. 35</w:t>
      </w:r>
      <w:r>
        <w:rPr>
          <w:rFonts w:ascii="Times New Roman" w:hAnsi="Times New Roman"/>
          <w:szCs w:val="24"/>
        </w:rPr>
        <w:t>, 1992.</w:t>
      </w:r>
    </w:p>
    <w:p w14:paraId="388B1CF4" w14:textId="77777777" w:rsidR="00316C24" w:rsidRPr="00827EB4" w:rsidRDefault="00316C24" w:rsidP="00316C24">
      <w:pPr>
        <w:spacing w:before="240" w:after="240"/>
        <w:rPr>
          <w:szCs w:val="24"/>
        </w:rPr>
      </w:pPr>
      <w:r w:rsidRPr="00827EB4">
        <w:rPr>
          <w:szCs w:val="24"/>
        </w:rPr>
        <w:t>GA</w:t>
      </w:r>
      <w:r>
        <w:rPr>
          <w:szCs w:val="24"/>
        </w:rPr>
        <w:t>SCÓN, ABELLÁN, M., “</w:t>
      </w:r>
      <w:r w:rsidRPr="00827EB4">
        <w:rPr>
          <w:szCs w:val="24"/>
        </w:rPr>
        <w:t>La justicia constitucional: Entre legislación y jurisdicción</w:t>
      </w:r>
      <w:r>
        <w:rPr>
          <w:szCs w:val="24"/>
        </w:rPr>
        <w:t>”</w:t>
      </w:r>
      <w:r w:rsidRPr="00827EB4">
        <w:rPr>
          <w:szCs w:val="24"/>
        </w:rPr>
        <w:t xml:space="preserve">, </w:t>
      </w:r>
      <w:r w:rsidRPr="00827EB4">
        <w:rPr>
          <w:i/>
          <w:szCs w:val="24"/>
        </w:rPr>
        <w:t xml:space="preserve">Revista Española de Derecho Constitucional, </w:t>
      </w:r>
      <w:r w:rsidRPr="00827EB4">
        <w:rPr>
          <w:szCs w:val="24"/>
        </w:rPr>
        <w:t>núm. 4</w:t>
      </w:r>
      <w:r>
        <w:rPr>
          <w:szCs w:val="24"/>
        </w:rPr>
        <w:t>1, 1994.</w:t>
      </w:r>
    </w:p>
    <w:p w14:paraId="4BE28027"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GENEROSO HERMOSO, F., DE BERNARDO BUSTOS, M. T., GÓMEZ SOBRINO, E. </w:t>
      </w:r>
      <w:r w:rsidRPr="00827EB4">
        <w:rPr>
          <w:rFonts w:ascii="Times New Roman" w:hAnsi="Times New Roman"/>
          <w:i/>
          <w:szCs w:val="24"/>
        </w:rPr>
        <w:t>Práctica del recurso de amparo constitucional</w:t>
      </w:r>
      <w:r w:rsidRPr="00827EB4">
        <w:rPr>
          <w:rFonts w:ascii="Times New Roman" w:hAnsi="Times New Roman"/>
          <w:szCs w:val="24"/>
        </w:rPr>
        <w:t>, Madrid, 1998</w:t>
      </w:r>
      <w:r>
        <w:rPr>
          <w:rFonts w:ascii="Times New Roman" w:hAnsi="Times New Roman"/>
          <w:szCs w:val="24"/>
        </w:rPr>
        <w:t>.</w:t>
      </w:r>
    </w:p>
    <w:p w14:paraId="4B5B24E5" w14:textId="77777777" w:rsidR="00316C24" w:rsidRDefault="00316C24" w:rsidP="00316C24">
      <w:pPr>
        <w:pStyle w:val="texto"/>
        <w:spacing w:before="240" w:after="240" w:afterAutospacing="0"/>
        <w:ind w:firstLine="0"/>
        <w:rPr>
          <w:rFonts w:ascii="Times New Roman" w:hAnsi="Times New Roman"/>
          <w:szCs w:val="24"/>
        </w:rPr>
      </w:pPr>
      <w:r w:rsidRPr="00325A74">
        <w:rPr>
          <w:rFonts w:ascii="Times New Roman" w:hAnsi="Times New Roman"/>
          <w:szCs w:val="24"/>
        </w:rPr>
        <w:t xml:space="preserve">GIMÉNEZ MARTÍNEZ, M. A., “Las leyes fundamentales y la construcción del constitucionalismo cosmético  franquista”, </w:t>
      </w:r>
      <w:r w:rsidRPr="00325A74">
        <w:rPr>
          <w:rFonts w:ascii="Times New Roman" w:hAnsi="Times New Roman"/>
          <w:i/>
          <w:szCs w:val="24"/>
        </w:rPr>
        <w:t xml:space="preserve">GLOSSAE. </w:t>
      </w:r>
      <w:proofErr w:type="spellStart"/>
      <w:r w:rsidRPr="00325A74">
        <w:rPr>
          <w:rFonts w:ascii="Times New Roman" w:hAnsi="Times New Roman"/>
          <w:i/>
          <w:szCs w:val="24"/>
        </w:rPr>
        <w:t>European</w:t>
      </w:r>
      <w:proofErr w:type="spellEnd"/>
      <w:r w:rsidRPr="00325A74">
        <w:rPr>
          <w:rFonts w:ascii="Times New Roman" w:hAnsi="Times New Roman"/>
          <w:i/>
          <w:szCs w:val="24"/>
        </w:rPr>
        <w:t xml:space="preserve"> </w:t>
      </w:r>
      <w:proofErr w:type="spellStart"/>
      <w:r w:rsidRPr="00325A74">
        <w:rPr>
          <w:rFonts w:ascii="Times New Roman" w:hAnsi="Times New Roman"/>
          <w:i/>
          <w:szCs w:val="24"/>
        </w:rPr>
        <w:t>Journal</w:t>
      </w:r>
      <w:proofErr w:type="spellEnd"/>
      <w:r w:rsidRPr="00325A74">
        <w:rPr>
          <w:rFonts w:ascii="Times New Roman" w:hAnsi="Times New Roman"/>
          <w:i/>
          <w:szCs w:val="24"/>
        </w:rPr>
        <w:t xml:space="preserve"> </w:t>
      </w:r>
      <w:proofErr w:type="spellStart"/>
      <w:r w:rsidRPr="00325A74">
        <w:rPr>
          <w:rFonts w:ascii="Times New Roman" w:hAnsi="Times New Roman"/>
          <w:i/>
          <w:szCs w:val="24"/>
        </w:rPr>
        <w:t>of</w:t>
      </w:r>
      <w:proofErr w:type="spellEnd"/>
      <w:r w:rsidRPr="00325A74">
        <w:rPr>
          <w:rFonts w:ascii="Times New Roman" w:hAnsi="Times New Roman"/>
          <w:i/>
          <w:szCs w:val="24"/>
        </w:rPr>
        <w:t xml:space="preserve"> Legal </w:t>
      </w:r>
      <w:proofErr w:type="spellStart"/>
      <w:r w:rsidRPr="00325A74">
        <w:rPr>
          <w:rFonts w:ascii="Times New Roman" w:hAnsi="Times New Roman"/>
          <w:i/>
          <w:szCs w:val="24"/>
        </w:rPr>
        <w:t>History</w:t>
      </w:r>
      <w:proofErr w:type="spellEnd"/>
      <w:r w:rsidRPr="00325A74">
        <w:rPr>
          <w:rFonts w:ascii="Times New Roman" w:hAnsi="Times New Roman"/>
          <w:i/>
          <w:szCs w:val="24"/>
        </w:rPr>
        <w:t>,</w:t>
      </w:r>
      <w:r>
        <w:rPr>
          <w:rFonts w:ascii="Times New Roman" w:hAnsi="Times New Roman"/>
          <w:szCs w:val="24"/>
        </w:rPr>
        <w:t xml:space="preserve"> núm.  12, 2015</w:t>
      </w:r>
    </w:p>
    <w:p w14:paraId="02A33F09" w14:textId="77777777" w:rsidR="00316C24" w:rsidRDefault="00316C24" w:rsidP="00316C24">
      <w:pPr>
        <w:spacing w:before="240" w:after="240"/>
      </w:pPr>
      <w:r>
        <w:t xml:space="preserve">GIMENO SENDRA, J. V., </w:t>
      </w:r>
      <w:r w:rsidRPr="00176006">
        <w:rPr>
          <w:i/>
          <w:iCs/>
        </w:rPr>
        <w:t>Fundamentos de Derecho Procesal</w:t>
      </w:r>
      <w:r>
        <w:t>, Madrid, 1981.</w:t>
      </w:r>
    </w:p>
    <w:p w14:paraId="4BB5E794"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GÓMEZ AMIGO, L., </w:t>
      </w:r>
      <w:r w:rsidRPr="00827EB4">
        <w:rPr>
          <w:rFonts w:ascii="Times New Roman" w:hAnsi="Times New Roman"/>
          <w:i/>
          <w:szCs w:val="24"/>
        </w:rPr>
        <w:t>La sentencia estimatoria del recurso de amparo</w:t>
      </w:r>
      <w:r w:rsidRPr="00827EB4">
        <w:rPr>
          <w:rFonts w:ascii="Times New Roman" w:hAnsi="Times New Roman"/>
          <w:szCs w:val="24"/>
        </w:rPr>
        <w:t>, 1998</w:t>
      </w:r>
      <w:r>
        <w:rPr>
          <w:rFonts w:ascii="Times New Roman" w:hAnsi="Times New Roman"/>
          <w:szCs w:val="24"/>
        </w:rPr>
        <w:t>.</w:t>
      </w:r>
    </w:p>
    <w:p w14:paraId="1C81F229" w14:textId="77777777" w:rsidR="00316C24" w:rsidRDefault="00316C24" w:rsidP="00316C24">
      <w:pPr>
        <w:spacing w:before="240" w:after="240"/>
      </w:pPr>
      <w:r>
        <w:t xml:space="preserve">GÓMEZ FERNÁNDEZ, I. Y MONTESINOS PADILLA, C., “Una década de incidente de nulidad de actuaciones: ¿aclaración, reforma o supresión?”, </w:t>
      </w:r>
      <w:r w:rsidRPr="00310C03">
        <w:rPr>
          <w:i/>
          <w:iCs/>
        </w:rPr>
        <w:t>Revista de Derecho Constitucional,</w:t>
      </w:r>
      <w:r>
        <w:t xml:space="preserve"> núm. 113, 2018.</w:t>
      </w:r>
    </w:p>
    <w:p w14:paraId="4033CDC2"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GÓMEZ ORBANEJA, E., “</w:t>
      </w:r>
      <w:r w:rsidRPr="00827EB4">
        <w:rPr>
          <w:rFonts w:ascii="Times New Roman" w:hAnsi="Times New Roman"/>
          <w:szCs w:val="24"/>
        </w:rPr>
        <w:t>Los avatares del texto constitucional</w:t>
      </w:r>
      <w:r>
        <w:rPr>
          <w:rFonts w:ascii="Times New Roman" w:hAnsi="Times New Roman"/>
          <w:szCs w:val="24"/>
        </w:rPr>
        <w:t>”</w:t>
      </w:r>
      <w:r w:rsidRPr="00827EB4">
        <w:rPr>
          <w:rFonts w:ascii="Times New Roman" w:hAnsi="Times New Roman"/>
          <w:szCs w:val="24"/>
        </w:rPr>
        <w:t xml:space="preserve">, </w:t>
      </w:r>
      <w:r w:rsidRPr="00827EB4">
        <w:rPr>
          <w:rFonts w:ascii="Times New Roman" w:hAnsi="Times New Roman"/>
          <w:i/>
          <w:szCs w:val="24"/>
        </w:rPr>
        <w:t>Revista de Estudios Políticos (Nueva Época)</w:t>
      </w:r>
      <w:r>
        <w:rPr>
          <w:rFonts w:ascii="Times New Roman" w:hAnsi="Times New Roman"/>
          <w:szCs w:val="24"/>
        </w:rPr>
        <w:t>, núm. 31-32, 1983.</w:t>
      </w:r>
    </w:p>
    <w:p w14:paraId="1E697487" w14:textId="77777777" w:rsidR="00316C24" w:rsidRDefault="00316C24" w:rsidP="00316C24">
      <w:pPr>
        <w:spacing w:before="240" w:after="240"/>
      </w:pPr>
      <w:r>
        <w:t xml:space="preserve">GONZALEZ ALONSO A., </w:t>
      </w:r>
      <w:r w:rsidRPr="00176006">
        <w:rPr>
          <w:i/>
          <w:iCs/>
        </w:rPr>
        <w:t>La tutela jurisdiccional de los derechos del artículo 24.1 de la Constitución Española,</w:t>
      </w:r>
      <w:r>
        <w:t xml:space="preserve"> 2012, Tesis en acceso abierto en: digitool-uam.greendata.es</w:t>
      </w:r>
    </w:p>
    <w:p w14:paraId="4EA82BD8" w14:textId="77777777" w:rsidR="00316C24" w:rsidRPr="00D21FAC" w:rsidRDefault="00316C24" w:rsidP="00316C24">
      <w:pPr>
        <w:spacing w:before="240" w:after="240"/>
        <w:rPr>
          <w:szCs w:val="24"/>
        </w:rPr>
      </w:pPr>
      <w:r w:rsidRPr="00D21FAC">
        <w:rPr>
          <w:szCs w:val="24"/>
        </w:rPr>
        <w:t xml:space="preserve">GONZÁLEZ ALONSO, A., “¿Ha cambiado algo el recurso de amparo español tras la aprobación de la LO 6/2007, de 24 de mayo?”, </w:t>
      </w:r>
      <w:r w:rsidRPr="00F81607">
        <w:rPr>
          <w:i/>
          <w:szCs w:val="24"/>
        </w:rPr>
        <w:t>Justicia Administrativa</w:t>
      </w:r>
      <w:r w:rsidRPr="00D21FAC">
        <w:rPr>
          <w:szCs w:val="24"/>
        </w:rPr>
        <w:t>, núm. 59, 2013.</w:t>
      </w:r>
    </w:p>
    <w:p w14:paraId="24A6DE47" w14:textId="77777777" w:rsidR="00316C24" w:rsidRPr="00D21FAC" w:rsidRDefault="00316C24" w:rsidP="00316C24">
      <w:pPr>
        <w:spacing w:before="240" w:after="240"/>
        <w:rPr>
          <w:szCs w:val="24"/>
        </w:rPr>
      </w:pPr>
      <w:r w:rsidRPr="00D21FAC">
        <w:rPr>
          <w:szCs w:val="24"/>
        </w:rPr>
        <w:t>GONZÁLEZ ALONSO, A., “La protección de los derechos fundamentales del artículo 24</w:t>
      </w:r>
      <w:r>
        <w:rPr>
          <w:szCs w:val="24"/>
        </w:rPr>
        <w:t>.1 de la Constitución tras la «</w:t>
      </w:r>
      <w:r w:rsidRPr="00D21FAC">
        <w:rPr>
          <w:szCs w:val="24"/>
        </w:rPr>
        <w:t>objetivación</w:t>
      </w:r>
      <w:r>
        <w:rPr>
          <w:szCs w:val="24"/>
        </w:rPr>
        <w:t>»</w:t>
      </w:r>
      <w:r w:rsidRPr="00D21FAC">
        <w:rPr>
          <w:szCs w:val="24"/>
        </w:rPr>
        <w:t xml:space="preserve"> del</w:t>
      </w:r>
      <w:r>
        <w:rPr>
          <w:szCs w:val="24"/>
        </w:rPr>
        <w:t xml:space="preserve"> recurso de amparo”, </w:t>
      </w:r>
      <w:proofErr w:type="spellStart"/>
      <w:r w:rsidRPr="00F81607">
        <w:rPr>
          <w:i/>
          <w:szCs w:val="24"/>
        </w:rPr>
        <w:t>CEFLegal</w:t>
      </w:r>
      <w:proofErr w:type="spellEnd"/>
      <w:r w:rsidRPr="00F81607">
        <w:rPr>
          <w:i/>
          <w:szCs w:val="24"/>
        </w:rPr>
        <w:t>: Revista práctica de Derecho. Comentarios y casos prácticos</w:t>
      </w:r>
      <w:r w:rsidRPr="00D21FAC">
        <w:rPr>
          <w:szCs w:val="24"/>
        </w:rPr>
        <w:t>, núm. 139-140, 2012.</w:t>
      </w:r>
    </w:p>
    <w:p w14:paraId="30AA1758" w14:textId="77777777" w:rsidR="00316C24" w:rsidRPr="00D21FAC" w:rsidRDefault="00316C24" w:rsidP="00316C24">
      <w:pPr>
        <w:spacing w:before="240" w:after="240"/>
        <w:rPr>
          <w:szCs w:val="24"/>
        </w:rPr>
      </w:pPr>
      <w:r>
        <w:rPr>
          <w:szCs w:val="24"/>
        </w:rPr>
        <w:lastRenderedPageBreak/>
        <w:t>GONZÁLEZ BEILFUSS, M., “</w:t>
      </w:r>
      <w:r w:rsidRPr="00D21FAC">
        <w:rPr>
          <w:szCs w:val="24"/>
        </w:rPr>
        <w:t>La especial trascendencia constitucional de las demandas de amparo. Análisis de la doctrina del Tribunal Constitucional sobre un concepto etéreo</w:t>
      </w:r>
      <w:r>
        <w:rPr>
          <w:szCs w:val="24"/>
        </w:rPr>
        <w:t xml:space="preserve">”, </w:t>
      </w:r>
      <w:r w:rsidRPr="00F81607">
        <w:rPr>
          <w:i/>
          <w:szCs w:val="24"/>
        </w:rPr>
        <w:t>Revista Española de Derecho Constitucional</w:t>
      </w:r>
      <w:r>
        <w:rPr>
          <w:szCs w:val="24"/>
        </w:rPr>
        <w:t>, núm. 107, 2016.</w:t>
      </w:r>
    </w:p>
    <w:p w14:paraId="084E64BD" w14:textId="77777777" w:rsidR="00316C24" w:rsidRDefault="00316C24" w:rsidP="00316C24">
      <w:pPr>
        <w:spacing w:before="240" w:after="240"/>
      </w:pPr>
      <w:r w:rsidRPr="00B53B3E">
        <w:t xml:space="preserve">GORIGOITÍA ABBOTT, F., “Irregularidad, invalidez e ineficacia en el contexto de la nulidad procesal”, </w:t>
      </w:r>
      <w:r w:rsidRPr="00B53B3E">
        <w:rPr>
          <w:i/>
          <w:iCs/>
        </w:rPr>
        <w:t>Revista de derecho (Coquimbo</w:t>
      </w:r>
      <w:r>
        <w:t>),</w:t>
      </w:r>
      <w:r w:rsidRPr="00B53B3E">
        <w:t xml:space="preserve"> </w:t>
      </w:r>
      <w:r>
        <w:t>núm.</w:t>
      </w:r>
      <w:r w:rsidRPr="00B53B3E">
        <w:t>1, 2013</w:t>
      </w:r>
      <w:r>
        <w:t>.</w:t>
      </w:r>
    </w:p>
    <w:p w14:paraId="427B4B00" w14:textId="77777777" w:rsidR="00316C24" w:rsidRDefault="00316C24" w:rsidP="00316C24">
      <w:pPr>
        <w:spacing w:before="240" w:after="240"/>
      </w:pPr>
      <w:r>
        <w:t xml:space="preserve">GORRIZ GOMEZ, B., “Modificación de la doctrina constitucional sobre la necesidad de interponer el incidente de nulidad de actuaciones con carácter previo al recurso de amparo (STC 216/2013, de 19 diciembre)”, </w:t>
      </w:r>
      <w:r w:rsidRPr="00176006">
        <w:rPr>
          <w:i/>
          <w:iCs/>
        </w:rPr>
        <w:t>Diario La Ley</w:t>
      </w:r>
      <w:r>
        <w:t>, núm. 8275, Sección Tribuna, 2014.</w:t>
      </w:r>
    </w:p>
    <w:p w14:paraId="0EF91C84" w14:textId="77777777" w:rsidR="00316C24" w:rsidRDefault="00316C24" w:rsidP="00316C24">
      <w:pPr>
        <w:spacing w:before="240" w:after="240"/>
      </w:pPr>
      <w:r w:rsidRPr="00B53B3E">
        <w:t xml:space="preserve">GUERRERO FERNÁNDEZ, P., “La nulidad de actuaciones en la Ley de Enjuiciamiento Civil”, </w:t>
      </w:r>
      <w:r w:rsidRPr="00B53B3E">
        <w:rPr>
          <w:i/>
          <w:iCs/>
        </w:rPr>
        <w:t>La Notaría – Boletín</w:t>
      </w:r>
      <w:r w:rsidRPr="00B53B3E">
        <w:t>, núm. 11, 2002</w:t>
      </w:r>
      <w:r>
        <w:t>.</w:t>
      </w:r>
    </w:p>
    <w:p w14:paraId="05C79B72" w14:textId="77777777" w:rsidR="00316C24" w:rsidRPr="00D21FAC" w:rsidRDefault="00316C24" w:rsidP="00316C24">
      <w:pPr>
        <w:spacing w:before="240" w:after="240"/>
        <w:rPr>
          <w:szCs w:val="24"/>
        </w:rPr>
      </w:pPr>
      <w:r w:rsidRPr="00D21FAC">
        <w:rPr>
          <w:szCs w:val="24"/>
        </w:rPr>
        <w:t>GUTIÉRREZ GIL, A., “Comentarios a los arts. 49 a 58 CE</w:t>
      </w:r>
      <w:r w:rsidRPr="009D61FE">
        <w:rPr>
          <w:szCs w:val="24"/>
        </w:rPr>
        <w:t xml:space="preserve">”, en AA. VV., Juan José González Rivas (Dir.), </w:t>
      </w:r>
      <w:r w:rsidRPr="009D61FE">
        <w:rPr>
          <w:i/>
          <w:szCs w:val="24"/>
        </w:rPr>
        <w:t>Comentarios a la Ley Orgánica del Tribunal Constitucional</w:t>
      </w:r>
      <w:r w:rsidRPr="009D61FE">
        <w:rPr>
          <w:szCs w:val="24"/>
        </w:rPr>
        <w:t>, Madrid, 2010.</w:t>
      </w:r>
    </w:p>
    <w:p w14:paraId="55A30D53" w14:textId="77777777" w:rsidR="00316C24" w:rsidRPr="00D21FAC" w:rsidRDefault="00316C24" w:rsidP="00316C24">
      <w:pPr>
        <w:spacing w:before="240" w:after="240"/>
        <w:rPr>
          <w:szCs w:val="24"/>
        </w:rPr>
      </w:pPr>
      <w:r w:rsidRPr="00D21FAC">
        <w:rPr>
          <w:szCs w:val="24"/>
        </w:rPr>
        <w:t xml:space="preserve">HERMOSILLA MARTÍN, R. “La tutela jurisdiccional de los derechos fundamentales; en especial, el Tribunal Constitucional. </w:t>
      </w:r>
      <w:proofErr w:type="gramStart"/>
      <w:r w:rsidRPr="00D21FAC">
        <w:rPr>
          <w:szCs w:val="24"/>
        </w:rPr>
        <w:t>Particular problemática</w:t>
      </w:r>
      <w:proofErr w:type="gramEnd"/>
      <w:r w:rsidRPr="00D21FAC">
        <w:rPr>
          <w:szCs w:val="24"/>
        </w:rPr>
        <w:t xml:space="preserve"> de la acreditación de la especial trascendencia del recurso de amparo com</w:t>
      </w:r>
      <w:r>
        <w:rPr>
          <w:szCs w:val="24"/>
        </w:rPr>
        <w:t>o presupuesto para su admisión”,</w:t>
      </w:r>
      <w:r w:rsidRPr="00D21FAC">
        <w:rPr>
          <w:szCs w:val="24"/>
        </w:rPr>
        <w:t xml:space="preserve"> </w:t>
      </w:r>
      <w:r>
        <w:rPr>
          <w:szCs w:val="24"/>
        </w:rPr>
        <w:t xml:space="preserve">en AA. VV., </w:t>
      </w:r>
      <w:r w:rsidRPr="00D21FAC">
        <w:rPr>
          <w:szCs w:val="24"/>
        </w:rPr>
        <w:t xml:space="preserve">Alfredo Montoya Melgar (Coord.), </w:t>
      </w:r>
      <w:r w:rsidRPr="00D21FAC">
        <w:rPr>
          <w:i/>
          <w:iCs/>
          <w:szCs w:val="24"/>
        </w:rPr>
        <w:t>Cuestiones actuales de la Jurisdicción en España. Tomo I. Real Academia de Jurisprudencia y Legislación</w:t>
      </w:r>
      <w:r w:rsidRPr="00D21FAC">
        <w:rPr>
          <w:szCs w:val="24"/>
        </w:rPr>
        <w:t>, Madrid. 2010.</w:t>
      </w:r>
    </w:p>
    <w:p w14:paraId="6B4309BC" w14:textId="77777777" w:rsidR="00316C24" w:rsidRPr="00497C84" w:rsidRDefault="00316C24" w:rsidP="00316C24">
      <w:pPr>
        <w:spacing w:before="240" w:after="240"/>
      </w:pPr>
      <w:r>
        <w:t xml:space="preserve">HERNÁNDEZ GALILEA, J. M., </w:t>
      </w:r>
      <w:r w:rsidRPr="00336FA1">
        <w:rPr>
          <w:i/>
          <w:iCs/>
        </w:rPr>
        <w:t>La nueva regulación de la nulidad procesal. El sistema de ineficacia de la LOPJ</w:t>
      </w:r>
      <w:r>
        <w:t>, Barcelona, 1995.</w:t>
      </w:r>
    </w:p>
    <w:p w14:paraId="05D9504F" w14:textId="77777777" w:rsidR="00316C24" w:rsidRPr="00D21FAC" w:rsidRDefault="00316C24" w:rsidP="00316C24">
      <w:pPr>
        <w:spacing w:before="240" w:after="240"/>
        <w:rPr>
          <w:szCs w:val="24"/>
        </w:rPr>
      </w:pPr>
      <w:r w:rsidRPr="00D21FAC">
        <w:rPr>
          <w:szCs w:val="24"/>
        </w:rPr>
        <w:t>HERNANDEZ RAMOS, M.,</w:t>
      </w:r>
      <w:r>
        <w:rPr>
          <w:szCs w:val="24"/>
        </w:rPr>
        <w:t xml:space="preserve"> </w:t>
      </w:r>
      <w:r w:rsidRPr="00D21FAC">
        <w:rPr>
          <w:szCs w:val="24"/>
        </w:rPr>
        <w:t xml:space="preserve">“¿Admisión discrecional de los recursos de amparo por el Tribunal Constitucional? Balance de cuatro años de aplicación del nuevo trámite de admisión.”, </w:t>
      </w:r>
      <w:r w:rsidRPr="008853A3">
        <w:rPr>
          <w:i/>
          <w:szCs w:val="24"/>
        </w:rPr>
        <w:t>Revista de las Cortes Generales</w:t>
      </w:r>
      <w:r w:rsidRPr="00D21FAC">
        <w:rPr>
          <w:szCs w:val="24"/>
        </w:rPr>
        <w:t>, n</w:t>
      </w:r>
      <w:r>
        <w:rPr>
          <w:szCs w:val="24"/>
        </w:rPr>
        <w:t>úm.</w:t>
      </w:r>
      <w:r w:rsidRPr="00D21FAC">
        <w:rPr>
          <w:szCs w:val="24"/>
        </w:rPr>
        <w:t xml:space="preserve"> 81, 2010</w:t>
      </w:r>
      <w:r>
        <w:rPr>
          <w:szCs w:val="24"/>
        </w:rPr>
        <w:t>.</w:t>
      </w:r>
    </w:p>
    <w:p w14:paraId="7CEAA676" w14:textId="77777777" w:rsidR="00316C24" w:rsidRDefault="00316C24" w:rsidP="00316C24">
      <w:pPr>
        <w:spacing w:before="240" w:after="240"/>
      </w:pPr>
      <w:r w:rsidRPr="00B0532D">
        <w:t xml:space="preserve">HERNÁNDEZ RAMOS, M., “El amparo constitucional. Doctrina y problemas actuales. La admisibilidad del recurso”, </w:t>
      </w:r>
      <w:r w:rsidRPr="00610EBF">
        <w:rPr>
          <w:i/>
        </w:rPr>
        <w:t>Lex,</w:t>
      </w:r>
      <w:r w:rsidRPr="00B0532D">
        <w:t xml:space="preserve"> núm. 1</w:t>
      </w:r>
      <w:r>
        <w:t>5, 2015.</w:t>
      </w:r>
    </w:p>
    <w:p w14:paraId="5100ECCF" w14:textId="77777777" w:rsidR="00316C24" w:rsidRPr="00D21FAC" w:rsidRDefault="00316C24" w:rsidP="00316C24">
      <w:pPr>
        <w:spacing w:before="240" w:after="240"/>
        <w:rPr>
          <w:szCs w:val="24"/>
        </w:rPr>
      </w:pPr>
      <w:r w:rsidRPr="00D21FAC">
        <w:rPr>
          <w:szCs w:val="24"/>
        </w:rPr>
        <w:t xml:space="preserve">HERNÁNDEZ RAMOS, M., </w:t>
      </w:r>
      <w:r w:rsidRPr="008853A3">
        <w:rPr>
          <w:szCs w:val="24"/>
        </w:rPr>
        <w:t xml:space="preserve">“El Tribunal Constitucional Federal Alemán aún en la encrucijada. Balance de medio siglo de reformas del trámite de admisión de la </w:t>
      </w:r>
      <w:proofErr w:type="spellStart"/>
      <w:r w:rsidRPr="008853A3">
        <w:rPr>
          <w:szCs w:val="24"/>
        </w:rPr>
        <w:t>Verfassungsbeschwerde</w:t>
      </w:r>
      <w:proofErr w:type="spellEnd"/>
      <w:r w:rsidRPr="008853A3">
        <w:rPr>
          <w:szCs w:val="24"/>
        </w:rPr>
        <w:t xml:space="preserve">”, </w:t>
      </w:r>
      <w:r w:rsidRPr="008853A3">
        <w:rPr>
          <w:i/>
          <w:szCs w:val="24"/>
        </w:rPr>
        <w:t>Revista Española de Derecho Constitucional</w:t>
      </w:r>
      <w:r>
        <w:rPr>
          <w:szCs w:val="24"/>
        </w:rPr>
        <w:t>, núm. 88, 2010.</w:t>
      </w:r>
    </w:p>
    <w:p w14:paraId="2B89A96D" w14:textId="77777777" w:rsidR="00316C24" w:rsidRDefault="00316C24" w:rsidP="00316C24">
      <w:pPr>
        <w:spacing w:before="240" w:after="240"/>
      </w:pPr>
      <w:r w:rsidRPr="00B0532D">
        <w:lastRenderedPageBreak/>
        <w:t xml:space="preserve">HERNÁNDEZ RAMOS, M., “Incertidumbre jurídica del recurrente en amparo en España. La mejorable interpretación del Tribunal Constitucional español del nuevo trámite de admisión”, en </w:t>
      </w:r>
      <w:r>
        <w:t xml:space="preserve">AA. VV., Pedro Paulino </w:t>
      </w:r>
      <w:proofErr w:type="spellStart"/>
      <w:r>
        <w:t>Grandez</w:t>
      </w:r>
      <w:proofErr w:type="spellEnd"/>
      <w:r>
        <w:t xml:space="preserve"> Castro </w:t>
      </w:r>
      <w:r w:rsidRPr="00B0532D">
        <w:t xml:space="preserve">(Coord.), </w:t>
      </w:r>
      <w:r w:rsidRPr="00610EBF">
        <w:rPr>
          <w:i/>
        </w:rPr>
        <w:t>El debate en torno a los límites al recurso de agravio constitucional,</w:t>
      </w:r>
      <w:r>
        <w:t xml:space="preserve"> Lima, 2015.</w:t>
      </w:r>
    </w:p>
    <w:p w14:paraId="5B358779" w14:textId="77777777" w:rsidR="00316C24" w:rsidRDefault="00316C24" w:rsidP="00316C24">
      <w:pPr>
        <w:spacing w:before="240" w:after="240"/>
      </w:pPr>
      <w:r w:rsidRPr="00B0532D">
        <w:t xml:space="preserve">HERNÁNDEZ RAMOS, M., </w:t>
      </w:r>
      <w:r w:rsidRPr="008853A3">
        <w:t xml:space="preserve">“Incumplimiento de la buena administración de justicia del Tribunal Constitucional en la admisión del recurso de amparo. El caso Arribas Antón vs. España del TEDH”, </w:t>
      </w:r>
      <w:r w:rsidRPr="008853A3">
        <w:rPr>
          <w:i/>
        </w:rPr>
        <w:t>Revista Española de Derecho Constitucional</w:t>
      </w:r>
      <w:r>
        <w:t>, núm. 108, 2016.</w:t>
      </w:r>
    </w:p>
    <w:p w14:paraId="2F9B14BC" w14:textId="77777777" w:rsidR="00316C24" w:rsidRDefault="00316C24" w:rsidP="00316C24">
      <w:pPr>
        <w:spacing w:before="240" w:after="240"/>
        <w:rPr>
          <w:szCs w:val="24"/>
        </w:rPr>
      </w:pPr>
      <w:r w:rsidRPr="00D21FAC">
        <w:rPr>
          <w:szCs w:val="24"/>
        </w:rPr>
        <w:t xml:space="preserve">HERNÁNDEZ RAMOS, M., “La especial trascendencia constitucional del recurso de amparo y su aplicación en la Jurisprudencia del Tribunal Constitucional. Luces y sombras de cuatro años de actividad”, </w:t>
      </w:r>
      <w:r w:rsidRPr="00C02933">
        <w:rPr>
          <w:i/>
          <w:szCs w:val="24"/>
        </w:rPr>
        <w:t>Revista Aranzadi Doctrinal</w:t>
      </w:r>
      <w:r>
        <w:rPr>
          <w:szCs w:val="24"/>
        </w:rPr>
        <w:t>, núm. 3, 2011.</w:t>
      </w:r>
    </w:p>
    <w:p w14:paraId="6B7739B9" w14:textId="77777777" w:rsidR="00316C24" w:rsidRPr="008853A3" w:rsidRDefault="00316C24" w:rsidP="00316C24">
      <w:pPr>
        <w:spacing w:before="240" w:after="240"/>
        <w:rPr>
          <w:szCs w:val="24"/>
        </w:rPr>
      </w:pPr>
      <w:r w:rsidRPr="00D21FAC">
        <w:rPr>
          <w:szCs w:val="24"/>
        </w:rPr>
        <w:t>HERNANDEZ RAMOS, M.,</w:t>
      </w:r>
      <w:r>
        <w:rPr>
          <w:szCs w:val="24"/>
        </w:rPr>
        <w:t xml:space="preserve"> </w:t>
      </w:r>
      <w:r w:rsidRPr="008853A3">
        <w:rPr>
          <w:szCs w:val="24"/>
        </w:rPr>
        <w:t xml:space="preserve">“La paulatina discrecionalidad y objetivación de la jurisdicción del Tribunal Supremo Federal de los Estados Unidos: el criterio de la importancia en la apelación y en el </w:t>
      </w:r>
      <w:proofErr w:type="spellStart"/>
      <w:r w:rsidRPr="008853A3">
        <w:rPr>
          <w:szCs w:val="24"/>
        </w:rPr>
        <w:t>writ</w:t>
      </w:r>
      <w:proofErr w:type="spellEnd"/>
      <w:r w:rsidRPr="008853A3">
        <w:rPr>
          <w:szCs w:val="24"/>
        </w:rPr>
        <w:t xml:space="preserve"> </w:t>
      </w:r>
      <w:proofErr w:type="spellStart"/>
      <w:r w:rsidRPr="008853A3">
        <w:rPr>
          <w:szCs w:val="24"/>
        </w:rPr>
        <w:t>of</w:t>
      </w:r>
      <w:proofErr w:type="spellEnd"/>
      <w:r w:rsidRPr="008853A3">
        <w:rPr>
          <w:szCs w:val="24"/>
        </w:rPr>
        <w:t xml:space="preserve"> </w:t>
      </w:r>
      <w:proofErr w:type="spellStart"/>
      <w:r w:rsidRPr="008853A3">
        <w:rPr>
          <w:szCs w:val="24"/>
        </w:rPr>
        <w:t>certiorari</w:t>
      </w:r>
      <w:proofErr w:type="spellEnd"/>
      <w:r w:rsidRPr="008853A3">
        <w:rPr>
          <w:i/>
          <w:szCs w:val="24"/>
        </w:rPr>
        <w:t>”, Cuadernos de Derecho Público</w:t>
      </w:r>
      <w:r w:rsidRPr="008853A3">
        <w:rPr>
          <w:szCs w:val="24"/>
        </w:rPr>
        <w:t>, n</w:t>
      </w:r>
      <w:r>
        <w:rPr>
          <w:szCs w:val="24"/>
        </w:rPr>
        <w:t>úm. 33, 2008</w:t>
      </w:r>
      <w:r w:rsidRPr="008853A3">
        <w:rPr>
          <w:szCs w:val="24"/>
        </w:rPr>
        <w:t>.</w:t>
      </w:r>
    </w:p>
    <w:p w14:paraId="57EE6EB5" w14:textId="77777777" w:rsidR="00316C24" w:rsidRDefault="00316C24" w:rsidP="00316C24">
      <w:pPr>
        <w:spacing w:before="240" w:after="240"/>
        <w:rPr>
          <w:szCs w:val="24"/>
        </w:rPr>
      </w:pPr>
      <w:r w:rsidRPr="00D21FAC">
        <w:rPr>
          <w:szCs w:val="24"/>
        </w:rPr>
        <w:t>HERNANDEZ RAMOS, M.,</w:t>
      </w:r>
      <w:r>
        <w:rPr>
          <w:szCs w:val="24"/>
        </w:rPr>
        <w:t xml:space="preserve"> </w:t>
      </w:r>
      <w:r w:rsidRPr="00D21FAC">
        <w:rPr>
          <w:szCs w:val="24"/>
        </w:rPr>
        <w:t xml:space="preserve">“Propuesta de desarrollo del nuevo trámite de admisión del Recurso de Amparo: aspectos materiales y procedimentales”, </w:t>
      </w:r>
      <w:r w:rsidRPr="008853A3">
        <w:rPr>
          <w:i/>
          <w:szCs w:val="24"/>
        </w:rPr>
        <w:t>Revista de las Cortes Generales</w:t>
      </w:r>
      <w:r>
        <w:rPr>
          <w:szCs w:val="24"/>
        </w:rPr>
        <w:t>, núm. 73, 2008.</w:t>
      </w:r>
    </w:p>
    <w:p w14:paraId="711A035F" w14:textId="77777777" w:rsidR="00316C24" w:rsidRPr="00FB1B70" w:rsidRDefault="00316C24" w:rsidP="00316C24">
      <w:pPr>
        <w:spacing w:before="240" w:after="240"/>
        <w:rPr>
          <w:lang w:val="en-US"/>
        </w:rPr>
      </w:pPr>
      <w:r w:rsidRPr="008853A3">
        <w:rPr>
          <w:lang w:val="en-US"/>
        </w:rPr>
        <w:t xml:space="preserve">HERNÁNDEZ RAMOS, M., “The collapse of the constitutional courts in protecting fundamental rights. The European Court of Human Rights in comparative perspective”, </w:t>
      </w:r>
      <w:proofErr w:type="spellStart"/>
      <w:r w:rsidRPr="008853A3">
        <w:rPr>
          <w:lang w:val="en-US"/>
        </w:rPr>
        <w:t>en</w:t>
      </w:r>
      <w:proofErr w:type="spellEnd"/>
      <w:r w:rsidRPr="008853A3">
        <w:rPr>
          <w:lang w:val="en-US"/>
        </w:rPr>
        <w:t xml:space="preserve"> AA. VV., Luis Ignacio Gordillo Pérez. (Coord.), </w:t>
      </w:r>
      <w:r w:rsidRPr="008853A3">
        <w:rPr>
          <w:i/>
          <w:lang w:val="en-US"/>
        </w:rPr>
        <w:t xml:space="preserve">Constitutionalism of European Supranational Courts. </w:t>
      </w:r>
      <w:r w:rsidRPr="00FB1B70">
        <w:rPr>
          <w:i/>
          <w:lang w:val="en-US"/>
        </w:rPr>
        <w:t>Recent developments and challenges</w:t>
      </w:r>
      <w:r w:rsidRPr="00FB1B70">
        <w:rPr>
          <w:lang w:val="en-US"/>
        </w:rPr>
        <w:t xml:space="preserve">, </w:t>
      </w:r>
      <w:proofErr w:type="spellStart"/>
      <w:r w:rsidRPr="00FB1B70">
        <w:rPr>
          <w:lang w:val="en-US"/>
        </w:rPr>
        <w:t>España</w:t>
      </w:r>
      <w:proofErr w:type="spellEnd"/>
      <w:r w:rsidRPr="00FB1B70">
        <w:rPr>
          <w:lang w:val="en-US"/>
        </w:rPr>
        <w:t xml:space="preserve">, 2015. </w:t>
      </w:r>
    </w:p>
    <w:p w14:paraId="0E0049C0" w14:textId="77777777" w:rsidR="00316C24" w:rsidRPr="00D21FAC" w:rsidRDefault="00316C24" w:rsidP="00316C24">
      <w:pPr>
        <w:spacing w:before="240" w:after="240"/>
        <w:rPr>
          <w:szCs w:val="24"/>
        </w:rPr>
      </w:pPr>
      <w:r w:rsidRPr="00D21FAC">
        <w:rPr>
          <w:szCs w:val="24"/>
        </w:rPr>
        <w:t xml:space="preserve">HERNÁNDEZ RAMOS, M., </w:t>
      </w:r>
      <w:r w:rsidRPr="00D21FAC">
        <w:rPr>
          <w:i/>
          <w:iCs/>
          <w:szCs w:val="24"/>
        </w:rPr>
        <w:t>El nuevo trámite de admisión del recurso de amparo constitucional</w:t>
      </w:r>
      <w:r w:rsidRPr="00D21FAC">
        <w:rPr>
          <w:szCs w:val="24"/>
        </w:rPr>
        <w:t>, Madrid, 2009.</w:t>
      </w:r>
    </w:p>
    <w:p w14:paraId="3C1A1681" w14:textId="77777777" w:rsidR="00316C24" w:rsidRPr="00B0532D" w:rsidRDefault="00316C24" w:rsidP="00316C24">
      <w:pPr>
        <w:spacing w:before="240" w:after="240"/>
      </w:pPr>
      <w:r w:rsidRPr="00B0532D">
        <w:t xml:space="preserve">HERRERA GARCÍA, A., </w:t>
      </w:r>
      <w:r>
        <w:t>“</w:t>
      </w:r>
      <w:r w:rsidRPr="00B0532D">
        <w:t>La reforma del recurso de amparo en la Ley Orgánica del Tribunal Constitucional Español: Perspectivas de su funcionalidad antes las leyes</w:t>
      </w:r>
      <w:r>
        <w:t>”</w:t>
      </w:r>
      <w:r w:rsidRPr="00B0532D">
        <w:t xml:space="preserve">, </w:t>
      </w:r>
      <w:r w:rsidRPr="00610EBF">
        <w:rPr>
          <w:i/>
        </w:rPr>
        <w:t>Instituto de Investigaciones Jurídicas de la UNAM</w:t>
      </w:r>
      <w:r w:rsidRPr="00B0532D">
        <w:t>, Instituto Iberoamericano de Derecho Co</w:t>
      </w:r>
      <w:r>
        <w:t>nstitucional, 2013</w:t>
      </w:r>
    </w:p>
    <w:p w14:paraId="4FDE1ED7" w14:textId="77777777" w:rsidR="00316C24" w:rsidRPr="00827EB4" w:rsidRDefault="00316C24" w:rsidP="00316C24">
      <w:pPr>
        <w:spacing w:before="240" w:after="240"/>
        <w:rPr>
          <w:szCs w:val="24"/>
        </w:rPr>
      </w:pPr>
      <w:r w:rsidRPr="00827EB4">
        <w:rPr>
          <w:szCs w:val="24"/>
        </w:rPr>
        <w:t xml:space="preserve">HESSE, CONRADO, «Estadios en la historia de la jurisdicción constitucional alemana», </w:t>
      </w:r>
      <w:r w:rsidRPr="00827EB4">
        <w:rPr>
          <w:i/>
          <w:szCs w:val="24"/>
        </w:rPr>
        <w:t xml:space="preserve">UNED. Teoría y realidad Constitucional, </w:t>
      </w:r>
      <w:r w:rsidRPr="00827EB4">
        <w:rPr>
          <w:szCs w:val="24"/>
        </w:rPr>
        <w:t>núm. 1,</w:t>
      </w:r>
      <w:r>
        <w:rPr>
          <w:szCs w:val="24"/>
        </w:rPr>
        <w:t>1998.</w:t>
      </w:r>
    </w:p>
    <w:p w14:paraId="1751FEFE" w14:textId="77777777" w:rsidR="00316C24" w:rsidRDefault="00316C24" w:rsidP="00316C24">
      <w:pPr>
        <w:pStyle w:val="texto"/>
        <w:spacing w:before="240" w:after="240" w:afterAutospacing="0"/>
        <w:ind w:firstLine="0"/>
        <w:rPr>
          <w:rFonts w:ascii="Times New Roman" w:hAnsi="Times New Roman"/>
          <w:szCs w:val="24"/>
        </w:rPr>
      </w:pPr>
      <w:r w:rsidRPr="00887623">
        <w:rPr>
          <w:rFonts w:ascii="Times New Roman" w:hAnsi="Times New Roman"/>
          <w:szCs w:val="24"/>
        </w:rPr>
        <w:lastRenderedPageBreak/>
        <w:t xml:space="preserve">JIMÉNEZ CAMPO, J., “Protección de los derechos fundamentales: artículo 53”, </w:t>
      </w:r>
      <w:r w:rsidRPr="00887623">
        <w:rPr>
          <w:rFonts w:ascii="Times New Roman" w:hAnsi="Times New Roman"/>
          <w:i/>
          <w:szCs w:val="24"/>
        </w:rPr>
        <w:t>Comentarios a la Constitución española de 1978</w:t>
      </w:r>
      <w:r w:rsidRPr="00887623">
        <w:rPr>
          <w:rFonts w:ascii="Times New Roman" w:hAnsi="Times New Roman"/>
          <w:szCs w:val="24"/>
        </w:rPr>
        <w:t xml:space="preserve">, en AAVV, Óscar Alzaga </w:t>
      </w:r>
      <w:proofErr w:type="spellStart"/>
      <w:r w:rsidRPr="00887623">
        <w:rPr>
          <w:rFonts w:ascii="Times New Roman" w:hAnsi="Times New Roman"/>
          <w:szCs w:val="24"/>
        </w:rPr>
        <w:t>Villa</w:t>
      </w:r>
      <w:r>
        <w:rPr>
          <w:rFonts w:ascii="Times New Roman" w:hAnsi="Times New Roman"/>
          <w:szCs w:val="24"/>
        </w:rPr>
        <w:t>amil</w:t>
      </w:r>
      <w:proofErr w:type="spellEnd"/>
      <w:r>
        <w:rPr>
          <w:rFonts w:ascii="Times New Roman" w:hAnsi="Times New Roman"/>
          <w:szCs w:val="24"/>
        </w:rPr>
        <w:t xml:space="preserve"> (Dir.), Madrid, 1996-1999.</w:t>
      </w:r>
    </w:p>
    <w:p w14:paraId="3FB0046E" w14:textId="77777777" w:rsidR="00316C24" w:rsidRPr="00B0532D" w:rsidRDefault="00316C24" w:rsidP="00316C24">
      <w:pPr>
        <w:spacing w:before="240" w:after="240"/>
      </w:pPr>
      <w:r w:rsidRPr="00B0532D">
        <w:t xml:space="preserve">JIMÉNEZ CONDE, F., </w:t>
      </w:r>
      <w:r>
        <w:t>“</w:t>
      </w:r>
      <w:r w:rsidRPr="00B0532D">
        <w:t>Problemas actuales del recurso de amparo</w:t>
      </w:r>
      <w:r>
        <w:t>”</w:t>
      </w:r>
      <w:r w:rsidRPr="00B0532D">
        <w:t xml:space="preserve">, </w:t>
      </w:r>
      <w:r>
        <w:t xml:space="preserve">en </w:t>
      </w:r>
      <w:r w:rsidRPr="00B0532D">
        <w:t xml:space="preserve">VV. AA. </w:t>
      </w:r>
      <w:r w:rsidRPr="00610EBF">
        <w:rPr>
          <w:i/>
        </w:rPr>
        <w:t>Anuario de Derecho Constitucional y Parlamentario</w:t>
      </w:r>
      <w:r>
        <w:t>, núm. 2, 1990.</w:t>
      </w:r>
    </w:p>
    <w:p w14:paraId="5EA6C59A" w14:textId="77777777" w:rsidR="00316C24" w:rsidRPr="00AE135E" w:rsidRDefault="00316C24" w:rsidP="00316C24">
      <w:pPr>
        <w:pStyle w:val="Textonotapie"/>
        <w:spacing w:before="240" w:after="240"/>
        <w:rPr>
          <w:szCs w:val="24"/>
        </w:rPr>
      </w:pPr>
      <w:r>
        <w:rPr>
          <w:szCs w:val="24"/>
        </w:rPr>
        <w:t>JIMÉNEZ DE PARGA, CABRERA, M., “</w:t>
      </w:r>
      <w:r w:rsidRPr="00AE135E">
        <w:rPr>
          <w:szCs w:val="24"/>
        </w:rPr>
        <w:t>Veintitrés años de jurisprudencia del Tribunal Constitucional sobre derechos fundamentales</w:t>
      </w:r>
      <w:r>
        <w:rPr>
          <w:szCs w:val="24"/>
        </w:rPr>
        <w:t>”</w:t>
      </w:r>
      <w:r w:rsidRPr="00AE135E">
        <w:rPr>
          <w:szCs w:val="24"/>
        </w:rPr>
        <w:t xml:space="preserve">, </w:t>
      </w:r>
      <w:r w:rsidRPr="005675EB">
        <w:rPr>
          <w:i/>
          <w:szCs w:val="24"/>
        </w:rPr>
        <w:t>UNED</w:t>
      </w:r>
      <w:r w:rsidRPr="00AE135E">
        <w:rPr>
          <w:szCs w:val="24"/>
        </w:rPr>
        <w:t xml:space="preserve">. </w:t>
      </w:r>
      <w:r w:rsidRPr="00AE135E">
        <w:rPr>
          <w:i/>
          <w:szCs w:val="24"/>
        </w:rPr>
        <w:t xml:space="preserve">Revista de Derecho Político, </w:t>
      </w:r>
      <w:r w:rsidRPr="005675EB">
        <w:rPr>
          <w:i/>
          <w:szCs w:val="24"/>
        </w:rPr>
        <w:t>Número monográfico. Balance de la Constitución en su XXV aniversario</w:t>
      </w:r>
      <w:r>
        <w:rPr>
          <w:szCs w:val="24"/>
        </w:rPr>
        <w:t>, núm. 58-59, 2003.</w:t>
      </w:r>
    </w:p>
    <w:p w14:paraId="3EF79663" w14:textId="77777777" w:rsidR="00316C24" w:rsidRPr="00827EB4" w:rsidRDefault="00316C24" w:rsidP="00316C24">
      <w:pPr>
        <w:spacing w:before="240" w:after="240"/>
        <w:rPr>
          <w:szCs w:val="24"/>
        </w:rPr>
      </w:pPr>
      <w:r>
        <w:rPr>
          <w:szCs w:val="24"/>
        </w:rPr>
        <w:t>JOACHIM FALLER, H., “</w:t>
      </w:r>
      <w:r w:rsidRPr="00827EB4">
        <w:rPr>
          <w:szCs w:val="24"/>
        </w:rPr>
        <w:t>Cuarenta años del Tribunal Constitucional Federal Alemán</w:t>
      </w:r>
      <w:r>
        <w:rPr>
          <w:szCs w:val="24"/>
        </w:rPr>
        <w:t>”</w:t>
      </w:r>
      <w:r w:rsidRPr="00827EB4">
        <w:rPr>
          <w:szCs w:val="24"/>
        </w:rPr>
        <w:t xml:space="preserve">, </w:t>
      </w:r>
      <w:r w:rsidRPr="00827EB4">
        <w:rPr>
          <w:i/>
          <w:szCs w:val="24"/>
        </w:rPr>
        <w:t xml:space="preserve">Revista Española de Derecho Constitucional, </w:t>
      </w:r>
      <w:r>
        <w:rPr>
          <w:szCs w:val="24"/>
        </w:rPr>
        <w:t>n</w:t>
      </w:r>
      <w:r w:rsidRPr="00827EB4">
        <w:rPr>
          <w:szCs w:val="24"/>
        </w:rPr>
        <w:t>úm.</w:t>
      </w:r>
      <w:r>
        <w:rPr>
          <w:szCs w:val="24"/>
        </w:rPr>
        <w:t xml:space="preserve"> 34, 1992.</w:t>
      </w:r>
    </w:p>
    <w:p w14:paraId="3B512DF4" w14:textId="77777777" w:rsidR="00316C24" w:rsidRDefault="00316C24" w:rsidP="00316C24">
      <w:pPr>
        <w:spacing w:before="240" w:after="240"/>
      </w:pPr>
      <w:r>
        <w:t xml:space="preserve">LEDESMA, P., “La nulidad de actuaciones”, </w:t>
      </w:r>
      <w:r w:rsidRPr="009D61FE">
        <w:t xml:space="preserve">en AA.VV., R. Bustos Gisbert, M. Fernández de Frutos y E. </w:t>
      </w:r>
      <w:proofErr w:type="spellStart"/>
      <w:r w:rsidRPr="009D61FE">
        <w:t>Fossas</w:t>
      </w:r>
      <w:proofErr w:type="spellEnd"/>
      <w:r w:rsidRPr="009D61FE">
        <w:t xml:space="preserve"> </w:t>
      </w:r>
      <w:proofErr w:type="spellStart"/>
      <w:r w:rsidRPr="009D61FE">
        <w:t>Espalader</w:t>
      </w:r>
      <w:proofErr w:type="spellEnd"/>
      <w:r w:rsidRPr="009D61FE">
        <w:t xml:space="preserve"> (Dir.), </w:t>
      </w:r>
      <w:r w:rsidRPr="009D61FE">
        <w:rPr>
          <w:i/>
        </w:rPr>
        <w:t>La protección jurisdiccional de los derechos,</w:t>
      </w:r>
      <w:r w:rsidRPr="009D61FE">
        <w:t xml:space="preserve"> </w:t>
      </w:r>
      <w:r w:rsidRPr="009D61FE">
        <w:rPr>
          <w:i/>
          <w:iCs/>
        </w:rPr>
        <w:t>Actas del XI Congreso de la Asociación de Constitucionalistas de España,</w:t>
      </w:r>
      <w:r w:rsidRPr="009D61FE">
        <w:t xml:space="preserve"> Valencia, 2015.</w:t>
      </w:r>
    </w:p>
    <w:p w14:paraId="345CC940"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LÓPEZ PIETSCH, P</w:t>
      </w:r>
      <w:r>
        <w:rPr>
          <w:rFonts w:ascii="Times New Roman" w:hAnsi="Times New Roman"/>
          <w:szCs w:val="24"/>
        </w:rPr>
        <w:t>., “</w:t>
      </w:r>
      <w:r w:rsidRPr="00827EB4">
        <w:rPr>
          <w:rFonts w:ascii="Times New Roman" w:hAnsi="Times New Roman"/>
          <w:szCs w:val="24"/>
        </w:rPr>
        <w:t>Objetivar el recurso de amparo: Las recomendaciones de la Comi</w:t>
      </w:r>
      <w:r>
        <w:rPr>
          <w:rFonts w:ascii="Times New Roman" w:hAnsi="Times New Roman"/>
          <w:szCs w:val="24"/>
        </w:rPr>
        <w:t xml:space="preserve">sión </w:t>
      </w:r>
      <w:proofErr w:type="spellStart"/>
      <w:r>
        <w:rPr>
          <w:rFonts w:ascii="Times New Roman" w:hAnsi="Times New Roman"/>
          <w:szCs w:val="24"/>
        </w:rPr>
        <w:t>Benda</w:t>
      </w:r>
      <w:proofErr w:type="spellEnd"/>
      <w:r>
        <w:rPr>
          <w:rFonts w:ascii="Times New Roman" w:hAnsi="Times New Roman"/>
          <w:szCs w:val="24"/>
        </w:rPr>
        <w:t xml:space="preserve"> y el debate español”,</w:t>
      </w:r>
      <w:r w:rsidRPr="00827EB4">
        <w:rPr>
          <w:rFonts w:ascii="Times New Roman" w:hAnsi="Times New Roman"/>
          <w:szCs w:val="24"/>
        </w:rPr>
        <w:t xml:space="preserve"> </w:t>
      </w:r>
      <w:r w:rsidRPr="00827EB4">
        <w:rPr>
          <w:rFonts w:ascii="Times New Roman" w:hAnsi="Times New Roman"/>
          <w:i/>
          <w:szCs w:val="24"/>
        </w:rPr>
        <w:t>Revista Española de Derecho constitucional</w:t>
      </w:r>
      <w:r>
        <w:rPr>
          <w:rFonts w:ascii="Times New Roman" w:hAnsi="Times New Roman"/>
          <w:szCs w:val="24"/>
        </w:rPr>
        <w:t xml:space="preserve">, núm. 53,1998, </w:t>
      </w:r>
    </w:p>
    <w:p w14:paraId="66A16D65" w14:textId="77777777" w:rsidR="00316C24" w:rsidRPr="00D21FAC" w:rsidRDefault="00316C24" w:rsidP="00316C24">
      <w:pPr>
        <w:spacing w:before="240" w:after="240"/>
        <w:rPr>
          <w:szCs w:val="24"/>
        </w:rPr>
      </w:pPr>
      <w:r w:rsidRPr="00D21FAC">
        <w:rPr>
          <w:szCs w:val="24"/>
        </w:rPr>
        <w:t xml:space="preserve">LÓPEZ ULLA, J.M.: “La especial trascendencia constitucional del recurso de amparo en España”, en </w:t>
      </w:r>
      <w:r>
        <w:rPr>
          <w:szCs w:val="24"/>
        </w:rPr>
        <w:t xml:space="preserve">AA.VV., </w:t>
      </w:r>
      <w:r w:rsidRPr="005675EB">
        <w:rPr>
          <w:i/>
          <w:szCs w:val="24"/>
        </w:rPr>
        <w:t>Derechos Humanos y Orden Constitucional en Iberoamérica</w:t>
      </w:r>
      <w:r>
        <w:rPr>
          <w:szCs w:val="24"/>
        </w:rPr>
        <w:t>,</w:t>
      </w:r>
      <w:r w:rsidRPr="00D21FAC">
        <w:rPr>
          <w:szCs w:val="24"/>
        </w:rPr>
        <w:t xml:space="preserve"> Navarra, 2011.</w:t>
      </w:r>
    </w:p>
    <w:p w14:paraId="59EEB107" w14:textId="77777777" w:rsidR="00316C24" w:rsidRDefault="00316C24" w:rsidP="00316C24">
      <w:pPr>
        <w:spacing w:before="240" w:after="240"/>
      </w:pPr>
      <w:r>
        <w:t xml:space="preserve">LOURIDO RICO, A. M., </w:t>
      </w:r>
      <w:r w:rsidRPr="00176006">
        <w:rPr>
          <w:i/>
          <w:iCs/>
        </w:rPr>
        <w:t>La nulidad de actuaciones: una perspectiva procesal</w:t>
      </w:r>
      <w:r>
        <w:t xml:space="preserve">, Granada, 2004. </w:t>
      </w:r>
    </w:p>
    <w:p w14:paraId="350A449E" w14:textId="77777777" w:rsidR="00316C24" w:rsidRDefault="00316C24" w:rsidP="00316C24">
      <w:pPr>
        <w:spacing w:before="240" w:after="240"/>
      </w:pPr>
      <w:r>
        <w:t>LOZANO CUTANDA B., CORDÓN MORENO, F., "</w:t>
      </w:r>
      <w:proofErr w:type="spellStart"/>
      <w:r>
        <w:t>Overruling</w:t>
      </w:r>
      <w:proofErr w:type="spellEnd"/>
      <w:r>
        <w:t xml:space="preserve"> de la jurisprudencia constitucional sobre el requisito de interponer el incidente de nulidad de actuaciones con carácter previo al recurso de amparo (STC 216/2013)", </w:t>
      </w:r>
      <w:r>
        <w:rPr>
          <w:i/>
        </w:rPr>
        <w:t>Diario La Ley,</w:t>
      </w:r>
      <w:r>
        <w:t xml:space="preserve"> núm.</w:t>
      </w:r>
      <w:r w:rsidRPr="005675EB">
        <w:t xml:space="preserve"> 8249</w:t>
      </w:r>
      <w:r>
        <w:t>, 2014.</w:t>
      </w:r>
    </w:p>
    <w:p w14:paraId="65F72A87" w14:textId="77777777" w:rsidR="00316C24" w:rsidRDefault="00316C24" w:rsidP="00316C24">
      <w:pPr>
        <w:spacing w:before="240" w:after="240"/>
      </w:pPr>
      <w:r w:rsidRPr="005B1708">
        <w:t xml:space="preserve">LOZANO GAGO, M. L., “La objetivación del recurso de amparo”, </w:t>
      </w:r>
      <w:r w:rsidRPr="005B1708">
        <w:rPr>
          <w:i/>
        </w:rPr>
        <w:t>Diario La Ley</w:t>
      </w:r>
      <w:r w:rsidRPr="005B1708">
        <w:t xml:space="preserve">, núm. 8411, Sección Tribuna, </w:t>
      </w:r>
      <w:r>
        <w:t>2014.</w:t>
      </w:r>
    </w:p>
    <w:p w14:paraId="562761AC" w14:textId="77777777" w:rsidR="00316C2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lastRenderedPageBreak/>
        <w:t>LOZANO MIRALLES, J., “</w:t>
      </w:r>
      <w:r w:rsidRPr="00827EB4">
        <w:rPr>
          <w:rFonts w:ascii="Times New Roman" w:hAnsi="Times New Roman"/>
          <w:szCs w:val="24"/>
        </w:rPr>
        <w:t>El recurso de amparo ante el Tribunal Constitucional Español. Análisis de la problemática del juicio de admisión: la denomina</w:t>
      </w:r>
      <w:r>
        <w:rPr>
          <w:rFonts w:ascii="Times New Roman" w:hAnsi="Times New Roman"/>
          <w:szCs w:val="24"/>
        </w:rPr>
        <w:t>da trascendencia constitucional”</w:t>
      </w:r>
      <w:r w:rsidRPr="00827EB4">
        <w:rPr>
          <w:rFonts w:ascii="Times New Roman" w:hAnsi="Times New Roman"/>
          <w:szCs w:val="24"/>
        </w:rPr>
        <w:t xml:space="preserve">, en AAVV, </w:t>
      </w:r>
      <w:proofErr w:type="spellStart"/>
      <w:r w:rsidRPr="00827EB4">
        <w:rPr>
          <w:rFonts w:ascii="Times New Roman" w:hAnsi="Times New Roman"/>
          <w:i/>
          <w:szCs w:val="24"/>
        </w:rPr>
        <w:t>Genesi</w:t>
      </w:r>
      <w:proofErr w:type="spellEnd"/>
      <w:r w:rsidRPr="00827EB4">
        <w:rPr>
          <w:rFonts w:ascii="Times New Roman" w:hAnsi="Times New Roman"/>
          <w:i/>
          <w:szCs w:val="24"/>
        </w:rPr>
        <w:t xml:space="preserve"> </w:t>
      </w:r>
      <w:proofErr w:type="spellStart"/>
      <w:r w:rsidRPr="00827EB4">
        <w:rPr>
          <w:rFonts w:ascii="Times New Roman" w:hAnsi="Times New Roman"/>
          <w:i/>
          <w:szCs w:val="24"/>
        </w:rPr>
        <w:t>ed</w:t>
      </w:r>
      <w:proofErr w:type="spellEnd"/>
      <w:r w:rsidRPr="00827EB4">
        <w:rPr>
          <w:rFonts w:ascii="Times New Roman" w:hAnsi="Times New Roman"/>
          <w:i/>
          <w:szCs w:val="24"/>
        </w:rPr>
        <w:t xml:space="preserve"> </w:t>
      </w:r>
      <w:proofErr w:type="spellStart"/>
      <w:r w:rsidRPr="00827EB4">
        <w:rPr>
          <w:rFonts w:ascii="Times New Roman" w:hAnsi="Times New Roman"/>
          <w:i/>
          <w:szCs w:val="24"/>
        </w:rPr>
        <w:t>evoluzione</w:t>
      </w:r>
      <w:proofErr w:type="spellEnd"/>
      <w:r w:rsidRPr="00827EB4">
        <w:rPr>
          <w:rFonts w:ascii="Times New Roman" w:hAnsi="Times New Roman"/>
          <w:i/>
          <w:szCs w:val="24"/>
        </w:rPr>
        <w:t xml:space="preserve"> </w:t>
      </w:r>
      <w:proofErr w:type="spellStart"/>
      <w:r w:rsidRPr="00827EB4">
        <w:rPr>
          <w:rFonts w:ascii="Times New Roman" w:hAnsi="Times New Roman"/>
          <w:i/>
          <w:szCs w:val="24"/>
        </w:rPr>
        <w:t>dei</w:t>
      </w:r>
      <w:proofErr w:type="spellEnd"/>
      <w:r w:rsidRPr="00827EB4">
        <w:rPr>
          <w:rFonts w:ascii="Times New Roman" w:hAnsi="Times New Roman"/>
          <w:i/>
          <w:szCs w:val="24"/>
        </w:rPr>
        <w:t xml:space="preserve"> sistema di </w:t>
      </w:r>
      <w:proofErr w:type="spellStart"/>
      <w:r w:rsidRPr="00827EB4">
        <w:rPr>
          <w:rFonts w:ascii="Times New Roman" w:hAnsi="Times New Roman"/>
          <w:i/>
          <w:szCs w:val="24"/>
        </w:rPr>
        <w:t>giustizia</w:t>
      </w:r>
      <w:proofErr w:type="spellEnd"/>
      <w:r w:rsidRPr="00827EB4">
        <w:rPr>
          <w:rFonts w:ascii="Times New Roman" w:hAnsi="Times New Roman"/>
          <w:i/>
          <w:szCs w:val="24"/>
        </w:rPr>
        <w:t xml:space="preserve"> </w:t>
      </w:r>
      <w:proofErr w:type="spellStart"/>
      <w:r w:rsidRPr="00827EB4">
        <w:rPr>
          <w:rFonts w:ascii="Times New Roman" w:hAnsi="Times New Roman"/>
          <w:i/>
          <w:szCs w:val="24"/>
        </w:rPr>
        <w:t>costituzionale</w:t>
      </w:r>
      <w:proofErr w:type="spellEnd"/>
      <w:r w:rsidRPr="00827EB4">
        <w:rPr>
          <w:rFonts w:ascii="Times New Roman" w:hAnsi="Times New Roman"/>
          <w:i/>
          <w:szCs w:val="24"/>
        </w:rPr>
        <w:t xml:space="preserve">: Italia, Francia e </w:t>
      </w:r>
      <w:proofErr w:type="spellStart"/>
      <w:r w:rsidRPr="00827EB4">
        <w:rPr>
          <w:rFonts w:ascii="Times New Roman" w:hAnsi="Times New Roman"/>
          <w:i/>
          <w:szCs w:val="24"/>
        </w:rPr>
        <w:t>Spagna</w:t>
      </w:r>
      <w:proofErr w:type="spellEnd"/>
      <w:r w:rsidRPr="00827EB4">
        <w:rPr>
          <w:rFonts w:ascii="Times New Roman" w:hAnsi="Times New Roman"/>
          <w:i/>
          <w:szCs w:val="24"/>
        </w:rPr>
        <w:t xml:space="preserve">, </w:t>
      </w:r>
      <w:proofErr w:type="spellStart"/>
      <w:r w:rsidRPr="00827EB4">
        <w:rPr>
          <w:rFonts w:ascii="Times New Roman" w:hAnsi="Times New Roman"/>
          <w:i/>
          <w:szCs w:val="24"/>
        </w:rPr>
        <w:t>Jovene</w:t>
      </w:r>
      <w:proofErr w:type="spellEnd"/>
      <w:r w:rsidRPr="00827EB4">
        <w:rPr>
          <w:rFonts w:ascii="Times New Roman" w:hAnsi="Times New Roman"/>
          <w:i/>
          <w:szCs w:val="24"/>
        </w:rPr>
        <w:t xml:space="preserve"> </w:t>
      </w:r>
      <w:proofErr w:type="spellStart"/>
      <w:r w:rsidRPr="00827EB4">
        <w:rPr>
          <w:rFonts w:ascii="Times New Roman" w:hAnsi="Times New Roman"/>
          <w:i/>
          <w:szCs w:val="24"/>
        </w:rPr>
        <w:t>Editore</w:t>
      </w:r>
      <w:proofErr w:type="spellEnd"/>
      <w:r>
        <w:rPr>
          <w:rFonts w:ascii="Times New Roman" w:hAnsi="Times New Roman"/>
          <w:szCs w:val="24"/>
        </w:rPr>
        <w:t>, Nápoles, 2012</w:t>
      </w:r>
    </w:p>
    <w:p w14:paraId="3FDADB27" w14:textId="77777777" w:rsidR="00316C24" w:rsidRPr="00827EB4" w:rsidRDefault="00316C24" w:rsidP="00316C24">
      <w:pPr>
        <w:pStyle w:val="texto"/>
        <w:spacing w:before="240" w:after="240" w:afterAutospacing="0"/>
        <w:ind w:firstLine="0"/>
        <w:rPr>
          <w:rFonts w:ascii="Times New Roman" w:hAnsi="Times New Roman"/>
          <w:szCs w:val="24"/>
        </w:rPr>
      </w:pPr>
      <w:r w:rsidRPr="00AB4EDE">
        <w:rPr>
          <w:rFonts w:ascii="Times New Roman" w:hAnsi="Times New Roman"/>
          <w:szCs w:val="24"/>
        </w:rPr>
        <w:t>LOZANO MIRALLES, J.</w:t>
      </w:r>
      <w:r>
        <w:rPr>
          <w:rFonts w:ascii="Times New Roman" w:hAnsi="Times New Roman"/>
          <w:szCs w:val="24"/>
        </w:rPr>
        <w:t>,</w:t>
      </w:r>
      <w:r w:rsidRPr="00AB4EDE">
        <w:rPr>
          <w:rFonts w:ascii="Times New Roman" w:hAnsi="Times New Roman"/>
          <w:szCs w:val="24"/>
        </w:rPr>
        <w:t xml:space="preserve"> </w:t>
      </w:r>
      <w:r w:rsidRPr="00AB4EDE">
        <w:rPr>
          <w:rFonts w:ascii="Times New Roman" w:hAnsi="Times New Roman"/>
          <w:i/>
          <w:iCs/>
          <w:szCs w:val="24"/>
        </w:rPr>
        <w:t>El Tribunal Constitucional. Composición y principios organizativos (el aspecto funcional),</w:t>
      </w:r>
      <w:r w:rsidRPr="00AB4EDE">
        <w:rPr>
          <w:rFonts w:ascii="Times New Roman" w:hAnsi="Times New Roman"/>
          <w:szCs w:val="24"/>
        </w:rPr>
        <w:t xml:space="preserve"> Valencia, 2000.</w:t>
      </w:r>
    </w:p>
    <w:p w14:paraId="4A162E93" w14:textId="77777777" w:rsidR="00316C24" w:rsidRPr="000346CF" w:rsidRDefault="00316C24" w:rsidP="00316C24">
      <w:pPr>
        <w:spacing w:before="240" w:after="240"/>
      </w:pPr>
      <w:r w:rsidRPr="000346CF">
        <w:t xml:space="preserve">MATIA PORTILLA, F. J., “La especial trascendencia constitucional y la inadmisión del recurso de amparo”, </w:t>
      </w:r>
      <w:r w:rsidRPr="000346CF">
        <w:rPr>
          <w:i/>
        </w:rPr>
        <w:t>Revista Española de Derecho Constitucional</w:t>
      </w:r>
      <w:r>
        <w:t>, núm. 86, 2009.</w:t>
      </w:r>
    </w:p>
    <w:p w14:paraId="50059B36" w14:textId="77777777" w:rsidR="00316C24" w:rsidRDefault="00316C24" w:rsidP="00316C24">
      <w:pPr>
        <w:spacing w:before="240" w:after="240"/>
      </w:pPr>
      <w:r>
        <w:t xml:space="preserve">MEGINO FERNÁNDEZ, D., </w:t>
      </w:r>
      <w:r w:rsidRPr="00176006">
        <w:rPr>
          <w:i/>
          <w:iCs/>
        </w:rPr>
        <w:t>El incidente de nulidad de actuaciones</w:t>
      </w:r>
      <w:r>
        <w:t xml:space="preserve">, Lisboa, 2010. </w:t>
      </w:r>
    </w:p>
    <w:p w14:paraId="02205058" w14:textId="77777777" w:rsidR="00316C24" w:rsidRDefault="00316C24" w:rsidP="00316C24">
      <w:pPr>
        <w:spacing w:before="240" w:after="240"/>
      </w:pPr>
      <w:r>
        <w:t xml:space="preserve">MEGINO FERNANDEZ, D., </w:t>
      </w:r>
      <w:r w:rsidRPr="006237BB">
        <w:rPr>
          <w:i/>
          <w:iCs/>
        </w:rPr>
        <w:t>El incidente de nulidad de actuaciones en la justicia constitucional española</w:t>
      </w:r>
      <w:r w:rsidRPr="006237BB">
        <w:t xml:space="preserve"> </w:t>
      </w:r>
      <w:r>
        <w:t>,Lisboa, 2018.</w:t>
      </w:r>
    </w:p>
    <w:p w14:paraId="2CB6FEC3" w14:textId="77777777" w:rsidR="00316C24" w:rsidRPr="005B1708" w:rsidRDefault="00316C24" w:rsidP="00316C24">
      <w:pPr>
        <w:spacing w:before="240" w:after="240"/>
      </w:pPr>
      <w:r w:rsidRPr="005B1708">
        <w:t xml:space="preserve">MONTAÑÉS PARDO, M.A.: “La especial trascendencia constitucional como presupuesto del recurso de amparo”, </w:t>
      </w:r>
      <w:r w:rsidRPr="005B1708">
        <w:rPr>
          <w:i/>
        </w:rPr>
        <w:t>Revista Otrosí</w:t>
      </w:r>
      <w:r>
        <w:t>, núm. 1, 2010.</w:t>
      </w:r>
    </w:p>
    <w:p w14:paraId="03583A90" w14:textId="77777777" w:rsidR="00316C24" w:rsidRDefault="00316C24" w:rsidP="00316C24">
      <w:pPr>
        <w:spacing w:before="240" w:after="240"/>
      </w:pPr>
      <w:r>
        <w:t xml:space="preserve">MONTERO AROCA, J., GÓMEZ COLOMER, J. L., BARONA VILAR, S., </w:t>
      </w:r>
      <w:r w:rsidRPr="0054133F">
        <w:rPr>
          <w:i/>
          <w:iCs/>
        </w:rPr>
        <w:t xml:space="preserve">Derecho Jurisdiccional I, </w:t>
      </w:r>
      <w:r>
        <w:t>Valencia, 2019.</w:t>
      </w:r>
    </w:p>
    <w:p w14:paraId="6ACB67DF" w14:textId="77777777" w:rsidR="00316C24" w:rsidRDefault="00316C24" w:rsidP="00316C24">
      <w:pPr>
        <w:spacing w:before="240" w:after="240"/>
      </w:pPr>
      <w:r>
        <w:t xml:space="preserve">MONTERO AROCA, J., GÓMEZ COLOMER, J. L., BARONA VILAR, S., PÍA CALDERÓN CUADRADO, M., </w:t>
      </w:r>
      <w:r w:rsidRPr="0054133F">
        <w:rPr>
          <w:i/>
          <w:iCs/>
        </w:rPr>
        <w:t>Derecho Jurisdiccional. Vol. 2: Proceso civil</w:t>
      </w:r>
      <w:r>
        <w:t>, Valencia, 2016.</w:t>
      </w:r>
    </w:p>
    <w:p w14:paraId="185CD3BF" w14:textId="77777777" w:rsidR="00316C24" w:rsidRDefault="00316C24" w:rsidP="00316C24">
      <w:pPr>
        <w:spacing w:before="240" w:after="240"/>
      </w:pPr>
      <w:r>
        <w:t xml:space="preserve">MONTESINOS PADILLA, C., </w:t>
      </w:r>
      <w:r w:rsidRPr="0054133F">
        <w:rPr>
          <w:i/>
          <w:iCs/>
        </w:rPr>
        <w:t>La Tutela Multinivel de los Derechos Desde una Perspectiva Jurídico Procesal,</w:t>
      </w:r>
      <w:r>
        <w:t xml:space="preserve"> Valencia, 2017. </w:t>
      </w:r>
    </w:p>
    <w:p w14:paraId="3C33F212" w14:textId="77777777" w:rsidR="00316C24" w:rsidRPr="00D21FAC" w:rsidRDefault="00316C24" w:rsidP="00316C24">
      <w:pPr>
        <w:spacing w:before="240" w:after="240"/>
        <w:rPr>
          <w:szCs w:val="24"/>
        </w:rPr>
      </w:pPr>
      <w:r w:rsidRPr="00D21FAC">
        <w:rPr>
          <w:szCs w:val="24"/>
        </w:rPr>
        <w:t xml:space="preserve">MORALES ARROYO, J.M., </w:t>
      </w:r>
      <w:r w:rsidRPr="005675EB">
        <w:rPr>
          <w:i/>
          <w:szCs w:val="24"/>
        </w:rPr>
        <w:t>Manual de Derecho Constitucional</w:t>
      </w:r>
      <w:r w:rsidRPr="00D21FAC">
        <w:rPr>
          <w:szCs w:val="24"/>
        </w:rPr>
        <w:t xml:space="preserve">, </w:t>
      </w:r>
      <w:r>
        <w:rPr>
          <w:szCs w:val="24"/>
        </w:rPr>
        <w:t>Valencia</w:t>
      </w:r>
      <w:r w:rsidRPr="00D21FAC">
        <w:rPr>
          <w:szCs w:val="24"/>
        </w:rPr>
        <w:t>, 2013.</w:t>
      </w:r>
    </w:p>
    <w:p w14:paraId="2FDA7268" w14:textId="77777777" w:rsidR="00316C24" w:rsidRDefault="00316C24" w:rsidP="00316C24">
      <w:pPr>
        <w:spacing w:before="240" w:after="240"/>
      </w:pPr>
      <w:r>
        <w:t>MORENILLA ALLARD, P., “De nuevo sobre la inconstitucionalidad del incidente de nulidad de actuaciones</w:t>
      </w:r>
      <w:r w:rsidRPr="0054133F">
        <w:rPr>
          <w:i/>
          <w:iCs/>
        </w:rPr>
        <w:t>”, Diario La Ley</w:t>
      </w:r>
      <w:r>
        <w:t>. Sección Doctrina, núm. 8089, 2013.</w:t>
      </w:r>
    </w:p>
    <w:p w14:paraId="6A63DFC3" w14:textId="77777777" w:rsidR="00316C24" w:rsidRDefault="00316C24" w:rsidP="00316C24">
      <w:pPr>
        <w:spacing w:before="240" w:after="240"/>
      </w:pPr>
      <w:r>
        <w:t>MORENILLA ALLARD, P., “El nuevo incidente de nulidad de actuaciones</w:t>
      </w:r>
      <w:r w:rsidRPr="00E33044">
        <w:rPr>
          <w:i/>
          <w:iCs/>
        </w:rPr>
        <w:t>”, La Ley</w:t>
      </w:r>
      <w:r>
        <w:t xml:space="preserve">, núm. 4598, 1998. </w:t>
      </w:r>
    </w:p>
    <w:p w14:paraId="148C2FD5" w14:textId="77777777" w:rsidR="00316C24" w:rsidRPr="00D21FAC" w:rsidRDefault="00316C24" w:rsidP="00316C24">
      <w:pPr>
        <w:spacing w:before="240" w:after="240"/>
        <w:rPr>
          <w:szCs w:val="24"/>
        </w:rPr>
      </w:pPr>
      <w:r w:rsidRPr="00D21FAC">
        <w:rPr>
          <w:szCs w:val="24"/>
        </w:rPr>
        <w:lastRenderedPageBreak/>
        <w:t xml:space="preserve">MORENILLA ALLARD, P., </w:t>
      </w:r>
      <w:r>
        <w:rPr>
          <w:szCs w:val="24"/>
        </w:rPr>
        <w:t>“</w:t>
      </w:r>
      <w:r w:rsidRPr="00D21FAC">
        <w:rPr>
          <w:szCs w:val="24"/>
        </w:rPr>
        <w:t>Sobre la muy limitada legitimación activa del Gobierno de la Nación para la interposición de un Recurso de Amparo</w:t>
      </w:r>
      <w:r>
        <w:rPr>
          <w:szCs w:val="24"/>
        </w:rPr>
        <w:t>”</w:t>
      </w:r>
      <w:r w:rsidRPr="00D21FAC">
        <w:rPr>
          <w:szCs w:val="24"/>
        </w:rPr>
        <w:t xml:space="preserve">, </w:t>
      </w:r>
      <w:r w:rsidRPr="005675EB">
        <w:rPr>
          <w:i/>
          <w:szCs w:val="24"/>
        </w:rPr>
        <w:t>Diario La Ley</w:t>
      </w:r>
      <w:r>
        <w:rPr>
          <w:szCs w:val="24"/>
        </w:rPr>
        <w:t>, núm.</w:t>
      </w:r>
      <w:r w:rsidRPr="00D21FAC">
        <w:rPr>
          <w:szCs w:val="24"/>
        </w:rPr>
        <w:t xml:space="preserve"> 8985, Sección Tribuna, </w:t>
      </w:r>
      <w:r>
        <w:rPr>
          <w:szCs w:val="24"/>
        </w:rPr>
        <w:t>2017.</w:t>
      </w:r>
    </w:p>
    <w:p w14:paraId="6113B8BF" w14:textId="77777777" w:rsidR="00316C24" w:rsidRDefault="00316C24" w:rsidP="00316C24">
      <w:pPr>
        <w:spacing w:before="240" w:after="240"/>
      </w:pPr>
      <w:r>
        <w:t xml:space="preserve">MORENO CATENA, V., </w:t>
      </w:r>
      <w:r w:rsidRPr="00B53B3E">
        <w:rPr>
          <w:i/>
          <w:iCs/>
        </w:rPr>
        <w:t>Derecho procesal civil. Parte general</w:t>
      </w:r>
      <w:r>
        <w:rPr>
          <w:i/>
          <w:iCs/>
        </w:rPr>
        <w:t>,</w:t>
      </w:r>
      <w:r>
        <w:t xml:space="preserve"> Madrid, 2011.</w:t>
      </w:r>
    </w:p>
    <w:p w14:paraId="4CA36455" w14:textId="77777777" w:rsidR="00316C24" w:rsidRDefault="00316C24" w:rsidP="00316C24">
      <w:pPr>
        <w:spacing w:before="240" w:after="240"/>
      </w:pPr>
      <w:r>
        <w:t xml:space="preserve">MORENO CATENA, V., </w:t>
      </w:r>
      <w:r w:rsidRPr="00B53B3E">
        <w:rPr>
          <w:i/>
          <w:iCs/>
        </w:rPr>
        <w:t>Lecciones de Derecho procesal penal</w:t>
      </w:r>
      <w:r>
        <w:t>, Madrid, 2003.</w:t>
      </w:r>
    </w:p>
    <w:p w14:paraId="334CEEC4" w14:textId="77777777" w:rsidR="00316C24" w:rsidRDefault="00316C24" w:rsidP="00316C24">
      <w:pPr>
        <w:pStyle w:val="texto"/>
        <w:spacing w:before="240" w:after="240" w:afterAutospacing="0"/>
        <w:ind w:firstLine="0"/>
        <w:rPr>
          <w:rFonts w:ascii="Times New Roman" w:hAnsi="Times New Roman"/>
          <w:szCs w:val="24"/>
        </w:rPr>
      </w:pPr>
      <w:r w:rsidRPr="007A1BEC">
        <w:rPr>
          <w:rFonts w:ascii="Times New Roman" w:hAnsi="Times New Roman"/>
          <w:szCs w:val="24"/>
        </w:rPr>
        <w:t>MUÑOZ-CONDE, F., “La transformación jurídica de la dictadura franquista en</w:t>
      </w:r>
      <w:r>
        <w:rPr>
          <w:rFonts w:ascii="Times New Roman" w:hAnsi="Times New Roman"/>
          <w:szCs w:val="24"/>
        </w:rPr>
        <w:t xml:space="preserve"> </w:t>
      </w:r>
      <w:r w:rsidRPr="007A1BEC">
        <w:rPr>
          <w:rFonts w:ascii="Times New Roman" w:hAnsi="Times New Roman"/>
          <w:szCs w:val="24"/>
        </w:rPr>
        <w:t>un Estado de Derecho”,</w:t>
      </w:r>
      <w:r>
        <w:rPr>
          <w:rFonts w:ascii="Times New Roman" w:hAnsi="Times New Roman"/>
          <w:szCs w:val="24"/>
        </w:rPr>
        <w:t xml:space="preserve"> </w:t>
      </w:r>
      <w:r w:rsidRPr="007A1BEC">
        <w:rPr>
          <w:rFonts w:ascii="Times New Roman" w:hAnsi="Times New Roman"/>
          <w:szCs w:val="24"/>
        </w:rPr>
        <w:t xml:space="preserve">en </w:t>
      </w:r>
      <w:hyperlink r:id="rId12" w:history="1">
        <w:r w:rsidRPr="00ED1E2D">
          <w:rPr>
            <w:rStyle w:val="Hipervnculo"/>
            <w:rFonts w:ascii="Times New Roman" w:hAnsi="Times New Roman"/>
            <w:szCs w:val="24"/>
          </w:rPr>
          <w:t>http://www.cienciaspenales.net/files/2016/07/2.1.10munoz-conde-franquismo.pdf</w:t>
        </w:r>
      </w:hyperlink>
    </w:p>
    <w:p w14:paraId="29709F89"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NARANJO DE LA CRUZ, R., “</w:t>
      </w:r>
      <w:r w:rsidRPr="00827EB4">
        <w:rPr>
          <w:rFonts w:ascii="Times New Roman" w:hAnsi="Times New Roman"/>
          <w:szCs w:val="24"/>
        </w:rPr>
        <w:t>El sistema de derechos constitucionales y sus garantías</w:t>
      </w:r>
      <w:r>
        <w:rPr>
          <w:rFonts w:ascii="Times New Roman" w:hAnsi="Times New Roman"/>
          <w:szCs w:val="24"/>
        </w:rPr>
        <w:t>”,</w:t>
      </w:r>
      <w:r w:rsidRPr="00827EB4">
        <w:rPr>
          <w:rFonts w:ascii="Times New Roman" w:hAnsi="Times New Roman"/>
          <w:szCs w:val="24"/>
        </w:rPr>
        <w:t xml:space="preserve"> en AA.VV., (Miguel Agudo Zamora y otros), </w:t>
      </w:r>
      <w:r w:rsidRPr="00827EB4">
        <w:rPr>
          <w:rFonts w:ascii="Times New Roman" w:hAnsi="Times New Roman"/>
          <w:i/>
          <w:szCs w:val="24"/>
        </w:rPr>
        <w:t>Manual de Derecho Constitucional,</w:t>
      </w:r>
      <w:r w:rsidRPr="00827EB4">
        <w:rPr>
          <w:rFonts w:ascii="Times New Roman" w:hAnsi="Times New Roman"/>
          <w:szCs w:val="24"/>
        </w:rPr>
        <w:t xml:space="preserve"> Madrid, 2014</w:t>
      </w:r>
      <w:r>
        <w:rPr>
          <w:rFonts w:ascii="Times New Roman" w:hAnsi="Times New Roman"/>
          <w:szCs w:val="24"/>
        </w:rPr>
        <w:t>.</w:t>
      </w:r>
      <w:r w:rsidRPr="00827EB4">
        <w:rPr>
          <w:rFonts w:ascii="Times New Roman" w:hAnsi="Times New Roman"/>
          <w:szCs w:val="24"/>
        </w:rPr>
        <w:t xml:space="preserve"> </w:t>
      </w:r>
    </w:p>
    <w:p w14:paraId="60A50570" w14:textId="77777777" w:rsidR="00316C24" w:rsidRPr="00D21FAC" w:rsidRDefault="00316C24" w:rsidP="00316C24">
      <w:pPr>
        <w:spacing w:before="240" w:after="240"/>
        <w:rPr>
          <w:szCs w:val="24"/>
        </w:rPr>
      </w:pPr>
      <w:r w:rsidRPr="00D21FAC">
        <w:rPr>
          <w:szCs w:val="24"/>
        </w:rPr>
        <w:t xml:space="preserve">NARANJO ROMÁN, R., </w:t>
      </w:r>
      <w:r w:rsidRPr="00D21FAC">
        <w:rPr>
          <w:i/>
          <w:szCs w:val="24"/>
        </w:rPr>
        <w:t>La reforma del recurso de amparo: la especial transcendencia constitucional en la jurisprudencia del tribunal constitucional</w:t>
      </w:r>
      <w:r w:rsidRPr="00D21FAC">
        <w:rPr>
          <w:szCs w:val="24"/>
        </w:rPr>
        <w:t xml:space="preserve"> </w:t>
      </w:r>
      <w:r w:rsidRPr="00D21FAC">
        <w:rPr>
          <w:rFonts w:ascii="Tahoma" w:hAnsi="Tahoma" w:cs="Tahoma"/>
          <w:szCs w:val="24"/>
        </w:rPr>
        <w:t>﻿</w:t>
      </w:r>
      <w:r w:rsidRPr="00D21FAC">
        <w:rPr>
          <w:szCs w:val="24"/>
        </w:rPr>
        <w:t xml:space="preserve"> [Tesis Doctoral], 2016.</w:t>
      </w:r>
    </w:p>
    <w:p w14:paraId="35CE7C25" w14:textId="77777777" w:rsidR="00316C24" w:rsidRDefault="00316C24" w:rsidP="00316C24">
      <w:pPr>
        <w:spacing w:before="240" w:after="240"/>
      </w:pPr>
      <w:r>
        <w:t>NAVARRO MASSIP, Y., “El incidente de nulidad de actuaciones en el proceso penal y el recurso de amparo: entre la inutilidad y la intrascendencia”, Aranzadi</w:t>
      </w:r>
      <w:r w:rsidRPr="0054133F">
        <w:rPr>
          <w:i/>
          <w:iCs/>
        </w:rPr>
        <w:t xml:space="preserve"> Doctrinal</w:t>
      </w:r>
      <w:r>
        <w:t>, núm.5, 2009.</w:t>
      </w:r>
    </w:p>
    <w:p w14:paraId="4D7D64D8" w14:textId="77777777" w:rsidR="00316C24" w:rsidRDefault="00316C24" w:rsidP="00316C24">
      <w:pPr>
        <w:spacing w:before="240" w:after="240"/>
      </w:pPr>
      <w:r>
        <w:t>NIEVA FENOLL, J</w:t>
      </w:r>
      <w:r w:rsidRPr="0054133F">
        <w:rPr>
          <w:i/>
          <w:iCs/>
        </w:rPr>
        <w:t>., Derecho Procesal I. Introducción</w:t>
      </w:r>
      <w:r>
        <w:t>, Valencia, 2019.</w:t>
      </w:r>
    </w:p>
    <w:p w14:paraId="5E927E4B" w14:textId="77777777" w:rsidR="00316C24" w:rsidRPr="00D21FAC" w:rsidRDefault="00316C24" w:rsidP="00316C24">
      <w:pPr>
        <w:spacing w:before="240" w:after="240"/>
        <w:rPr>
          <w:szCs w:val="24"/>
        </w:rPr>
      </w:pPr>
      <w:r w:rsidRPr="00D21FAC">
        <w:rPr>
          <w:szCs w:val="24"/>
        </w:rPr>
        <w:t xml:space="preserve">NOGUEIRA GUASTAVINO, M. “La trascendencia constitucional de la demanda de amparo tras la reforma de la LOTC por la Ley Orgánica 6/2007”, </w:t>
      </w:r>
      <w:r w:rsidRPr="005675EB">
        <w:rPr>
          <w:i/>
          <w:szCs w:val="24"/>
        </w:rPr>
        <w:t>Revista de Derecho Social</w:t>
      </w:r>
      <w:r w:rsidRPr="00D21FAC">
        <w:rPr>
          <w:szCs w:val="24"/>
        </w:rPr>
        <w:t>, núm. 51, 2010.</w:t>
      </w:r>
    </w:p>
    <w:p w14:paraId="3503FC8E" w14:textId="77777777" w:rsidR="00316C24" w:rsidRDefault="00316C24" w:rsidP="00316C24">
      <w:pPr>
        <w:spacing w:before="240" w:after="240"/>
      </w:pPr>
      <w:r w:rsidRPr="00C63380">
        <w:t>NOGUEIRA GUSTAVINO, M.</w:t>
      </w:r>
      <w:r>
        <w:t>,</w:t>
      </w:r>
      <w:r w:rsidRPr="00C63380">
        <w:t xml:space="preserve"> </w:t>
      </w:r>
      <w:r>
        <w:t>“</w:t>
      </w:r>
      <w:r w:rsidRPr="00C63380">
        <w:t>Contracciones y dilataciones en la reforma de la Ley Orgánica del Tribunal Constitucional: Parto prematuro del incidente de nulidad de actuaciones e incongruencia omisiva</w:t>
      </w:r>
      <w:r>
        <w:t>”,</w:t>
      </w:r>
      <w:r w:rsidRPr="00C63380">
        <w:t xml:space="preserve"> </w:t>
      </w:r>
      <w:r w:rsidRPr="00C63380">
        <w:rPr>
          <w:i/>
          <w:iCs/>
        </w:rPr>
        <w:t>Teoría y Derecho,</w:t>
      </w:r>
      <w:r w:rsidRPr="00C63380">
        <w:t xml:space="preserve"> </w:t>
      </w:r>
      <w:r>
        <w:t>nú</w:t>
      </w:r>
      <w:r w:rsidRPr="0054133F">
        <w:t>m.3, 2008.</w:t>
      </w:r>
    </w:p>
    <w:p w14:paraId="74FCB058" w14:textId="77777777" w:rsidR="00316C24" w:rsidRDefault="00316C24" w:rsidP="00316C24">
      <w:pPr>
        <w:spacing w:before="240" w:after="240"/>
      </w:pPr>
      <w:r w:rsidRPr="00B0532D">
        <w:t xml:space="preserve">NOREÑA SALTO, J. R., “La legitimación en el recurso de amparo: reglas generales y supuestos especiales”, </w:t>
      </w:r>
      <w:r w:rsidRPr="005675EB">
        <w:rPr>
          <w:i/>
        </w:rPr>
        <w:t>Diario La Ley</w:t>
      </w:r>
      <w:r>
        <w:t>, núm.</w:t>
      </w:r>
      <w:r w:rsidRPr="00B0532D">
        <w:t xml:space="preserve"> 7838, Sección Tribuna, </w:t>
      </w:r>
      <w:r>
        <w:t>2012.</w:t>
      </w:r>
    </w:p>
    <w:p w14:paraId="1D061B3A" w14:textId="77777777" w:rsidR="00316C24" w:rsidRPr="00D21FAC" w:rsidRDefault="00316C24" w:rsidP="00316C24">
      <w:pPr>
        <w:spacing w:before="240" w:after="240"/>
        <w:rPr>
          <w:szCs w:val="24"/>
        </w:rPr>
      </w:pPr>
      <w:r w:rsidRPr="00D21FAC">
        <w:rPr>
          <w:szCs w:val="24"/>
        </w:rPr>
        <w:t xml:space="preserve">OCAÑA CHAMORRO., R. </w:t>
      </w:r>
      <w:r w:rsidRPr="005675EB">
        <w:rPr>
          <w:i/>
          <w:szCs w:val="24"/>
        </w:rPr>
        <w:t>La especial transcendencia constitucional del recurso de amparo en la Doctrina del Tribunal Constitucional</w:t>
      </w:r>
      <w:r w:rsidRPr="00D21FAC">
        <w:rPr>
          <w:szCs w:val="24"/>
        </w:rPr>
        <w:t>, Valencia, 2012.</w:t>
      </w:r>
    </w:p>
    <w:p w14:paraId="0E4F5245" w14:textId="77777777" w:rsidR="00316C24" w:rsidRPr="00D21FAC" w:rsidRDefault="00316C24" w:rsidP="00316C24">
      <w:pPr>
        <w:spacing w:before="240" w:after="240"/>
        <w:rPr>
          <w:szCs w:val="24"/>
        </w:rPr>
      </w:pPr>
      <w:r w:rsidRPr="00D21FAC">
        <w:rPr>
          <w:szCs w:val="24"/>
        </w:rPr>
        <w:lastRenderedPageBreak/>
        <w:t>OEHLING R, A., “Crónica de la jurisprudencia constitucional española del año 2011”</w:t>
      </w:r>
      <w:r>
        <w:rPr>
          <w:szCs w:val="24"/>
        </w:rPr>
        <w:t>,</w:t>
      </w:r>
      <w:r w:rsidRPr="00D21FAC">
        <w:rPr>
          <w:szCs w:val="24"/>
        </w:rPr>
        <w:t xml:space="preserve"> </w:t>
      </w:r>
      <w:r w:rsidRPr="005675EB">
        <w:rPr>
          <w:i/>
          <w:szCs w:val="24"/>
        </w:rPr>
        <w:t>Anuario Iberoamericano de Justicia Constitucional</w:t>
      </w:r>
      <w:r w:rsidRPr="00D21FAC">
        <w:rPr>
          <w:szCs w:val="24"/>
        </w:rPr>
        <w:t>, núm. 16, Madrid, 2012</w:t>
      </w:r>
      <w:r>
        <w:rPr>
          <w:szCs w:val="24"/>
        </w:rPr>
        <w:t>.</w:t>
      </w:r>
    </w:p>
    <w:p w14:paraId="1413DE83"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OLIVER ARAUJO, J., “</w:t>
      </w:r>
      <w:r w:rsidRPr="00827EB4">
        <w:rPr>
          <w:rFonts w:ascii="Times New Roman" w:hAnsi="Times New Roman"/>
          <w:szCs w:val="24"/>
        </w:rPr>
        <w:t>El recurso de amparo en la Segunda República Española (1931-1936) y la posterior Guerra Civil (1936-1939)</w:t>
      </w:r>
      <w:r>
        <w:rPr>
          <w:rFonts w:ascii="Times New Roman" w:hAnsi="Times New Roman"/>
          <w:szCs w:val="24"/>
        </w:rPr>
        <w:t>”</w:t>
      </w:r>
      <w:r w:rsidRPr="00827EB4">
        <w:rPr>
          <w:rFonts w:ascii="Times New Roman" w:hAnsi="Times New Roman"/>
          <w:szCs w:val="24"/>
        </w:rPr>
        <w:t>,</w:t>
      </w:r>
      <w:r w:rsidRPr="00827EB4">
        <w:rPr>
          <w:rFonts w:ascii="Times New Roman" w:hAnsi="Times New Roman"/>
          <w:i/>
          <w:szCs w:val="24"/>
        </w:rPr>
        <w:t xml:space="preserve"> Anuario Iberoamericano de Justicia Constitucional, </w:t>
      </w:r>
      <w:r w:rsidRPr="005675EB">
        <w:rPr>
          <w:rFonts w:ascii="Times New Roman" w:hAnsi="Times New Roman"/>
          <w:szCs w:val="24"/>
        </w:rPr>
        <w:t>núm. 14</w:t>
      </w:r>
      <w:r>
        <w:rPr>
          <w:rFonts w:ascii="Times New Roman" w:hAnsi="Times New Roman"/>
          <w:i/>
          <w:szCs w:val="24"/>
        </w:rPr>
        <w:t xml:space="preserve">, </w:t>
      </w:r>
      <w:r>
        <w:rPr>
          <w:rFonts w:ascii="Times New Roman" w:hAnsi="Times New Roman"/>
          <w:szCs w:val="24"/>
        </w:rPr>
        <w:t>2010.</w:t>
      </w:r>
    </w:p>
    <w:p w14:paraId="594BF8F7" w14:textId="77777777" w:rsidR="00316C2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OLIVER ARAUJO, J., </w:t>
      </w:r>
      <w:r w:rsidRPr="00827EB4">
        <w:rPr>
          <w:rFonts w:ascii="Times New Roman" w:hAnsi="Times New Roman"/>
          <w:i/>
          <w:szCs w:val="24"/>
        </w:rPr>
        <w:t>El recurso de amparo</w:t>
      </w:r>
      <w:r w:rsidRPr="00827EB4">
        <w:rPr>
          <w:rFonts w:ascii="Times New Roman" w:hAnsi="Times New Roman"/>
          <w:szCs w:val="24"/>
        </w:rPr>
        <w:t>, Palma de Mallorca, 1988</w:t>
      </w:r>
      <w:r>
        <w:rPr>
          <w:rFonts w:ascii="Times New Roman" w:hAnsi="Times New Roman"/>
          <w:szCs w:val="24"/>
        </w:rPr>
        <w:t>.</w:t>
      </w:r>
    </w:p>
    <w:p w14:paraId="529B1078" w14:textId="77777777" w:rsidR="00316C24" w:rsidRPr="00827EB4" w:rsidRDefault="00316C24" w:rsidP="00316C24">
      <w:pPr>
        <w:pStyle w:val="texto"/>
        <w:spacing w:before="240" w:after="240"/>
        <w:ind w:firstLine="0"/>
        <w:rPr>
          <w:rFonts w:ascii="Times New Roman" w:hAnsi="Times New Roman"/>
          <w:szCs w:val="24"/>
        </w:rPr>
      </w:pPr>
      <w:r>
        <w:rPr>
          <w:rFonts w:ascii="Times New Roman" w:hAnsi="Times New Roman"/>
          <w:szCs w:val="24"/>
        </w:rPr>
        <w:t>OLIVER ARAUJO. J.,</w:t>
      </w:r>
      <w:r w:rsidRPr="004C5EB9">
        <w:rPr>
          <w:rFonts w:ascii="Times New Roman" w:hAnsi="Times New Roman"/>
          <w:szCs w:val="24"/>
        </w:rPr>
        <w:t xml:space="preserve"> “El recurso de amparo frente a actos y omisiones</w:t>
      </w:r>
      <w:r>
        <w:rPr>
          <w:rFonts w:ascii="Times New Roman" w:hAnsi="Times New Roman"/>
          <w:szCs w:val="24"/>
        </w:rPr>
        <w:t xml:space="preserve"> </w:t>
      </w:r>
      <w:r w:rsidRPr="004C5EB9">
        <w:rPr>
          <w:rFonts w:ascii="Times New Roman" w:hAnsi="Times New Roman"/>
          <w:szCs w:val="24"/>
        </w:rPr>
        <w:t xml:space="preserve">judiciales”. </w:t>
      </w:r>
      <w:r w:rsidRPr="004C5EB9">
        <w:rPr>
          <w:rFonts w:ascii="Times New Roman" w:hAnsi="Times New Roman"/>
          <w:i/>
          <w:szCs w:val="24"/>
        </w:rPr>
        <w:t>Revista de Estudios Políticos</w:t>
      </w:r>
      <w:r>
        <w:rPr>
          <w:rFonts w:ascii="Times New Roman" w:hAnsi="Times New Roman"/>
          <w:szCs w:val="24"/>
        </w:rPr>
        <w:t>, núm.</w:t>
      </w:r>
      <w:r w:rsidRPr="004C5EB9">
        <w:rPr>
          <w:rFonts w:ascii="Times New Roman" w:hAnsi="Times New Roman"/>
          <w:szCs w:val="24"/>
        </w:rPr>
        <w:t xml:space="preserve"> 120, 2003.</w:t>
      </w:r>
    </w:p>
    <w:p w14:paraId="21D3A549" w14:textId="77777777" w:rsidR="00316C24" w:rsidRDefault="00316C24" w:rsidP="00316C24">
      <w:pPr>
        <w:spacing w:before="240" w:after="240"/>
      </w:pPr>
      <w:r w:rsidRPr="00B0532D">
        <w:t xml:space="preserve">ORTEGA GUTIERREZ, D., “La especial trascendencia constitucional como concepto jurídico indeterminado. De la reforma de 2007 de la LOTC a la STC 155/2009, de 25 de junio”, </w:t>
      </w:r>
      <w:r w:rsidRPr="00610EBF">
        <w:rPr>
          <w:i/>
        </w:rPr>
        <w:t>UNED. Teoría y Realidad Constitucional</w:t>
      </w:r>
      <w:r w:rsidRPr="00B0532D">
        <w:t xml:space="preserve">, </w:t>
      </w:r>
      <w:r>
        <w:t>núm. 25, 2010.</w:t>
      </w:r>
    </w:p>
    <w:p w14:paraId="4F78A541" w14:textId="77777777" w:rsidR="00316C24" w:rsidRPr="00D21FAC" w:rsidRDefault="00316C24" w:rsidP="00316C24">
      <w:pPr>
        <w:spacing w:before="240" w:after="240"/>
        <w:rPr>
          <w:szCs w:val="24"/>
        </w:rPr>
      </w:pPr>
      <w:r w:rsidRPr="00D21FAC">
        <w:rPr>
          <w:szCs w:val="24"/>
        </w:rPr>
        <w:t xml:space="preserve">ORTEGA GUTIERREZ, D., </w:t>
      </w:r>
      <w:r w:rsidRPr="005675EB">
        <w:rPr>
          <w:i/>
          <w:szCs w:val="24"/>
        </w:rPr>
        <w:t xml:space="preserve">Los conceptos indeterminados en la jurisprudencia constitucional española: un avance hacia su determinación a través de los elementos comunes de la casuística, </w:t>
      </w:r>
      <w:r w:rsidRPr="00D21FAC">
        <w:rPr>
          <w:szCs w:val="24"/>
        </w:rPr>
        <w:t>Madrid, 2009.</w:t>
      </w:r>
    </w:p>
    <w:p w14:paraId="6268903E"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ORTÍZ HERAS, M., “Mujer y dictadura franquista”</w:t>
      </w:r>
      <w:r w:rsidRPr="00827EB4">
        <w:rPr>
          <w:rFonts w:ascii="Times New Roman" w:hAnsi="Times New Roman"/>
          <w:szCs w:val="24"/>
        </w:rPr>
        <w:t xml:space="preserve">, </w:t>
      </w:r>
      <w:r w:rsidRPr="00827EB4">
        <w:rPr>
          <w:rFonts w:ascii="Times New Roman" w:hAnsi="Times New Roman"/>
          <w:i/>
          <w:szCs w:val="24"/>
        </w:rPr>
        <w:t xml:space="preserve">Aposta. Revista de Ciencias Sociales, </w:t>
      </w:r>
      <w:r w:rsidRPr="005675EB">
        <w:rPr>
          <w:rFonts w:ascii="Times New Roman" w:hAnsi="Times New Roman"/>
          <w:szCs w:val="24"/>
        </w:rPr>
        <w:t>núm.</w:t>
      </w:r>
      <w:r w:rsidRPr="00827EB4">
        <w:rPr>
          <w:rFonts w:ascii="Times New Roman" w:hAnsi="Times New Roman"/>
          <w:szCs w:val="24"/>
        </w:rPr>
        <w:t xml:space="preserve"> 28, 2006</w:t>
      </w:r>
      <w:r>
        <w:rPr>
          <w:rFonts w:ascii="Times New Roman" w:hAnsi="Times New Roman"/>
          <w:szCs w:val="24"/>
        </w:rPr>
        <w:t>.</w:t>
      </w:r>
      <w:r w:rsidRPr="00827EB4">
        <w:rPr>
          <w:rFonts w:ascii="Times New Roman" w:hAnsi="Times New Roman"/>
          <w:szCs w:val="24"/>
        </w:rPr>
        <w:t xml:space="preserve"> </w:t>
      </w:r>
    </w:p>
    <w:p w14:paraId="60728E5C" w14:textId="77777777" w:rsidR="00316C24" w:rsidRPr="00D21FAC" w:rsidRDefault="00316C24" w:rsidP="00316C24">
      <w:pPr>
        <w:spacing w:before="240" w:after="240"/>
        <w:rPr>
          <w:szCs w:val="24"/>
        </w:rPr>
      </w:pPr>
      <w:r w:rsidRPr="00D21FAC">
        <w:rPr>
          <w:szCs w:val="24"/>
        </w:rPr>
        <w:t xml:space="preserve">OUBIÑA BARBOLLA, J.M., </w:t>
      </w:r>
      <w:r w:rsidRPr="005675EB">
        <w:rPr>
          <w:i/>
          <w:szCs w:val="24"/>
        </w:rPr>
        <w:t>El Tribunal Constitucional. Pasado, presente y futuro</w:t>
      </w:r>
      <w:r w:rsidRPr="00D21FAC">
        <w:rPr>
          <w:szCs w:val="24"/>
        </w:rPr>
        <w:t>, Madrid, 2012.</w:t>
      </w:r>
    </w:p>
    <w:p w14:paraId="25CC5895" w14:textId="77777777" w:rsidR="00316C24" w:rsidRPr="00D21FAC" w:rsidRDefault="00316C24" w:rsidP="00316C24">
      <w:pPr>
        <w:spacing w:before="240" w:after="240"/>
        <w:rPr>
          <w:szCs w:val="24"/>
        </w:rPr>
      </w:pPr>
      <w:r>
        <w:rPr>
          <w:szCs w:val="24"/>
        </w:rPr>
        <w:t>PADRÓS REIG, C.,</w:t>
      </w:r>
      <w:r w:rsidRPr="00D21FAC">
        <w:rPr>
          <w:szCs w:val="24"/>
        </w:rPr>
        <w:t xml:space="preserve"> </w:t>
      </w:r>
      <w:r>
        <w:rPr>
          <w:szCs w:val="24"/>
        </w:rPr>
        <w:t>“</w:t>
      </w:r>
      <w:r w:rsidRPr="00D21FAC">
        <w:rPr>
          <w:szCs w:val="24"/>
        </w:rPr>
        <w:t xml:space="preserve">La exigua tasa de admisión del recurso de </w:t>
      </w:r>
      <w:r>
        <w:rPr>
          <w:szCs w:val="24"/>
        </w:rPr>
        <w:t>amparo c</w:t>
      </w:r>
      <w:r w:rsidRPr="00D21FAC">
        <w:rPr>
          <w:szCs w:val="24"/>
        </w:rPr>
        <w:t>onstitucional</w:t>
      </w:r>
      <w:r>
        <w:rPr>
          <w:szCs w:val="24"/>
        </w:rPr>
        <w:t>”,</w:t>
      </w:r>
      <w:r w:rsidRPr="00D21FAC">
        <w:rPr>
          <w:szCs w:val="24"/>
        </w:rPr>
        <w:t xml:space="preserve"> </w:t>
      </w:r>
      <w:r w:rsidRPr="005675EB">
        <w:rPr>
          <w:i/>
          <w:szCs w:val="24"/>
        </w:rPr>
        <w:t>Revista de Administración Pública</w:t>
      </w:r>
      <w:r w:rsidRPr="00D21FAC">
        <w:rPr>
          <w:szCs w:val="24"/>
        </w:rPr>
        <w:t xml:space="preserve">, </w:t>
      </w:r>
      <w:r>
        <w:rPr>
          <w:szCs w:val="24"/>
        </w:rPr>
        <w:t xml:space="preserve">núm. </w:t>
      </w:r>
      <w:r w:rsidRPr="00D21FAC">
        <w:rPr>
          <w:szCs w:val="24"/>
        </w:rPr>
        <w:t>209,</w:t>
      </w:r>
      <w:r>
        <w:rPr>
          <w:szCs w:val="24"/>
        </w:rPr>
        <w:t xml:space="preserve"> 2019.</w:t>
      </w:r>
    </w:p>
    <w:p w14:paraId="2B6F1AF4" w14:textId="77777777" w:rsidR="00316C24" w:rsidRPr="00D21FAC" w:rsidRDefault="00316C24" w:rsidP="00316C24">
      <w:pPr>
        <w:spacing w:before="240" w:after="240"/>
        <w:rPr>
          <w:szCs w:val="24"/>
        </w:rPr>
      </w:pPr>
      <w:r w:rsidRPr="00D21FAC">
        <w:rPr>
          <w:szCs w:val="24"/>
        </w:rPr>
        <w:t xml:space="preserve">PÁEZ MAÑÁ, J., </w:t>
      </w:r>
      <w:r>
        <w:rPr>
          <w:szCs w:val="24"/>
        </w:rPr>
        <w:t>“</w:t>
      </w:r>
      <w:r w:rsidRPr="00D21FAC">
        <w:rPr>
          <w:szCs w:val="24"/>
        </w:rPr>
        <w:t>El requisito de la especial trascendencia constitucional en los recursos de amparo interpuestos ante el Tribunal Constitucional español</w:t>
      </w:r>
      <w:r>
        <w:rPr>
          <w:szCs w:val="24"/>
        </w:rPr>
        <w:t>”</w:t>
      </w:r>
      <w:r w:rsidRPr="00D21FAC">
        <w:rPr>
          <w:szCs w:val="24"/>
        </w:rPr>
        <w:t xml:space="preserve">, en </w:t>
      </w:r>
      <w:r>
        <w:rPr>
          <w:szCs w:val="24"/>
        </w:rPr>
        <w:t xml:space="preserve">Marcelo </w:t>
      </w:r>
      <w:r w:rsidRPr="00D21FAC">
        <w:rPr>
          <w:szCs w:val="24"/>
        </w:rPr>
        <w:t>B</w:t>
      </w:r>
      <w:r>
        <w:rPr>
          <w:szCs w:val="24"/>
        </w:rPr>
        <w:t xml:space="preserve">auzá </w:t>
      </w:r>
      <w:r w:rsidRPr="00D21FAC">
        <w:rPr>
          <w:szCs w:val="24"/>
        </w:rPr>
        <w:t xml:space="preserve"> R</w:t>
      </w:r>
      <w:r>
        <w:rPr>
          <w:szCs w:val="24"/>
        </w:rPr>
        <w:t>eilly</w:t>
      </w:r>
      <w:r w:rsidRPr="00D21FAC">
        <w:rPr>
          <w:szCs w:val="24"/>
        </w:rPr>
        <w:t xml:space="preserve"> y </w:t>
      </w:r>
      <w:r>
        <w:rPr>
          <w:szCs w:val="24"/>
        </w:rPr>
        <w:t xml:space="preserve">Federico </w:t>
      </w:r>
      <w:r w:rsidRPr="00D21FAC">
        <w:rPr>
          <w:szCs w:val="24"/>
        </w:rPr>
        <w:t>B</w:t>
      </w:r>
      <w:r>
        <w:rPr>
          <w:szCs w:val="24"/>
        </w:rPr>
        <w:t>ueno Mata</w:t>
      </w:r>
      <w:r w:rsidRPr="00D21FAC">
        <w:rPr>
          <w:szCs w:val="24"/>
        </w:rPr>
        <w:t xml:space="preserve"> (</w:t>
      </w:r>
      <w:proofErr w:type="spellStart"/>
      <w:r w:rsidRPr="00D21FAC">
        <w:rPr>
          <w:szCs w:val="24"/>
        </w:rPr>
        <w:t>Coords</w:t>
      </w:r>
      <w:proofErr w:type="spellEnd"/>
      <w:r w:rsidRPr="00D21FAC">
        <w:rPr>
          <w:szCs w:val="24"/>
        </w:rPr>
        <w:t xml:space="preserve">.), </w:t>
      </w:r>
      <w:r w:rsidRPr="005675EB">
        <w:rPr>
          <w:i/>
          <w:szCs w:val="24"/>
        </w:rPr>
        <w:t>El Derecho en la sociedad telemática. Estudios en homenaje al profesor Valentín Carrascosa López</w:t>
      </w:r>
      <w:r>
        <w:rPr>
          <w:szCs w:val="24"/>
        </w:rPr>
        <w:t xml:space="preserve">, </w:t>
      </w:r>
      <w:r w:rsidRPr="00D20306">
        <w:rPr>
          <w:szCs w:val="24"/>
        </w:rPr>
        <w:t>Santiago de Compostela</w:t>
      </w:r>
      <w:r>
        <w:rPr>
          <w:szCs w:val="24"/>
        </w:rPr>
        <w:t>, 2012.</w:t>
      </w:r>
    </w:p>
    <w:p w14:paraId="6069DFC6" w14:textId="77777777" w:rsidR="00316C24" w:rsidRPr="00AE135E" w:rsidRDefault="00316C24" w:rsidP="00316C24">
      <w:pPr>
        <w:spacing w:before="240" w:after="240"/>
        <w:rPr>
          <w:szCs w:val="24"/>
        </w:rPr>
      </w:pPr>
      <w:r w:rsidRPr="00AE135E">
        <w:rPr>
          <w:szCs w:val="24"/>
        </w:rPr>
        <w:t>PA</w:t>
      </w:r>
      <w:r>
        <w:rPr>
          <w:szCs w:val="24"/>
        </w:rPr>
        <w:t>TRONI GRIFFI, A., “</w:t>
      </w:r>
      <w:r w:rsidRPr="00AE135E">
        <w:rPr>
          <w:szCs w:val="24"/>
        </w:rPr>
        <w:t xml:space="preserve">La reforma del recurso de amparo y la Ley Orgánica 6/2007 vistas desde Italia. El alcance expansivo del recurso individual directo (como acceso </w:t>
      </w:r>
      <w:r w:rsidRPr="00AE135E">
        <w:rPr>
          <w:szCs w:val="24"/>
        </w:rPr>
        <w:lastRenderedPageBreak/>
        <w:t>sustancialmente alternativo a la vía incidental)</w:t>
      </w:r>
      <w:r>
        <w:rPr>
          <w:szCs w:val="24"/>
        </w:rPr>
        <w:t>”</w:t>
      </w:r>
      <w:r w:rsidRPr="00AE135E">
        <w:rPr>
          <w:szCs w:val="24"/>
        </w:rPr>
        <w:t xml:space="preserve">, </w:t>
      </w:r>
      <w:r w:rsidRPr="00AE135E">
        <w:rPr>
          <w:i/>
          <w:szCs w:val="24"/>
        </w:rPr>
        <w:t>Revista de Derecho Constitucional Europeo</w:t>
      </w:r>
      <w:r>
        <w:rPr>
          <w:szCs w:val="24"/>
        </w:rPr>
        <w:t>, núm. 19, 2013.</w:t>
      </w:r>
    </w:p>
    <w:p w14:paraId="58BAA6AA" w14:textId="77777777" w:rsidR="00316C24" w:rsidRPr="00D21FAC" w:rsidRDefault="00316C24" w:rsidP="00316C24">
      <w:pPr>
        <w:spacing w:before="240" w:after="240"/>
        <w:rPr>
          <w:szCs w:val="24"/>
        </w:rPr>
      </w:pPr>
      <w:r w:rsidRPr="00D21FAC">
        <w:rPr>
          <w:szCs w:val="24"/>
        </w:rPr>
        <w:t xml:space="preserve">PÉREZ GURREA, R., </w:t>
      </w:r>
      <w:r>
        <w:rPr>
          <w:szCs w:val="24"/>
        </w:rPr>
        <w:t>“</w:t>
      </w:r>
      <w:r w:rsidRPr="00D21FAC">
        <w:rPr>
          <w:szCs w:val="24"/>
        </w:rPr>
        <w:t>El nuevo amparo constitucional: la STC 155/2009, de 25 de junio y su fundamentación jurídica</w:t>
      </w:r>
      <w:r>
        <w:rPr>
          <w:szCs w:val="24"/>
        </w:rPr>
        <w:t>”</w:t>
      </w:r>
      <w:r w:rsidRPr="00D21FAC">
        <w:rPr>
          <w:szCs w:val="24"/>
        </w:rPr>
        <w:t xml:space="preserve">, </w:t>
      </w:r>
      <w:r w:rsidRPr="00E5509E">
        <w:rPr>
          <w:i/>
          <w:szCs w:val="24"/>
        </w:rPr>
        <w:t>Diario La Ley</w:t>
      </w:r>
      <w:r>
        <w:rPr>
          <w:szCs w:val="24"/>
        </w:rPr>
        <w:t>, núm.</w:t>
      </w:r>
      <w:r w:rsidRPr="00D21FAC">
        <w:rPr>
          <w:szCs w:val="24"/>
        </w:rPr>
        <w:t xml:space="preserve"> 7748, Sección Doctrina, </w:t>
      </w:r>
      <w:r>
        <w:rPr>
          <w:szCs w:val="24"/>
        </w:rPr>
        <w:t>2011.</w:t>
      </w:r>
    </w:p>
    <w:p w14:paraId="0B98ABA4" w14:textId="77777777" w:rsidR="00316C24" w:rsidRPr="00497C84" w:rsidRDefault="00316C24" w:rsidP="00316C24">
      <w:pPr>
        <w:spacing w:before="240" w:after="240"/>
      </w:pPr>
      <w:r w:rsidRPr="005B1708">
        <w:t xml:space="preserve">PÉREZ GURREA, R., “El trámite de admisión del recurso de amparo: la especial trascendencia constitucional”, </w:t>
      </w:r>
      <w:r w:rsidRPr="005B1708">
        <w:rPr>
          <w:i/>
        </w:rPr>
        <w:t>Revista General de Derecho Procesal</w:t>
      </w:r>
      <w:r>
        <w:t>, núm. 27, 2012</w:t>
      </w:r>
    </w:p>
    <w:p w14:paraId="7AFD6AEC" w14:textId="77777777" w:rsidR="00316C24" w:rsidRPr="00D21FAC" w:rsidRDefault="00316C24" w:rsidP="00316C24">
      <w:pPr>
        <w:spacing w:before="240" w:after="240"/>
        <w:rPr>
          <w:szCs w:val="24"/>
        </w:rPr>
      </w:pPr>
      <w:r w:rsidRPr="00D21FAC">
        <w:rPr>
          <w:szCs w:val="24"/>
        </w:rPr>
        <w:t xml:space="preserve">PÉREZ TREMPS, P. “El acceso al recurso de amparo”, en </w:t>
      </w:r>
      <w:r>
        <w:rPr>
          <w:szCs w:val="24"/>
        </w:rPr>
        <w:t xml:space="preserve">AA.VV., </w:t>
      </w:r>
      <w:r w:rsidRPr="000F033E">
        <w:rPr>
          <w:i/>
          <w:szCs w:val="24"/>
        </w:rPr>
        <w:t>Teoría y Metodología del Derecho. Estudio en homenaje al profesor Gregorio Peces-Barba,</w:t>
      </w:r>
      <w:r w:rsidRPr="00D21FAC">
        <w:rPr>
          <w:szCs w:val="24"/>
        </w:rPr>
        <w:t xml:space="preserve"> volumen II</w:t>
      </w:r>
      <w:r>
        <w:rPr>
          <w:szCs w:val="24"/>
        </w:rPr>
        <w:t>, Madrid, 2008.</w:t>
      </w:r>
    </w:p>
    <w:p w14:paraId="66FBD059" w14:textId="77777777" w:rsidR="00316C24" w:rsidRPr="00D21FAC" w:rsidRDefault="00316C24" w:rsidP="00316C24">
      <w:pPr>
        <w:spacing w:before="240" w:after="240"/>
        <w:rPr>
          <w:szCs w:val="24"/>
        </w:rPr>
      </w:pPr>
      <w:r w:rsidRPr="00D21FAC">
        <w:rPr>
          <w:szCs w:val="24"/>
        </w:rPr>
        <w:t xml:space="preserve">PÉREZ TREMPS, P. “La especial trascendencia constitucional del recurso de amparo como categoría constitucional: entre ‘morir de éxito’ o ‘vivir en el fracaso’”, </w:t>
      </w:r>
      <w:r w:rsidRPr="00D21FAC">
        <w:rPr>
          <w:i/>
          <w:iCs/>
          <w:szCs w:val="24"/>
        </w:rPr>
        <w:t>UNED. Teoría y Realidad Constitucional</w:t>
      </w:r>
      <w:r>
        <w:rPr>
          <w:szCs w:val="24"/>
        </w:rPr>
        <w:t>, núm. 41, 2018.</w:t>
      </w:r>
    </w:p>
    <w:p w14:paraId="6574E6D5" w14:textId="77777777" w:rsidR="00316C24" w:rsidRDefault="00316C24" w:rsidP="00316C24">
      <w:pPr>
        <w:spacing w:before="240" w:after="240"/>
        <w:rPr>
          <w:szCs w:val="24"/>
        </w:rPr>
      </w:pPr>
      <w:r w:rsidRPr="00BF0227">
        <w:rPr>
          <w:szCs w:val="24"/>
        </w:rPr>
        <w:t>PÉREZ TREMPS, P.</w:t>
      </w:r>
      <w:r>
        <w:rPr>
          <w:szCs w:val="24"/>
        </w:rPr>
        <w:t>,</w:t>
      </w:r>
      <w:r w:rsidRPr="00BF0227">
        <w:rPr>
          <w:szCs w:val="24"/>
        </w:rPr>
        <w:t xml:space="preserve"> “Apéndice: El recurso de amparo en la Constitución de</w:t>
      </w:r>
      <w:r>
        <w:rPr>
          <w:szCs w:val="24"/>
        </w:rPr>
        <w:t xml:space="preserve"> 1978”, </w:t>
      </w:r>
      <w:r w:rsidRPr="00BF0227">
        <w:rPr>
          <w:i/>
          <w:szCs w:val="24"/>
        </w:rPr>
        <w:t>El recurso de amparo en el derecho español</w:t>
      </w:r>
      <w:r>
        <w:rPr>
          <w:szCs w:val="24"/>
        </w:rPr>
        <w:t>,</w:t>
      </w:r>
      <w:r w:rsidRPr="00BF0227">
        <w:rPr>
          <w:szCs w:val="24"/>
        </w:rPr>
        <w:t xml:space="preserve"> Madrid, 1980.</w:t>
      </w:r>
    </w:p>
    <w:p w14:paraId="50C866EC" w14:textId="77777777" w:rsidR="00316C24" w:rsidRPr="00BF0227" w:rsidRDefault="00316C24" w:rsidP="00316C24">
      <w:pPr>
        <w:spacing w:before="240" w:after="240"/>
        <w:rPr>
          <w:szCs w:val="24"/>
        </w:rPr>
      </w:pPr>
      <w:r w:rsidRPr="00BF0227">
        <w:rPr>
          <w:szCs w:val="24"/>
        </w:rPr>
        <w:t>PÉREZ TREMPS, P.</w:t>
      </w:r>
      <w:r>
        <w:rPr>
          <w:szCs w:val="24"/>
        </w:rPr>
        <w:t>,</w:t>
      </w:r>
      <w:r w:rsidRPr="00BF0227">
        <w:rPr>
          <w:szCs w:val="24"/>
        </w:rPr>
        <w:t xml:space="preserve"> “El recurso de amparo constitucional. Aspectos</w:t>
      </w:r>
      <w:r>
        <w:rPr>
          <w:szCs w:val="24"/>
        </w:rPr>
        <w:t xml:space="preserve"> procesales II”., en AA. VV., </w:t>
      </w:r>
      <w:r w:rsidRPr="00BF0227">
        <w:rPr>
          <w:szCs w:val="24"/>
        </w:rPr>
        <w:t>Los procesos constitucionales (Segundo Simposio de</w:t>
      </w:r>
      <w:r>
        <w:rPr>
          <w:szCs w:val="24"/>
        </w:rPr>
        <w:t xml:space="preserve"> </w:t>
      </w:r>
      <w:r w:rsidRPr="00BF0227">
        <w:rPr>
          <w:szCs w:val="24"/>
        </w:rPr>
        <w:t xml:space="preserve">Derecho Constitucional, Sevilla, </w:t>
      </w:r>
      <w:r>
        <w:rPr>
          <w:szCs w:val="24"/>
        </w:rPr>
        <w:t xml:space="preserve">27 y 28 de septiembre de 1991), </w:t>
      </w:r>
      <w:r w:rsidRPr="00BF0227">
        <w:rPr>
          <w:szCs w:val="24"/>
        </w:rPr>
        <w:t>Madrid, 1992.</w:t>
      </w:r>
    </w:p>
    <w:p w14:paraId="33215B01"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PÉREZ TREMPS, P., “</w:t>
      </w:r>
      <w:r w:rsidRPr="00827EB4">
        <w:rPr>
          <w:rFonts w:ascii="Times New Roman" w:hAnsi="Times New Roman"/>
          <w:szCs w:val="24"/>
        </w:rPr>
        <w:t>El recurso de Amparo Constituc</w:t>
      </w:r>
      <w:r>
        <w:rPr>
          <w:rFonts w:ascii="Times New Roman" w:hAnsi="Times New Roman"/>
          <w:szCs w:val="24"/>
        </w:rPr>
        <w:t xml:space="preserve">ional: Aspectos procesales”, </w:t>
      </w:r>
      <w:r w:rsidRPr="00827EB4">
        <w:rPr>
          <w:rFonts w:ascii="Times New Roman" w:hAnsi="Times New Roman"/>
          <w:szCs w:val="24"/>
        </w:rPr>
        <w:t>en AA.VV.</w:t>
      </w:r>
      <w:r>
        <w:rPr>
          <w:rFonts w:ascii="Times New Roman" w:hAnsi="Times New Roman"/>
          <w:szCs w:val="24"/>
        </w:rPr>
        <w:t>,</w:t>
      </w:r>
      <w:r w:rsidRPr="00827EB4">
        <w:rPr>
          <w:rFonts w:ascii="Times New Roman" w:hAnsi="Times New Roman"/>
          <w:szCs w:val="24"/>
        </w:rPr>
        <w:t xml:space="preserve"> </w:t>
      </w:r>
      <w:r w:rsidRPr="000F033E">
        <w:rPr>
          <w:rFonts w:ascii="Times New Roman" w:hAnsi="Times New Roman"/>
          <w:i/>
          <w:szCs w:val="24"/>
        </w:rPr>
        <w:t>Los procesos constitucionales (Segundo Simposio de Derecho Constitucional),</w:t>
      </w:r>
      <w:r w:rsidRPr="00827EB4">
        <w:rPr>
          <w:rFonts w:ascii="Times New Roman" w:hAnsi="Times New Roman"/>
          <w:szCs w:val="24"/>
        </w:rPr>
        <w:t xml:space="preserve"> Centro de Estudios Constitucionales</w:t>
      </w:r>
      <w:r>
        <w:rPr>
          <w:rFonts w:ascii="Times New Roman" w:hAnsi="Times New Roman"/>
          <w:szCs w:val="24"/>
        </w:rPr>
        <w:t>, Madrid, 1992.</w:t>
      </w:r>
    </w:p>
    <w:p w14:paraId="21AD0517" w14:textId="77777777" w:rsidR="00316C24" w:rsidRPr="00BF0227" w:rsidRDefault="00316C24" w:rsidP="00316C24">
      <w:pPr>
        <w:spacing w:before="240" w:after="240"/>
        <w:rPr>
          <w:szCs w:val="24"/>
        </w:rPr>
      </w:pPr>
      <w:r>
        <w:rPr>
          <w:szCs w:val="24"/>
        </w:rPr>
        <w:t>PÉREZ TREMPS, P.,</w:t>
      </w:r>
      <w:r w:rsidRPr="00BF0227">
        <w:rPr>
          <w:szCs w:val="24"/>
        </w:rPr>
        <w:t xml:space="preserve"> “La naturaleza del recurso de amparo y su configuración</w:t>
      </w:r>
      <w:r>
        <w:rPr>
          <w:szCs w:val="24"/>
        </w:rPr>
        <w:t xml:space="preserve"> </w:t>
      </w:r>
      <w:r w:rsidRPr="00BF0227">
        <w:rPr>
          <w:szCs w:val="24"/>
        </w:rPr>
        <w:t xml:space="preserve">procesal”. </w:t>
      </w:r>
      <w:r w:rsidRPr="00BF0227">
        <w:rPr>
          <w:i/>
          <w:szCs w:val="24"/>
        </w:rPr>
        <w:t>Revista Vasca de Administración Pública</w:t>
      </w:r>
      <w:r w:rsidRPr="00BF0227">
        <w:rPr>
          <w:szCs w:val="24"/>
        </w:rPr>
        <w:t>, núm.39, 1994.</w:t>
      </w:r>
    </w:p>
    <w:p w14:paraId="05A90106"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PÉREZ TREMPS, P., “</w:t>
      </w:r>
      <w:r w:rsidRPr="00827EB4">
        <w:rPr>
          <w:rFonts w:ascii="Times New Roman" w:hAnsi="Times New Roman"/>
          <w:szCs w:val="24"/>
        </w:rPr>
        <w:t>Tribunal Constitucional, juez ordinario y una</w:t>
      </w:r>
      <w:r>
        <w:rPr>
          <w:rFonts w:ascii="Times New Roman" w:hAnsi="Times New Roman"/>
          <w:szCs w:val="24"/>
        </w:rPr>
        <w:t xml:space="preserve"> deuda pendiente del legislador”</w:t>
      </w:r>
      <w:r w:rsidRPr="00827EB4">
        <w:rPr>
          <w:rFonts w:ascii="Times New Roman" w:hAnsi="Times New Roman"/>
          <w:szCs w:val="24"/>
        </w:rPr>
        <w:t>, en AA.VV. Manuel Aragón Reyes</w:t>
      </w:r>
      <w:r>
        <w:rPr>
          <w:rFonts w:ascii="Times New Roman" w:hAnsi="Times New Roman"/>
          <w:szCs w:val="24"/>
        </w:rPr>
        <w:t xml:space="preserve"> </w:t>
      </w:r>
      <w:r w:rsidRPr="00827EB4">
        <w:rPr>
          <w:rFonts w:ascii="Times New Roman" w:hAnsi="Times New Roman"/>
          <w:szCs w:val="24"/>
        </w:rPr>
        <w:t>(Coord.</w:t>
      </w:r>
      <w:r>
        <w:rPr>
          <w:rFonts w:ascii="Times New Roman" w:hAnsi="Times New Roman"/>
          <w:szCs w:val="24"/>
        </w:rPr>
        <w:t>)</w:t>
      </w:r>
      <w:r w:rsidRPr="00827EB4">
        <w:rPr>
          <w:rFonts w:ascii="Times New Roman" w:hAnsi="Times New Roman"/>
          <w:szCs w:val="24"/>
        </w:rPr>
        <w:t>, La</w:t>
      </w:r>
      <w:r w:rsidRPr="00827EB4">
        <w:rPr>
          <w:rFonts w:ascii="Times New Roman" w:hAnsi="Times New Roman"/>
          <w:i/>
          <w:szCs w:val="24"/>
        </w:rPr>
        <w:t xml:space="preserve"> democracia constitucional: estudios en homenaje al profesor Francisco Rubio Llorente</w:t>
      </w:r>
      <w:r w:rsidRPr="00827EB4">
        <w:rPr>
          <w:rFonts w:ascii="Times New Roman" w:hAnsi="Times New Roman"/>
          <w:szCs w:val="24"/>
        </w:rPr>
        <w:t>, Vol</w:t>
      </w:r>
      <w:r>
        <w:rPr>
          <w:rFonts w:ascii="Times New Roman" w:hAnsi="Times New Roman"/>
          <w:szCs w:val="24"/>
        </w:rPr>
        <w:t>. 2, Madrid, 2002.</w:t>
      </w:r>
    </w:p>
    <w:p w14:paraId="3F990976" w14:textId="77777777" w:rsidR="00316C24" w:rsidRPr="00497C84" w:rsidRDefault="00316C24" w:rsidP="00316C24">
      <w:pPr>
        <w:spacing w:before="240" w:after="240"/>
      </w:pPr>
      <w:r w:rsidRPr="00B0532D">
        <w:t xml:space="preserve">PÉREZ TREMPS, P., </w:t>
      </w:r>
      <w:r w:rsidRPr="00224183">
        <w:rPr>
          <w:i/>
        </w:rPr>
        <w:t>El recurso de amparo</w:t>
      </w:r>
      <w:r>
        <w:t>, Valencia, 2015</w:t>
      </w:r>
      <w:r w:rsidRPr="00D21FAC">
        <w:rPr>
          <w:szCs w:val="24"/>
        </w:rPr>
        <w:t>.</w:t>
      </w:r>
    </w:p>
    <w:p w14:paraId="6D0CDC3D" w14:textId="77777777" w:rsidR="00316C24" w:rsidRPr="000F033E" w:rsidRDefault="00316C24" w:rsidP="00316C24">
      <w:pPr>
        <w:spacing w:before="240" w:after="240"/>
        <w:rPr>
          <w:szCs w:val="24"/>
        </w:rPr>
      </w:pPr>
      <w:r w:rsidRPr="00B0532D">
        <w:lastRenderedPageBreak/>
        <w:t xml:space="preserve">PÉREZ TREMPS, P., </w:t>
      </w:r>
      <w:r w:rsidRPr="000F033E">
        <w:rPr>
          <w:i/>
          <w:szCs w:val="24"/>
        </w:rPr>
        <w:t>La reforma del proceso de amparo: la experiencia comparada</w:t>
      </w:r>
      <w:r>
        <w:rPr>
          <w:i/>
          <w:szCs w:val="24"/>
        </w:rPr>
        <w:t xml:space="preserve">, </w:t>
      </w:r>
      <w:r w:rsidRPr="000F033E">
        <w:rPr>
          <w:szCs w:val="24"/>
        </w:rPr>
        <w:t xml:space="preserve">Samuel B. Abad </w:t>
      </w:r>
      <w:proofErr w:type="spellStart"/>
      <w:r w:rsidRPr="000F033E">
        <w:rPr>
          <w:szCs w:val="24"/>
        </w:rPr>
        <w:t>Yupanquis</w:t>
      </w:r>
      <w:proofErr w:type="spellEnd"/>
      <w:r>
        <w:rPr>
          <w:szCs w:val="24"/>
        </w:rPr>
        <w:t xml:space="preserve"> (Coord.</w:t>
      </w:r>
      <w:r w:rsidRPr="000F033E">
        <w:rPr>
          <w:szCs w:val="24"/>
        </w:rPr>
        <w:t>), Lima, 2009.</w:t>
      </w:r>
    </w:p>
    <w:p w14:paraId="216A1157" w14:textId="77777777" w:rsidR="00316C24" w:rsidRPr="000F033E" w:rsidRDefault="00316C24" w:rsidP="00316C24">
      <w:pPr>
        <w:spacing w:before="240" w:after="240"/>
        <w:rPr>
          <w:szCs w:val="24"/>
        </w:rPr>
      </w:pPr>
      <w:r w:rsidRPr="00B0532D">
        <w:t xml:space="preserve">PÉREZ TREMPS, P., </w:t>
      </w:r>
      <w:r w:rsidRPr="000F033E">
        <w:rPr>
          <w:i/>
          <w:szCs w:val="24"/>
        </w:rPr>
        <w:t>La reforma del recurso de amparo</w:t>
      </w:r>
      <w:r w:rsidRPr="000F033E">
        <w:rPr>
          <w:szCs w:val="24"/>
        </w:rPr>
        <w:t xml:space="preserve"> (Coord.), Valencia, 2004.</w:t>
      </w:r>
    </w:p>
    <w:p w14:paraId="7D27EFC6" w14:textId="77777777" w:rsidR="00316C24" w:rsidRDefault="00316C24" w:rsidP="00316C24">
      <w:pPr>
        <w:spacing w:before="240" w:after="240"/>
        <w:rPr>
          <w:szCs w:val="24"/>
        </w:rPr>
      </w:pPr>
      <w:r w:rsidRPr="00B0532D">
        <w:t xml:space="preserve">PÉREZ TREMPS, P., </w:t>
      </w:r>
      <w:r w:rsidRPr="000F033E">
        <w:rPr>
          <w:i/>
          <w:szCs w:val="24"/>
        </w:rPr>
        <w:t>La reforma del Tribunal Constitucional. Actas del V Congreso de la Asociación de Constitucionalistas de España</w:t>
      </w:r>
      <w:r w:rsidRPr="000F033E">
        <w:rPr>
          <w:szCs w:val="24"/>
        </w:rPr>
        <w:t xml:space="preserve"> (Coord.), Valencia, 2007.</w:t>
      </w:r>
    </w:p>
    <w:p w14:paraId="00266F7A" w14:textId="77777777" w:rsidR="00316C24" w:rsidRPr="00D21FAC" w:rsidRDefault="00316C24" w:rsidP="00316C24">
      <w:pPr>
        <w:spacing w:before="240" w:after="240"/>
        <w:rPr>
          <w:szCs w:val="24"/>
        </w:rPr>
      </w:pPr>
      <w:r w:rsidRPr="00B0532D">
        <w:t>PÉREZ TREMPS, P</w:t>
      </w:r>
      <w:r w:rsidRPr="000F033E">
        <w:rPr>
          <w:i/>
        </w:rPr>
        <w:t xml:space="preserve">., </w:t>
      </w:r>
      <w:r w:rsidRPr="000F033E">
        <w:rPr>
          <w:i/>
          <w:szCs w:val="24"/>
        </w:rPr>
        <w:t>Los procesos constitucionales (La experiencia española),</w:t>
      </w:r>
      <w:r w:rsidRPr="000F033E">
        <w:rPr>
          <w:szCs w:val="24"/>
        </w:rPr>
        <w:t xml:space="preserve"> Lima, 2006.</w:t>
      </w:r>
    </w:p>
    <w:p w14:paraId="5D8F4833" w14:textId="77777777" w:rsidR="00316C24" w:rsidRDefault="00316C24" w:rsidP="00316C24">
      <w:pPr>
        <w:spacing w:before="240" w:after="240"/>
        <w:rPr>
          <w:szCs w:val="24"/>
        </w:rPr>
      </w:pPr>
      <w:r w:rsidRPr="00D21FAC">
        <w:rPr>
          <w:szCs w:val="24"/>
        </w:rPr>
        <w:t xml:space="preserve">PÉREZ TREMPS, P., </w:t>
      </w:r>
      <w:r w:rsidRPr="00D21FAC">
        <w:rPr>
          <w:i/>
          <w:iCs/>
          <w:szCs w:val="24"/>
        </w:rPr>
        <w:t>Sistema de Justicia Constitucional</w:t>
      </w:r>
      <w:r w:rsidRPr="00D21FAC">
        <w:rPr>
          <w:szCs w:val="24"/>
        </w:rPr>
        <w:t>, Navarra, 2010.</w:t>
      </w:r>
    </w:p>
    <w:p w14:paraId="5CD1C529" w14:textId="77777777" w:rsidR="00316C24" w:rsidRPr="00BF0227" w:rsidRDefault="00316C24" w:rsidP="00316C24">
      <w:pPr>
        <w:spacing w:before="240" w:after="240"/>
        <w:rPr>
          <w:szCs w:val="24"/>
        </w:rPr>
      </w:pPr>
      <w:r>
        <w:rPr>
          <w:szCs w:val="24"/>
        </w:rPr>
        <w:t>PÉREZ TREMPS, P.,</w:t>
      </w:r>
      <w:r w:rsidRPr="00BF0227">
        <w:rPr>
          <w:szCs w:val="24"/>
        </w:rPr>
        <w:t xml:space="preserve"> </w:t>
      </w:r>
      <w:r w:rsidRPr="00BF0227">
        <w:rPr>
          <w:i/>
          <w:szCs w:val="24"/>
        </w:rPr>
        <w:t>Tribunal Constitucional y Poder Judicial</w:t>
      </w:r>
      <w:r>
        <w:rPr>
          <w:szCs w:val="24"/>
        </w:rPr>
        <w:t xml:space="preserve">, </w:t>
      </w:r>
      <w:r w:rsidRPr="00BF0227">
        <w:rPr>
          <w:szCs w:val="24"/>
        </w:rPr>
        <w:t xml:space="preserve"> Madrid, 1985.</w:t>
      </w:r>
    </w:p>
    <w:p w14:paraId="7685AF0D" w14:textId="77777777" w:rsidR="00316C24" w:rsidRDefault="00316C24" w:rsidP="00316C24">
      <w:pPr>
        <w:spacing w:before="240" w:after="240"/>
        <w:rPr>
          <w:szCs w:val="24"/>
        </w:rPr>
      </w:pPr>
      <w:r w:rsidRPr="00B0532D">
        <w:t xml:space="preserve">PÉREZ TREMPS, P., </w:t>
      </w:r>
      <w:r w:rsidRPr="000F033E">
        <w:rPr>
          <w:i/>
          <w:szCs w:val="24"/>
        </w:rPr>
        <w:t>Veinte años de jurisdicción constitucional en España</w:t>
      </w:r>
      <w:r w:rsidRPr="000F033E">
        <w:rPr>
          <w:szCs w:val="24"/>
        </w:rPr>
        <w:t xml:space="preserve"> (con L. Aguiar de Luque, Dres.), Valencia, 2002.</w:t>
      </w:r>
    </w:p>
    <w:p w14:paraId="01997AEA" w14:textId="77777777" w:rsidR="00316C24" w:rsidRPr="00D21FAC" w:rsidRDefault="00316C24" w:rsidP="00316C24">
      <w:pPr>
        <w:spacing w:before="240" w:after="240"/>
        <w:rPr>
          <w:szCs w:val="24"/>
        </w:rPr>
      </w:pPr>
      <w:r w:rsidRPr="00D21FAC">
        <w:rPr>
          <w:szCs w:val="24"/>
        </w:rPr>
        <w:t>PÉREZ TREMPS, P.: “La articulación de las jurisdicciones constitucional y ordinaria en</w:t>
      </w:r>
      <w:r>
        <w:rPr>
          <w:szCs w:val="24"/>
        </w:rPr>
        <w:t xml:space="preserve"> la protección de los derechos”, </w:t>
      </w:r>
      <w:r w:rsidRPr="009D61FE">
        <w:rPr>
          <w:szCs w:val="24"/>
        </w:rPr>
        <w:t xml:space="preserve">en AA.VV., </w:t>
      </w:r>
      <w:r w:rsidRPr="009D61FE">
        <w:rPr>
          <w:i/>
          <w:szCs w:val="24"/>
        </w:rPr>
        <w:t>La protección jurisdiccional de los derechos. Actas del XI Congreso de la Asociación de Constitucionalistas de España</w:t>
      </w:r>
      <w:r w:rsidRPr="009D61FE">
        <w:rPr>
          <w:szCs w:val="24"/>
        </w:rPr>
        <w:t>, Valencia, 2015.</w:t>
      </w:r>
    </w:p>
    <w:p w14:paraId="780D19C7" w14:textId="77777777" w:rsidR="00316C24" w:rsidRDefault="00316C24" w:rsidP="00316C24">
      <w:pPr>
        <w:spacing w:before="240" w:after="240"/>
        <w:rPr>
          <w:szCs w:val="24"/>
        </w:rPr>
      </w:pPr>
      <w:r w:rsidRPr="00BF0227">
        <w:rPr>
          <w:szCs w:val="24"/>
        </w:rPr>
        <w:t>PÉREZ TREMPS, P.: “La naturaleza del recurso de amparo y su configuración</w:t>
      </w:r>
      <w:r>
        <w:rPr>
          <w:szCs w:val="24"/>
        </w:rPr>
        <w:t xml:space="preserve"> procesal”, en AA. VV</w:t>
      </w:r>
      <w:r w:rsidRPr="00BF0227">
        <w:rPr>
          <w:i/>
          <w:szCs w:val="24"/>
        </w:rPr>
        <w:t>., Constitución y derecho público: estudios en homenaje a Santiago</w:t>
      </w:r>
      <w:r>
        <w:rPr>
          <w:i/>
          <w:szCs w:val="24"/>
        </w:rPr>
        <w:t xml:space="preserve"> </w:t>
      </w:r>
      <w:r w:rsidRPr="00BF0227">
        <w:rPr>
          <w:i/>
          <w:szCs w:val="24"/>
        </w:rPr>
        <w:t>Varela</w:t>
      </w:r>
      <w:r>
        <w:rPr>
          <w:i/>
          <w:szCs w:val="24"/>
        </w:rPr>
        <w:t xml:space="preserve">, </w:t>
      </w:r>
      <w:r w:rsidRPr="00BF0227">
        <w:rPr>
          <w:szCs w:val="24"/>
        </w:rPr>
        <w:t>Valencia, 1995.</w:t>
      </w:r>
    </w:p>
    <w:p w14:paraId="29A2DF08" w14:textId="77777777" w:rsidR="00316C24" w:rsidRPr="00D21FAC" w:rsidRDefault="00316C24" w:rsidP="00316C24">
      <w:pPr>
        <w:spacing w:before="240" w:after="240"/>
        <w:rPr>
          <w:szCs w:val="24"/>
        </w:rPr>
      </w:pPr>
      <w:r w:rsidRPr="00D21FAC">
        <w:rPr>
          <w:szCs w:val="24"/>
        </w:rPr>
        <w:t xml:space="preserve">PULIDO QUECEDO, M., “El requisito de la especial transcendencia constitucional, en el recurso de amparo”, </w:t>
      </w:r>
      <w:r w:rsidRPr="000F033E">
        <w:rPr>
          <w:i/>
          <w:szCs w:val="24"/>
        </w:rPr>
        <w:t>Revista Aranzadi doctrinal</w:t>
      </w:r>
      <w:r>
        <w:rPr>
          <w:szCs w:val="24"/>
        </w:rPr>
        <w:t>, núm. 6, 2009.</w:t>
      </w:r>
    </w:p>
    <w:p w14:paraId="6852FEF6"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RALLO L</w:t>
      </w:r>
      <w:r>
        <w:rPr>
          <w:rFonts w:ascii="Times New Roman" w:hAnsi="Times New Roman"/>
          <w:szCs w:val="24"/>
        </w:rPr>
        <w:t>OMBARTE, A., “</w:t>
      </w:r>
      <w:r w:rsidRPr="00827EB4">
        <w:rPr>
          <w:rFonts w:ascii="Times New Roman" w:hAnsi="Times New Roman"/>
          <w:szCs w:val="24"/>
        </w:rPr>
        <w:t>El Tribunal de Garantías Constitucionales como Tribunal de Garantías Electorales</w:t>
      </w:r>
      <w:r>
        <w:rPr>
          <w:rFonts w:ascii="Times New Roman" w:hAnsi="Times New Roman"/>
          <w:szCs w:val="24"/>
        </w:rPr>
        <w:t>”</w:t>
      </w:r>
      <w:r w:rsidRPr="00827EB4">
        <w:rPr>
          <w:rFonts w:ascii="Times New Roman" w:hAnsi="Times New Roman"/>
          <w:i/>
          <w:szCs w:val="24"/>
        </w:rPr>
        <w:t>, Revista de Estudios Políticos (Nueva Época),</w:t>
      </w:r>
      <w:r>
        <w:rPr>
          <w:rFonts w:ascii="Times New Roman" w:hAnsi="Times New Roman"/>
          <w:szCs w:val="24"/>
        </w:rPr>
        <w:t xml:space="preserve"> núm. 92, 1996.</w:t>
      </w:r>
    </w:p>
    <w:p w14:paraId="530C0107" w14:textId="77777777" w:rsidR="00316C24" w:rsidRPr="00B0532D" w:rsidRDefault="00316C24" w:rsidP="00316C24">
      <w:pPr>
        <w:spacing w:before="240" w:after="240"/>
      </w:pPr>
      <w:r w:rsidRPr="00B0532D">
        <w:t xml:space="preserve">REQUEJO PAGÉS, J. L., </w:t>
      </w:r>
      <w:r>
        <w:t>“</w:t>
      </w:r>
      <w:r w:rsidRPr="00B0532D">
        <w:t>La lógica de la subsidiariedad y sus perversiones. Los recursos de amparo mixtos</w:t>
      </w:r>
      <w:r>
        <w:t>”</w:t>
      </w:r>
      <w:r w:rsidRPr="00B0532D">
        <w:t xml:space="preserve">. </w:t>
      </w:r>
      <w:r w:rsidRPr="00610EBF">
        <w:rPr>
          <w:i/>
        </w:rPr>
        <w:t>Revista Española de Derecho Constitucional</w:t>
      </w:r>
      <w:r>
        <w:t>,</w:t>
      </w:r>
      <w:r w:rsidRPr="00B0532D">
        <w:t xml:space="preserve"> </w:t>
      </w:r>
      <w:r>
        <w:t>n</w:t>
      </w:r>
      <w:r w:rsidRPr="00B0532D">
        <w:t>úm. 6</w:t>
      </w:r>
      <w:r>
        <w:t>6, 2002.</w:t>
      </w:r>
    </w:p>
    <w:p w14:paraId="0E904555" w14:textId="77777777" w:rsidR="00316C24" w:rsidRPr="00D21FAC" w:rsidRDefault="00316C24" w:rsidP="00316C24">
      <w:pPr>
        <w:spacing w:before="240" w:after="240"/>
        <w:rPr>
          <w:szCs w:val="24"/>
        </w:rPr>
      </w:pPr>
      <w:r w:rsidRPr="00D21FAC">
        <w:rPr>
          <w:szCs w:val="24"/>
        </w:rPr>
        <w:t>REQUEJO PAGES, J.L. “Debate sobre las crónicas”,</w:t>
      </w:r>
      <w:r>
        <w:rPr>
          <w:szCs w:val="24"/>
        </w:rPr>
        <w:t xml:space="preserve"> </w:t>
      </w:r>
      <w:r w:rsidRPr="009D61FE">
        <w:rPr>
          <w:szCs w:val="24"/>
        </w:rPr>
        <w:t>en AA. VV., La</w:t>
      </w:r>
      <w:r w:rsidRPr="009D61FE">
        <w:rPr>
          <w:i/>
          <w:szCs w:val="24"/>
        </w:rPr>
        <w:t xml:space="preserve"> defensa de los derechos fundamentales: Tribunal Constitucional y Poder Judicial, Actas de la </w:t>
      </w:r>
      <w:r w:rsidRPr="009D61FE">
        <w:rPr>
          <w:i/>
          <w:szCs w:val="24"/>
        </w:rPr>
        <w:lastRenderedPageBreak/>
        <w:t>Asociación de Letrados del Tribunal Constitucional, Tribunal Constitucional</w:t>
      </w:r>
      <w:r w:rsidRPr="009D61FE">
        <w:rPr>
          <w:szCs w:val="24"/>
        </w:rPr>
        <w:t>, Madrid. Centro de Estudios Políticos y Constitucionales, 2010</w:t>
      </w:r>
    </w:p>
    <w:p w14:paraId="4FC094E9" w14:textId="77777777" w:rsidR="00316C24" w:rsidRPr="00D21FAC" w:rsidRDefault="00316C24" w:rsidP="00316C24">
      <w:pPr>
        <w:spacing w:before="240" w:after="240"/>
        <w:rPr>
          <w:szCs w:val="24"/>
        </w:rPr>
      </w:pPr>
      <w:r w:rsidRPr="00D21FAC">
        <w:rPr>
          <w:szCs w:val="24"/>
        </w:rPr>
        <w:t>REQUEJO PAGES, J.L., “Hacía la objetivación del recurso de amparo constitucional (Comentario al Auto de la Sala Primera del Tribunal Constitucional de 19 de septiembre de 1994)</w:t>
      </w:r>
      <w:r>
        <w:rPr>
          <w:szCs w:val="24"/>
        </w:rPr>
        <w:t>,</w:t>
      </w:r>
      <w:r w:rsidRPr="00D21FAC">
        <w:rPr>
          <w:szCs w:val="24"/>
        </w:rPr>
        <w:t xml:space="preserve"> </w:t>
      </w:r>
      <w:r w:rsidRPr="000F033E">
        <w:rPr>
          <w:i/>
          <w:szCs w:val="24"/>
        </w:rPr>
        <w:t>Revista Española de Derecho Constitucional</w:t>
      </w:r>
      <w:r w:rsidRPr="00D21FAC">
        <w:rPr>
          <w:szCs w:val="24"/>
        </w:rPr>
        <w:t xml:space="preserve">, núm. 42, </w:t>
      </w:r>
      <w:r>
        <w:rPr>
          <w:szCs w:val="24"/>
        </w:rPr>
        <w:t xml:space="preserve">Madrid. </w:t>
      </w:r>
      <w:r w:rsidRPr="00D21FAC">
        <w:rPr>
          <w:szCs w:val="24"/>
        </w:rPr>
        <w:t>Centro de Estudios Políticos y Constitucionales, 1994</w:t>
      </w:r>
      <w:r>
        <w:rPr>
          <w:szCs w:val="24"/>
        </w:rPr>
        <w:t>.</w:t>
      </w:r>
    </w:p>
    <w:p w14:paraId="2A1D8FFA" w14:textId="77777777" w:rsidR="00316C24" w:rsidRPr="00D21FAC" w:rsidRDefault="00316C24" w:rsidP="00316C24">
      <w:pPr>
        <w:spacing w:before="240" w:after="240"/>
        <w:rPr>
          <w:szCs w:val="24"/>
        </w:rPr>
      </w:pPr>
      <w:r w:rsidRPr="00D21FAC">
        <w:rPr>
          <w:szCs w:val="24"/>
        </w:rPr>
        <w:t>REQUEJO PAGÉS, J.L.: “Jurisdicción Constitucional. D</w:t>
      </w:r>
      <w:r>
        <w:rPr>
          <w:szCs w:val="24"/>
        </w:rPr>
        <w:t>erecho Procesal Constitucional”,</w:t>
      </w:r>
      <w:r w:rsidRPr="00D21FAC">
        <w:rPr>
          <w:szCs w:val="24"/>
        </w:rPr>
        <w:t xml:space="preserve"> </w:t>
      </w:r>
      <w:r w:rsidRPr="000F033E">
        <w:rPr>
          <w:i/>
          <w:szCs w:val="24"/>
        </w:rPr>
        <w:t>Revista Española de Derecho Constitucional</w:t>
      </w:r>
      <w:r>
        <w:rPr>
          <w:i/>
          <w:szCs w:val="24"/>
        </w:rPr>
        <w:t>,</w:t>
      </w:r>
      <w:r w:rsidRPr="00D21FAC">
        <w:rPr>
          <w:szCs w:val="24"/>
        </w:rPr>
        <w:t xml:space="preserve"> núm. 105, 2015.</w:t>
      </w:r>
    </w:p>
    <w:p w14:paraId="4B2941C9" w14:textId="77777777" w:rsidR="00316C24" w:rsidRPr="00B0532D" w:rsidRDefault="00316C24" w:rsidP="00316C24">
      <w:pPr>
        <w:spacing w:before="240" w:after="240"/>
      </w:pPr>
      <w:r w:rsidRPr="00B0532D">
        <w:t xml:space="preserve">REVENGA SÁNCHEZ, M., </w:t>
      </w:r>
      <w:r>
        <w:t>“</w:t>
      </w:r>
      <w:r w:rsidRPr="00B0532D">
        <w:t>Las paradojas del recurso de amparo tras la primera década de jurisprudencia constitucional (1981-1991)</w:t>
      </w:r>
      <w:r>
        <w:t>”</w:t>
      </w:r>
      <w:r w:rsidRPr="00B0532D">
        <w:t xml:space="preserve">. </w:t>
      </w:r>
      <w:r w:rsidRPr="00610EBF">
        <w:rPr>
          <w:i/>
        </w:rPr>
        <w:t>Revista Española de Derecho Constitucional</w:t>
      </w:r>
      <w:r>
        <w:t>,</w:t>
      </w:r>
      <w:r w:rsidRPr="00B0532D">
        <w:t xml:space="preserve"> </w:t>
      </w:r>
      <w:r>
        <w:t>n</w:t>
      </w:r>
      <w:r w:rsidRPr="00B0532D">
        <w:t>úm. 41</w:t>
      </w:r>
      <w:r>
        <w:t>, 1994.</w:t>
      </w:r>
    </w:p>
    <w:p w14:paraId="08CD9F4E" w14:textId="77777777" w:rsidR="00316C24" w:rsidRDefault="00316C24" w:rsidP="00316C24">
      <w:pPr>
        <w:spacing w:before="240" w:after="240"/>
      </w:pPr>
      <w:r w:rsidRPr="005708EE">
        <w:t xml:space="preserve">RICHARD GONZÁLEZ, M., </w:t>
      </w:r>
      <w:r w:rsidRPr="005708EE">
        <w:rPr>
          <w:i/>
        </w:rPr>
        <w:t>Tratamiento procesal de la nulidad de actuaciones</w:t>
      </w:r>
      <w:r>
        <w:t>, Navarra, 2008.</w:t>
      </w:r>
    </w:p>
    <w:p w14:paraId="53651A4C" w14:textId="77777777" w:rsidR="00316C24" w:rsidRDefault="00316C24" w:rsidP="00316C24">
      <w:pPr>
        <w:spacing w:before="240" w:after="240"/>
      </w:pPr>
      <w:r w:rsidRPr="005B1708">
        <w:t xml:space="preserve">RIPOL CARULLA, S., “Un nuevo marco de relación entre el Tribunal Constitucional y el Tribunal Europeo de Derechos Humanos”, </w:t>
      </w:r>
      <w:r w:rsidRPr="005B1708">
        <w:rPr>
          <w:i/>
        </w:rPr>
        <w:t>Revista Española de Derecho Internacional</w:t>
      </w:r>
      <w:r>
        <w:t>, núm.</w:t>
      </w:r>
      <w:r w:rsidRPr="005B1708">
        <w:t>1, sección E</w:t>
      </w:r>
      <w:r>
        <w:t>studios</w:t>
      </w:r>
      <w:r w:rsidRPr="005B1708">
        <w:t>, Ma</w:t>
      </w:r>
      <w:r>
        <w:t>drid, 2014.</w:t>
      </w:r>
    </w:p>
    <w:p w14:paraId="68AEC0D4" w14:textId="77777777" w:rsidR="00316C24" w:rsidRPr="00D21FAC" w:rsidRDefault="00316C24" w:rsidP="00316C24">
      <w:pPr>
        <w:spacing w:before="240" w:after="240"/>
        <w:rPr>
          <w:szCs w:val="24"/>
        </w:rPr>
      </w:pPr>
      <w:r w:rsidRPr="00D21FAC">
        <w:rPr>
          <w:szCs w:val="24"/>
        </w:rPr>
        <w:t xml:space="preserve">RODRÍGUEZ BEREIJO, A., “La reforma del recurso de amparo”, </w:t>
      </w:r>
      <w:r w:rsidRPr="000F033E">
        <w:rPr>
          <w:i/>
          <w:szCs w:val="24"/>
        </w:rPr>
        <w:t>Revista Española de Derecho Financiero</w:t>
      </w:r>
      <w:r w:rsidRPr="00D21FAC">
        <w:rPr>
          <w:szCs w:val="24"/>
        </w:rPr>
        <w:t>, núm. 151, 2011.</w:t>
      </w:r>
    </w:p>
    <w:p w14:paraId="13288273" w14:textId="77777777" w:rsidR="00316C24" w:rsidRDefault="00316C24" w:rsidP="00316C24">
      <w:pPr>
        <w:spacing w:before="240" w:after="240"/>
      </w:pPr>
      <w:r>
        <w:t xml:space="preserve">RODRÍGUEZ CARBAJO, J. R., “La nulidad de actuaciones”, </w:t>
      </w:r>
      <w:r w:rsidRPr="0054133F">
        <w:rPr>
          <w:i/>
          <w:iCs/>
        </w:rPr>
        <w:t>Actualidad Administrativa</w:t>
      </w:r>
      <w:r>
        <w:t xml:space="preserve"> </w:t>
      </w:r>
      <w:r w:rsidRPr="0054133F">
        <w:rPr>
          <w:i/>
          <w:iCs/>
        </w:rPr>
        <w:t>Tomo 2</w:t>
      </w:r>
      <w:r>
        <w:t>, 2010.</w:t>
      </w:r>
    </w:p>
    <w:p w14:paraId="14212BCE" w14:textId="77777777" w:rsidR="00316C24" w:rsidRPr="00D21FAC" w:rsidRDefault="00316C24" w:rsidP="00316C24">
      <w:pPr>
        <w:spacing w:before="240" w:after="240"/>
        <w:rPr>
          <w:szCs w:val="24"/>
        </w:rPr>
      </w:pPr>
      <w:r w:rsidRPr="00D21FAC">
        <w:rPr>
          <w:szCs w:val="24"/>
        </w:rPr>
        <w:t>RODRÍGUEZ DE</w:t>
      </w:r>
      <w:r>
        <w:rPr>
          <w:szCs w:val="24"/>
        </w:rPr>
        <w:t xml:space="preserve"> SANTIAGO, J.M. “</w:t>
      </w:r>
      <w:r w:rsidRPr="00D21FAC">
        <w:rPr>
          <w:szCs w:val="24"/>
        </w:rPr>
        <w:t>Especial trascendencia constitucional</w:t>
      </w:r>
      <w:r>
        <w:rPr>
          <w:szCs w:val="24"/>
        </w:rPr>
        <w:t xml:space="preserve"> y recurso de amparo”, en</w:t>
      </w:r>
      <w:r w:rsidRPr="00D21FAC">
        <w:rPr>
          <w:szCs w:val="24"/>
        </w:rPr>
        <w:t xml:space="preserve"> http://almacendederecho.org/especial-trascendencia-constitucional-y-recurso-de-amparo/</w:t>
      </w:r>
    </w:p>
    <w:p w14:paraId="579A2FE3" w14:textId="77777777" w:rsidR="00316C24" w:rsidRPr="00D21FAC" w:rsidRDefault="00316C24" w:rsidP="00316C24">
      <w:pPr>
        <w:spacing w:before="240" w:after="240"/>
        <w:rPr>
          <w:szCs w:val="24"/>
        </w:rPr>
      </w:pPr>
      <w:r w:rsidRPr="00D21FAC">
        <w:rPr>
          <w:szCs w:val="24"/>
        </w:rPr>
        <w:t>RODRIGUEZ PINERO, M., “La inadmisión del recurso de amparo y el Convenio Europeo de Derechos Humanos”</w:t>
      </w:r>
      <w:r>
        <w:rPr>
          <w:szCs w:val="24"/>
        </w:rPr>
        <w:t>,</w:t>
      </w:r>
      <w:r w:rsidRPr="00D21FAC">
        <w:rPr>
          <w:szCs w:val="24"/>
        </w:rPr>
        <w:t xml:space="preserve"> </w:t>
      </w:r>
      <w:r w:rsidRPr="000F033E">
        <w:rPr>
          <w:i/>
          <w:szCs w:val="24"/>
        </w:rPr>
        <w:t>Diario La Ley</w:t>
      </w:r>
      <w:r>
        <w:rPr>
          <w:szCs w:val="24"/>
        </w:rPr>
        <w:t>, núm. 8503, 2015.</w:t>
      </w:r>
    </w:p>
    <w:p w14:paraId="512BFE31" w14:textId="77777777" w:rsidR="00316C24" w:rsidRPr="00D21FAC" w:rsidRDefault="00316C24" w:rsidP="00316C24">
      <w:pPr>
        <w:spacing w:before="240" w:after="240"/>
        <w:rPr>
          <w:szCs w:val="24"/>
        </w:rPr>
      </w:pPr>
      <w:r w:rsidRPr="00D21FAC">
        <w:rPr>
          <w:szCs w:val="24"/>
        </w:rPr>
        <w:t xml:space="preserve">ROMBOLI, R., “La protección de los derechos fundamentales tras la “objetivación” del amparo, en CARRILLO, M., Y ROMBOLI, R., </w:t>
      </w:r>
      <w:r w:rsidRPr="000F033E">
        <w:rPr>
          <w:i/>
          <w:szCs w:val="24"/>
        </w:rPr>
        <w:t>La reforma del recurso de amparo</w:t>
      </w:r>
      <w:r>
        <w:rPr>
          <w:szCs w:val="24"/>
        </w:rPr>
        <w:t xml:space="preserve">, </w:t>
      </w:r>
      <w:r w:rsidRPr="00D21FAC">
        <w:rPr>
          <w:szCs w:val="24"/>
        </w:rPr>
        <w:t>Madrid, 2012.</w:t>
      </w:r>
    </w:p>
    <w:p w14:paraId="1FC378C4" w14:textId="77777777" w:rsidR="00316C24" w:rsidRDefault="00316C24" w:rsidP="00316C24">
      <w:pPr>
        <w:spacing w:before="240" w:after="240"/>
      </w:pPr>
      <w:r w:rsidRPr="00B0532D">
        <w:lastRenderedPageBreak/>
        <w:t xml:space="preserve">ROMBOLI, R., </w:t>
      </w:r>
      <w:r>
        <w:t>“</w:t>
      </w:r>
      <w:r w:rsidRPr="00B0532D">
        <w:t>La reforma del recurso de amparo ante el Tribunal Constitucional en España, y la introducción de un recurso individual y directo en Italia</w:t>
      </w:r>
      <w:r>
        <w:t>”</w:t>
      </w:r>
      <w:r w:rsidRPr="00B0532D">
        <w:t xml:space="preserve">, </w:t>
      </w:r>
      <w:r w:rsidRPr="00610EBF">
        <w:rPr>
          <w:i/>
        </w:rPr>
        <w:t>Revista de Derecho Constitucional Europeo</w:t>
      </w:r>
      <w:r>
        <w:t>, núm. 11. 2009.</w:t>
      </w:r>
    </w:p>
    <w:p w14:paraId="28FCBE50" w14:textId="77777777" w:rsidR="00316C24" w:rsidRPr="00827EB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RUBIO LLORENTE, F., “</w:t>
      </w:r>
      <w:r w:rsidRPr="00827EB4">
        <w:rPr>
          <w:rFonts w:ascii="Times New Roman" w:hAnsi="Times New Roman"/>
          <w:szCs w:val="24"/>
        </w:rPr>
        <w:t>Del Tribunal de Garan</w:t>
      </w:r>
      <w:r>
        <w:rPr>
          <w:rFonts w:ascii="Times New Roman" w:hAnsi="Times New Roman"/>
          <w:szCs w:val="24"/>
        </w:rPr>
        <w:t>tías al Tribunal Constitucional”</w:t>
      </w:r>
      <w:r w:rsidRPr="00827EB4">
        <w:rPr>
          <w:rFonts w:ascii="Times New Roman" w:hAnsi="Times New Roman"/>
          <w:szCs w:val="24"/>
        </w:rPr>
        <w:t xml:space="preserve">, </w:t>
      </w:r>
      <w:r w:rsidRPr="00827EB4">
        <w:rPr>
          <w:rFonts w:ascii="Times New Roman" w:hAnsi="Times New Roman"/>
          <w:i/>
          <w:szCs w:val="24"/>
        </w:rPr>
        <w:t>Revista de Derecho Político</w:t>
      </w:r>
      <w:r>
        <w:rPr>
          <w:rFonts w:ascii="Times New Roman" w:hAnsi="Times New Roman"/>
          <w:szCs w:val="24"/>
        </w:rPr>
        <w:t>, núm. 16, 1982-1983.</w:t>
      </w:r>
    </w:p>
    <w:p w14:paraId="031DC501" w14:textId="77777777" w:rsidR="00316C24" w:rsidRPr="00827EB4" w:rsidRDefault="00316C24" w:rsidP="00316C24">
      <w:pPr>
        <w:pStyle w:val="texto"/>
        <w:spacing w:before="240" w:after="240"/>
        <w:ind w:firstLine="0"/>
        <w:rPr>
          <w:rFonts w:ascii="Times New Roman" w:hAnsi="Times New Roman"/>
          <w:szCs w:val="24"/>
        </w:rPr>
      </w:pPr>
      <w:r>
        <w:rPr>
          <w:rFonts w:ascii="Times New Roman" w:hAnsi="Times New Roman"/>
          <w:szCs w:val="24"/>
        </w:rPr>
        <w:t>RUBIO LLORENTE, F.,</w:t>
      </w:r>
      <w:r w:rsidRPr="00BF0227">
        <w:rPr>
          <w:rFonts w:ascii="Times New Roman" w:hAnsi="Times New Roman"/>
          <w:szCs w:val="24"/>
        </w:rPr>
        <w:t xml:space="preserve"> “El recurso de a</w:t>
      </w:r>
      <w:r>
        <w:rPr>
          <w:rFonts w:ascii="Times New Roman" w:hAnsi="Times New Roman"/>
          <w:szCs w:val="24"/>
        </w:rPr>
        <w:t>mparo constitucional</w:t>
      </w:r>
      <w:r w:rsidRPr="00BF0227">
        <w:rPr>
          <w:rFonts w:ascii="Times New Roman" w:hAnsi="Times New Roman"/>
          <w:i/>
          <w:szCs w:val="24"/>
        </w:rPr>
        <w:t>”, La jurisdicción constitucional en España. La Ley Orgánica del Tribunal Constitucional: 1979-1994. Coloquio internacional</w:t>
      </w:r>
      <w:r>
        <w:rPr>
          <w:rFonts w:ascii="Times New Roman" w:hAnsi="Times New Roman"/>
          <w:i/>
          <w:szCs w:val="24"/>
        </w:rPr>
        <w:t xml:space="preserve">, </w:t>
      </w:r>
      <w:r w:rsidRPr="00BF0227">
        <w:rPr>
          <w:rFonts w:ascii="Times New Roman" w:hAnsi="Times New Roman"/>
          <w:szCs w:val="24"/>
        </w:rPr>
        <w:t>Mad</w:t>
      </w:r>
      <w:r>
        <w:rPr>
          <w:rFonts w:ascii="Times New Roman" w:hAnsi="Times New Roman"/>
          <w:szCs w:val="24"/>
        </w:rPr>
        <w:t>rid, 13 y 14 de octubre de 1994.</w:t>
      </w:r>
    </w:p>
    <w:p w14:paraId="281B64D9" w14:textId="77777777" w:rsidR="00316C24" w:rsidRPr="00B0532D" w:rsidRDefault="00316C24" w:rsidP="00316C24">
      <w:pPr>
        <w:spacing w:before="240" w:after="240"/>
      </w:pPr>
      <w:r w:rsidRPr="00B0532D">
        <w:t xml:space="preserve">RUBIO LLORENTE, F., </w:t>
      </w:r>
      <w:r>
        <w:t>“</w:t>
      </w:r>
      <w:r w:rsidRPr="00B0532D">
        <w:t>El recurso de amparo</w:t>
      </w:r>
      <w:r>
        <w:t>”</w:t>
      </w:r>
      <w:r w:rsidRPr="00B0532D">
        <w:t xml:space="preserve">, </w:t>
      </w:r>
      <w:r w:rsidRPr="00610EBF">
        <w:rPr>
          <w:i/>
        </w:rPr>
        <w:t>Estudios sobre Jurisdicción Constitucional,</w:t>
      </w:r>
      <w:r>
        <w:t xml:space="preserve"> Madrid, 1998.</w:t>
      </w:r>
    </w:p>
    <w:p w14:paraId="3DF89620" w14:textId="77777777" w:rsidR="00316C2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RUBIO LLORENTE, F., “</w:t>
      </w:r>
      <w:r w:rsidRPr="00827EB4">
        <w:rPr>
          <w:rFonts w:ascii="Times New Roman" w:hAnsi="Times New Roman"/>
          <w:szCs w:val="24"/>
        </w:rPr>
        <w:t>Seis tesis sobre la jurisdicción constitucional</w:t>
      </w:r>
      <w:r>
        <w:rPr>
          <w:rFonts w:ascii="Times New Roman" w:hAnsi="Times New Roman"/>
          <w:szCs w:val="24"/>
        </w:rPr>
        <w:t xml:space="preserve"> en Europa”</w:t>
      </w:r>
      <w:r w:rsidRPr="00827EB4">
        <w:rPr>
          <w:rFonts w:ascii="Times New Roman" w:hAnsi="Times New Roman"/>
          <w:szCs w:val="24"/>
        </w:rPr>
        <w:t xml:space="preserve">, </w:t>
      </w:r>
      <w:r w:rsidRPr="00827EB4">
        <w:rPr>
          <w:rFonts w:ascii="Times New Roman" w:hAnsi="Times New Roman"/>
          <w:i/>
          <w:szCs w:val="24"/>
        </w:rPr>
        <w:t>Revista Española de Derecho Constitucional</w:t>
      </w:r>
      <w:r>
        <w:rPr>
          <w:rFonts w:ascii="Times New Roman" w:hAnsi="Times New Roman"/>
          <w:szCs w:val="24"/>
        </w:rPr>
        <w:t>, núm.35, 1992.</w:t>
      </w:r>
    </w:p>
    <w:p w14:paraId="04A42A70" w14:textId="77777777" w:rsidR="00316C24" w:rsidRDefault="00316C24" w:rsidP="00316C24">
      <w:pPr>
        <w:pStyle w:val="texto"/>
        <w:spacing w:before="240" w:after="240" w:afterAutospacing="0"/>
        <w:ind w:firstLine="0"/>
        <w:rPr>
          <w:rFonts w:ascii="Times New Roman" w:hAnsi="Times New Roman"/>
          <w:szCs w:val="24"/>
        </w:rPr>
      </w:pPr>
      <w:r>
        <w:rPr>
          <w:rFonts w:ascii="Times New Roman" w:hAnsi="Times New Roman"/>
          <w:szCs w:val="24"/>
        </w:rPr>
        <w:t>RUIZ LAPEÑA, R.M., “</w:t>
      </w:r>
      <w:r w:rsidRPr="00827EB4">
        <w:rPr>
          <w:rFonts w:ascii="Times New Roman" w:hAnsi="Times New Roman"/>
          <w:szCs w:val="24"/>
        </w:rPr>
        <w:t>El recurso de amparo durante la Segunda República española</w:t>
      </w:r>
      <w:r>
        <w:rPr>
          <w:rFonts w:ascii="Times New Roman" w:hAnsi="Times New Roman"/>
          <w:szCs w:val="24"/>
        </w:rPr>
        <w:t>”</w:t>
      </w:r>
      <w:r w:rsidRPr="00827EB4">
        <w:rPr>
          <w:rFonts w:ascii="Times New Roman" w:hAnsi="Times New Roman"/>
          <w:szCs w:val="24"/>
        </w:rPr>
        <w:t xml:space="preserve">, </w:t>
      </w:r>
      <w:r w:rsidRPr="00827EB4">
        <w:rPr>
          <w:rFonts w:ascii="Times New Roman" w:hAnsi="Times New Roman"/>
          <w:i/>
          <w:szCs w:val="24"/>
        </w:rPr>
        <w:t>Revista de Estudios Políticos,</w:t>
      </w:r>
      <w:r>
        <w:rPr>
          <w:rFonts w:ascii="Times New Roman" w:hAnsi="Times New Roman"/>
          <w:szCs w:val="24"/>
        </w:rPr>
        <w:t xml:space="preserve"> núm. 7, 1979.</w:t>
      </w:r>
    </w:p>
    <w:p w14:paraId="28FCB1E0" w14:textId="77777777" w:rsidR="00316C24" w:rsidRDefault="00316C24" w:rsidP="00316C24">
      <w:pPr>
        <w:pStyle w:val="texto"/>
        <w:spacing w:before="240" w:after="240" w:afterAutospacing="0"/>
        <w:ind w:firstLine="0"/>
        <w:rPr>
          <w:rFonts w:ascii="Times New Roman" w:hAnsi="Times New Roman"/>
          <w:szCs w:val="24"/>
        </w:rPr>
      </w:pPr>
      <w:r w:rsidRPr="00484EC1">
        <w:rPr>
          <w:rFonts w:ascii="Times New Roman" w:hAnsi="Times New Roman"/>
          <w:szCs w:val="24"/>
        </w:rPr>
        <w:t xml:space="preserve">RUÍZ </w:t>
      </w:r>
      <w:proofErr w:type="spellStart"/>
      <w:r w:rsidRPr="00484EC1">
        <w:rPr>
          <w:rFonts w:ascii="Times New Roman" w:hAnsi="Times New Roman"/>
          <w:szCs w:val="24"/>
        </w:rPr>
        <w:t>RUÍZ</w:t>
      </w:r>
      <w:proofErr w:type="spellEnd"/>
      <w:r w:rsidRPr="00484EC1">
        <w:rPr>
          <w:rFonts w:ascii="Times New Roman" w:hAnsi="Times New Roman"/>
          <w:szCs w:val="24"/>
        </w:rPr>
        <w:t xml:space="preserve">, J. J., “La jurisdicción constitucional”, en S. GAMBINO, J. LOZANO MIRALLES, F. PUZZO y J. J. RUÍZ </w:t>
      </w:r>
      <w:proofErr w:type="spellStart"/>
      <w:r w:rsidRPr="00484EC1">
        <w:rPr>
          <w:rFonts w:ascii="Times New Roman" w:hAnsi="Times New Roman"/>
          <w:szCs w:val="24"/>
        </w:rPr>
        <w:t>RUÍZ</w:t>
      </w:r>
      <w:proofErr w:type="spellEnd"/>
      <w:r w:rsidRPr="00484EC1">
        <w:rPr>
          <w:rFonts w:ascii="Times New Roman" w:hAnsi="Times New Roman"/>
          <w:szCs w:val="24"/>
        </w:rPr>
        <w:t xml:space="preserve">, </w:t>
      </w:r>
      <w:r w:rsidRPr="00484EC1">
        <w:rPr>
          <w:rFonts w:ascii="Times New Roman" w:hAnsi="Times New Roman"/>
          <w:i/>
          <w:iCs/>
          <w:szCs w:val="24"/>
        </w:rPr>
        <w:t>El sistema constitucional español, Instituto Nacional de la Administración Pública,</w:t>
      </w:r>
      <w:r w:rsidRPr="00484EC1">
        <w:rPr>
          <w:rFonts w:ascii="Times New Roman" w:hAnsi="Times New Roman"/>
          <w:szCs w:val="24"/>
        </w:rPr>
        <w:t xml:space="preserve"> Madrid, 2019,</w:t>
      </w:r>
    </w:p>
    <w:p w14:paraId="0140B825" w14:textId="77777777" w:rsidR="00316C24" w:rsidRPr="00827EB4" w:rsidRDefault="00316C24" w:rsidP="00316C24">
      <w:pPr>
        <w:pStyle w:val="texto"/>
        <w:spacing w:before="240" w:after="240"/>
        <w:ind w:firstLine="0"/>
        <w:rPr>
          <w:rFonts w:ascii="Times New Roman" w:hAnsi="Times New Roman"/>
          <w:szCs w:val="24"/>
        </w:rPr>
      </w:pPr>
      <w:r>
        <w:rPr>
          <w:rFonts w:ascii="Times New Roman" w:hAnsi="Times New Roman"/>
          <w:szCs w:val="24"/>
        </w:rPr>
        <w:t xml:space="preserve">RUÍZ-RICO RUÍZ, G.; CARAZO LIÉBANA, M. J., </w:t>
      </w:r>
      <w:r w:rsidRPr="00AB4EDE">
        <w:rPr>
          <w:rFonts w:ascii="Times New Roman" w:hAnsi="Times New Roman"/>
          <w:i/>
          <w:iCs/>
          <w:szCs w:val="24"/>
        </w:rPr>
        <w:t>El derecho a la tutela judicial efectiva</w:t>
      </w:r>
      <w:r>
        <w:rPr>
          <w:rFonts w:ascii="Times New Roman" w:hAnsi="Times New Roman"/>
          <w:i/>
          <w:iCs/>
          <w:szCs w:val="24"/>
        </w:rPr>
        <w:t xml:space="preserve">, </w:t>
      </w:r>
      <w:r>
        <w:rPr>
          <w:rFonts w:ascii="Times New Roman" w:hAnsi="Times New Roman"/>
          <w:szCs w:val="24"/>
        </w:rPr>
        <w:t>Valencia, 2013.</w:t>
      </w:r>
    </w:p>
    <w:p w14:paraId="2AE507C9" w14:textId="77777777" w:rsidR="00316C24" w:rsidRPr="00D21FAC" w:rsidRDefault="00316C24" w:rsidP="00316C24">
      <w:pPr>
        <w:spacing w:before="240" w:after="240"/>
        <w:rPr>
          <w:szCs w:val="24"/>
        </w:rPr>
      </w:pPr>
      <w:r>
        <w:rPr>
          <w:szCs w:val="24"/>
        </w:rPr>
        <w:t>SALAH PALACIOS, E.,</w:t>
      </w:r>
      <w:r w:rsidRPr="00D21FAC">
        <w:rPr>
          <w:szCs w:val="24"/>
        </w:rPr>
        <w:t xml:space="preserve"> </w:t>
      </w:r>
      <w:r w:rsidRPr="00DB382D">
        <w:rPr>
          <w:i/>
          <w:szCs w:val="24"/>
        </w:rPr>
        <w:t>La tutela judicial efectiva en la jurisprudencia del Tribunal Constitucional. 1981-2014</w:t>
      </w:r>
      <w:r>
        <w:rPr>
          <w:i/>
          <w:szCs w:val="24"/>
        </w:rPr>
        <w:t>,</w:t>
      </w:r>
      <w:r w:rsidRPr="00D21FAC">
        <w:rPr>
          <w:szCs w:val="24"/>
        </w:rPr>
        <w:t xml:space="preserve"> Madrid, 2014.</w:t>
      </w:r>
    </w:p>
    <w:p w14:paraId="2F68612B" w14:textId="77777777" w:rsidR="00316C24" w:rsidRPr="00D21FAC" w:rsidRDefault="00316C24" w:rsidP="00316C24">
      <w:pPr>
        <w:spacing w:before="240" w:after="240"/>
        <w:rPr>
          <w:szCs w:val="24"/>
        </w:rPr>
      </w:pPr>
      <w:r w:rsidRPr="00D21FAC">
        <w:rPr>
          <w:szCs w:val="24"/>
        </w:rPr>
        <w:t xml:space="preserve">SÁNCHEZ DE OCAÑA CHAMORRO, R. L., </w:t>
      </w:r>
      <w:r>
        <w:rPr>
          <w:szCs w:val="24"/>
        </w:rPr>
        <w:t>“</w:t>
      </w:r>
      <w:r w:rsidRPr="00DB382D">
        <w:rPr>
          <w:szCs w:val="24"/>
        </w:rPr>
        <w:t>La especial trascendencia constitucional del recurso de amparo en la doctrina del Tribunal Constitucional</w:t>
      </w:r>
      <w:r>
        <w:rPr>
          <w:szCs w:val="24"/>
        </w:rPr>
        <w:t>”</w:t>
      </w:r>
      <w:r w:rsidRPr="00D21FAC">
        <w:rPr>
          <w:szCs w:val="24"/>
        </w:rPr>
        <w:t xml:space="preserve">, </w:t>
      </w:r>
      <w:r w:rsidRPr="00DB382D">
        <w:rPr>
          <w:i/>
          <w:szCs w:val="24"/>
        </w:rPr>
        <w:t>Revista Aranzadi Doctrinal</w:t>
      </w:r>
      <w:r>
        <w:rPr>
          <w:szCs w:val="24"/>
        </w:rPr>
        <w:t>, núm.</w:t>
      </w:r>
      <w:r w:rsidRPr="00D21FAC">
        <w:rPr>
          <w:szCs w:val="24"/>
        </w:rPr>
        <w:t xml:space="preserve"> 6</w:t>
      </w:r>
      <w:r>
        <w:rPr>
          <w:szCs w:val="24"/>
        </w:rPr>
        <w:t>,</w:t>
      </w:r>
      <w:r w:rsidRPr="00D21FAC">
        <w:rPr>
          <w:szCs w:val="24"/>
        </w:rPr>
        <w:t xml:space="preserve"> 2013</w:t>
      </w:r>
      <w:r>
        <w:rPr>
          <w:szCs w:val="24"/>
        </w:rPr>
        <w:t>.</w:t>
      </w:r>
    </w:p>
    <w:p w14:paraId="526487F9" w14:textId="77777777" w:rsidR="00316C24" w:rsidRPr="00D21FAC" w:rsidRDefault="00316C24" w:rsidP="00316C24">
      <w:pPr>
        <w:spacing w:before="240" w:after="240"/>
        <w:rPr>
          <w:szCs w:val="24"/>
        </w:rPr>
      </w:pPr>
      <w:r w:rsidRPr="00D21FAC">
        <w:rPr>
          <w:szCs w:val="24"/>
        </w:rPr>
        <w:t xml:space="preserve">SÁNCHEZ GARRIDO, J. A. “Resoluciones recurribles en vía de amparo”, </w:t>
      </w:r>
      <w:r w:rsidRPr="00DB382D">
        <w:rPr>
          <w:i/>
          <w:szCs w:val="24"/>
        </w:rPr>
        <w:t>Diario La Ley</w:t>
      </w:r>
      <w:r w:rsidRPr="00D21FAC">
        <w:rPr>
          <w:szCs w:val="24"/>
        </w:rPr>
        <w:t>, núm. 7838, Sección Tribuna, 2012.</w:t>
      </w:r>
    </w:p>
    <w:p w14:paraId="75C13960" w14:textId="77777777" w:rsidR="00316C24" w:rsidRPr="00D21FAC" w:rsidRDefault="00316C24" w:rsidP="00316C24">
      <w:pPr>
        <w:spacing w:before="240" w:after="240"/>
        <w:rPr>
          <w:szCs w:val="24"/>
        </w:rPr>
      </w:pPr>
      <w:r w:rsidRPr="00D21FAC">
        <w:rPr>
          <w:szCs w:val="24"/>
        </w:rPr>
        <w:lastRenderedPageBreak/>
        <w:t>SÁNCHEZ GONZÁLEZ, S.: “Los derechos fundamentales en la</w:t>
      </w:r>
      <w:r>
        <w:rPr>
          <w:szCs w:val="24"/>
        </w:rPr>
        <w:t xml:space="preserve"> Constitución Española de 1978”,</w:t>
      </w:r>
      <w:r w:rsidRPr="00D21FAC">
        <w:rPr>
          <w:szCs w:val="24"/>
        </w:rPr>
        <w:t xml:space="preserve"> </w:t>
      </w:r>
      <w:r>
        <w:rPr>
          <w:szCs w:val="24"/>
        </w:rPr>
        <w:t xml:space="preserve">en AA. VV., </w:t>
      </w:r>
      <w:r w:rsidRPr="00DB382D">
        <w:rPr>
          <w:i/>
          <w:szCs w:val="24"/>
        </w:rPr>
        <w:t>Dogmática y práctica de los derechos fundamentales</w:t>
      </w:r>
      <w:r>
        <w:rPr>
          <w:i/>
          <w:szCs w:val="24"/>
        </w:rPr>
        <w:t xml:space="preserve">, </w:t>
      </w:r>
      <w:r w:rsidRPr="00DB382D">
        <w:rPr>
          <w:szCs w:val="24"/>
        </w:rPr>
        <w:t>Valencia</w:t>
      </w:r>
      <w:r w:rsidRPr="00D21FAC">
        <w:rPr>
          <w:szCs w:val="24"/>
        </w:rPr>
        <w:t>, 2015.</w:t>
      </w:r>
    </w:p>
    <w:p w14:paraId="10C31F33" w14:textId="77777777" w:rsidR="00316C24" w:rsidRPr="00827EB4" w:rsidRDefault="00316C24" w:rsidP="00316C24">
      <w:pPr>
        <w:pStyle w:val="texto"/>
        <w:spacing w:before="240" w:after="240" w:afterAutospacing="0"/>
        <w:ind w:firstLine="0"/>
        <w:rPr>
          <w:rFonts w:ascii="Times New Roman" w:hAnsi="Times New Roman"/>
          <w:szCs w:val="24"/>
        </w:rPr>
      </w:pPr>
      <w:r w:rsidRPr="00827EB4">
        <w:rPr>
          <w:rFonts w:ascii="Times New Roman" w:hAnsi="Times New Roman"/>
          <w:szCs w:val="24"/>
        </w:rPr>
        <w:t xml:space="preserve">SÁNCHEZ MORÓN, M., </w:t>
      </w:r>
      <w:r w:rsidRPr="00827EB4">
        <w:rPr>
          <w:rFonts w:ascii="Times New Roman" w:hAnsi="Times New Roman"/>
          <w:i/>
          <w:szCs w:val="24"/>
        </w:rPr>
        <w:t>El recurso de amparo constitucional: naturaleza jurídica, características actuales y crisis</w:t>
      </w:r>
      <w:r w:rsidRPr="00827EB4">
        <w:rPr>
          <w:rFonts w:ascii="Times New Roman" w:hAnsi="Times New Roman"/>
          <w:szCs w:val="24"/>
        </w:rPr>
        <w:t>, Madrid, 1987</w:t>
      </w:r>
      <w:r>
        <w:rPr>
          <w:rFonts w:ascii="Times New Roman" w:hAnsi="Times New Roman"/>
          <w:szCs w:val="24"/>
        </w:rPr>
        <w:t>.</w:t>
      </w:r>
    </w:p>
    <w:p w14:paraId="28909CCE" w14:textId="77777777" w:rsidR="00316C24" w:rsidRPr="00B0532D" w:rsidRDefault="00316C24" w:rsidP="00316C24">
      <w:pPr>
        <w:spacing w:before="240" w:after="240"/>
      </w:pPr>
      <w:r w:rsidRPr="00B0532D">
        <w:t xml:space="preserve">SANTAOLALLA LÓPEZ, F., </w:t>
      </w:r>
      <w:r>
        <w:t>“</w:t>
      </w:r>
      <w:r w:rsidRPr="00B0532D">
        <w:t>El recurso de amparo y el desamparo del Tribunal Constitucional</w:t>
      </w:r>
      <w:r>
        <w:t>”</w:t>
      </w:r>
      <w:r w:rsidRPr="00B0532D">
        <w:t xml:space="preserve">, </w:t>
      </w:r>
      <w:r w:rsidRPr="00610EBF">
        <w:rPr>
          <w:i/>
        </w:rPr>
        <w:t>Revista de Derecho Político</w:t>
      </w:r>
      <w:r>
        <w:t>, núm. 24, 1987.</w:t>
      </w:r>
    </w:p>
    <w:p w14:paraId="4EDC43EE" w14:textId="77777777" w:rsidR="00316C24" w:rsidRPr="00D21FAC" w:rsidRDefault="00316C24" w:rsidP="00316C24">
      <w:pPr>
        <w:spacing w:before="240" w:after="240"/>
        <w:rPr>
          <w:szCs w:val="24"/>
        </w:rPr>
      </w:pPr>
      <w:r>
        <w:rPr>
          <w:szCs w:val="24"/>
        </w:rPr>
        <w:t>SARAZÁ JIMENA, R.,</w:t>
      </w:r>
      <w:r w:rsidRPr="00D21FAC">
        <w:rPr>
          <w:szCs w:val="24"/>
        </w:rPr>
        <w:t xml:space="preserve"> </w:t>
      </w:r>
      <w:r w:rsidRPr="00DB382D">
        <w:rPr>
          <w:i/>
          <w:szCs w:val="24"/>
        </w:rPr>
        <w:t>La protección jurisdiccional de los derechos fundamentales entre particulares,</w:t>
      </w:r>
      <w:r w:rsidRPr="00D21FAC">
        <w:rPr>
          <w:szCs w:val="24"/>
        </w:rPr>
        <w:t xml:space="preserve"> Valencia</w:t>
      </w:r>
      <w:r>
        <w:rPr>
          <w:szCs w:val="24"/>
        </w:rPr>
        <w:t>,</w:t>
      </w:r>
      <w:r w:rsidRPr="00D21FAC">
        <w:rPr>
          <w:szCs w:val="24"/>
        </w:rPr>
        <w:t xml:space="preserve"> 2011.</w:t>
      </w:r>
    </w:p>
    <w:p w14:paraId="7326EB08" w14:textId="77777777" w:rsidR="00316C24" w:rsidRPr="00D21FAC" w:rsidRDefault="00316C24" w:rsidP="00316C24">
      <w:pPr>
        <w:spacing w:before="240" w:after="240"/>
        <w:rPr>
          <w:szCs w:val="24"/>
        </w:rPr>
      </w:pPr>
      <w:r>
        <w:rPr>
          <w:szCs w:val="24"/>
        </w:rPr>
        <w:t>SERRA CRISTÓBAL, R., “</w:t>
      </w:r>
      <w:r w:rsidRPr="00D21FAC">
        <w:rPr>
          <w:szCs w:val="24"/>
        </w:rPr>
        <w:t>Nuevos tiempos en las relaciones entre el Tribunal Supremo y el Tribunal Constitucional en España ¿de las desavenencias a una relación dialogada?</w:t>
      </w:r>
      <w:r>
        <w:rPr>
          <w:szCs w:val="24"/>
        </w:rPr>
        <w:t>”,</w:t>
      </w:r>
      <w:r w:rsidRPr="00D21FAC">
        <w:rPr>
          <w:szCs w:val="24"/>
        </w:rPr>
        <w:t xml:space="preserve"> </w:t>
      </w:r>
      <w:r w:rsidRPr="00DB382D">
        <w:rPr>
          <w:i/>
          <w:szCs w:val="24"/>
        </w:rPr>
        <w:t>Anuario Iberoamericano de Justicia Constitucional</w:t>
      </w:r>
      <w:r>
        <w:rPr>
          <w:szCs w:val="24"/>
        </w:rPr>
        <w:t>,</w:t>
      </w:r>
      <w:r w:rsidRPr="00D21FAC">
        <w:rPr>
          <w:szCs w:val="24"/>
        </w:rPr>
        <w:t xml:space="preserve"> </w:t>
      </w:r>
      <w:r>
        <w:rPr>
          <w:szCs w:val="24"/>
        </w:rPr>
        <w:t>n</w:t>
      </w:r>
      <w:r w:rsidRPr="00D21FAC">
        <w:rPr>
          <w:szCs w:val="24"/>
        </w:rPr>
        <w:t>úm. 18, 2014.</w:t>
      </w:r>
    </w:p>
    <w:p w14:paraId="37138F7D" w14:textId="77777777" w:rsidR="00316C24" w:rsidRDefault="00316C24" w:rsidP="00316C24">
      <w:pPr>
        <w:spacing w:before="240" w:after="240"/>
      </w:pPr>
      <w:r>
        <w:t xml:space="preserve">SOSPEDRA NAVAS, F. J., “Los requisitos procesales del recurso de amparo: el incidente excepcional de nulidad de actuaciones y la especial trascendencia constitucional”, </w:t>
      </w:r>
      <w:r w:rsidRPr="0054133F">
        <w:rPr>
          <w:i/>
          <w:iCs/>
        </w:rPr>
        <w:t>Cuadernos de Derecho Local</w:t>
      </w:r>
      <w:r>
        <w:t>, núm. 39, 2015.</w:t>
      </w:r>
    </w:p>
    <w:p w14:paraId="04747260" w14:textId="77777777" w:rsidR="00316C24" w:rsidRDefault="00316C24" w:rsidP="00316C24">
      <w:pPr>
        <w:spacing w:before="240" w:after="240"/>
      </w:pPr>
      <w:r w:rsidRPr="00B842F0">
        <w:t xml:space="preserve">SOSPEDRA NAVAS, F. J., “Recurso de amparo: incidente de nulidad de actuaciones”, </w:t>
      </w:r>
      <w:r w:rsidRPr="00B842F0">
        <w:rPr>
          <w:i/>
          <w:iCs/>
        </w:rPr>
        <w:t>Práctica de los Procesos Jurisdiccionales. Proceso Penal. Tomo II</w:t>
      </w:r>
      <w:r w:rsidRPr="00B842F0">
        <w:t xml:space="preserve">, </w:t>
      </w:r>
      <w:r>
        <w:t xml:space="preserve">Madrid, </w:t>
      </w:r>
      <w:r w:rsidRPr="00B842F0">
        <w:t>2011.</w:t>
      </w:r>
    </w:p>
    <w:p w14:paraId="025476B0" w14:textId="77777777" w:rsidR="00316C24" w:rsidRPr="00D21FAC" w:rsidRDefault="00316C24" w:rsidP="00316C24">
      <w:pPr>
        <w:spacing w:before="240" w:after="240"/>
        <w:rPr>
          <w:szCs w:val="24"/>
        </w:rPr>
      </w:pPr>
      <w:r>
        <w:rPr>
          <w:szCs w:val="24"/>
        </w:rPr>
        <w:t>TAJADURA TEJADA, J.,</w:t>
      </w:r>
      <w:r w:rsidRPr="00D21FAC">
        <w:rPr>
          <w:szCs w:val="24"/>
        </w:rPr>
        <w:t xml:space="preserve"> </w:t>
      </w:r>
      <w:r w:rsidRPr="00DB382D">
        <w:rPr>
          <w:i/>
          <w:szCs w:val="24"/>
        </w:rPr>
        <w:t>Los Derechos Fundamentales y sus Garantías</w:t>
      </w:r>
      <w:r w:rsidRPr="00D21FAC">
        <w:rPr>
          <w:szCs w:val="24"/>
        </w:rPr>
        <w:t>, Valencia, 2015</w:t>
      </w:r>
      <w:r>
        <w:rPr>
          <w:szCs w:val="24"/>
        </w:rPr>
        <w:t>.</w:t>
      </w:r>
    </w:p>
    <w:p w14:paraId="7D59FF0C" w14:textId="77777777" w:rsidR="00316C24" w:rsidRDefault="00316C24" w:rsidP="00316C24">
      <w:pPr>
        <w:spacing w:before="240" w:after="240"/>
      </w:pPr>
      <w:r>
        <w:t xml:space="preserve">TAPIA FERNÁNDEZ, I., </w:t>
      </w:r>
      <w:r w:rsidRPr="0054133F">
        <w:rPr>
          <w:i/>
          <w:iCs/>
        </w:rPr>
        <w:t>Lecciones de Derecho Procesal, vol. I: Introducción</w:t>
      </w:r>
      <w:r>
        <w:t>, Palma de Mallorca, 2016.</w:t>
      </w:r>
    </w:p>
    <w:p w14:paraId="009A69A6" w14:textId="77777777" w:rsidR="00316C24" w:rsidRDefault="00316C24" w:rsidP="00316C24">
      <w:pPr>
        <w:spacing w:before="240" w:after="240"/>
      </w:pPr>
      <w:r>
        <w:t xml:space="preserve">TASCÓN LOPEZ, R., “Las vías para remediar la nulidad de las actuaciones procesales en el orden social de la jurisdicción”, </w:t>
      </w:r>
      <w:r w:rsidRPr="0054133F">
        <w:rPr>
          <w:i/>
          <w:iCs/>
        </w:rPr>
        <w:t>Temas laborales</w:t>
      </w:r>
      <w:r>
        <w:t>, núm. 86, 2006.</w:t>
      </w:r>
    </w:p>
    <w:p w14:paraId="3ED3BA48" w14:textId="77777777" w:rsidR="00316C24" w:rsidRDefault="00316C24" w:rsidP="00316C24">
      <w:pPr>
        <w:spacing w:before="240" w:after="240"/>
      </w:pPr>
      <w:r w:rsidRPr="00FE28BF">
        <w:t xml:space="preserve">TEMPRANO CARMEN, </w:t>
      </w:r>
      <w:r>
        <w:t>“</w:t>
      </w:r>
      <w:r w:rsidRPr="00FE28BF">
        <w:t>La nulidad de actuaciones contra las resoluciones de los letrados de la Administración de Justicia. El recurso de reposición como remedio inadecuado para solicitar la nulidad de Actuaciones</w:t>
      </w:r>
      <w:r>
        <w:t>”</w:t>
      </w:r>
      <w:r w:rsidRPr="00FE28BF">
        <w:t xml:space="preserve">, </w:t>
      </w:r>
      <w:r w:rsidRPr="00FE28BF">
        <w:rPr>
          <w:i/>
          <w:iCs/>
        </w:rPr>
        <w:t>Diario La Ley</w:t>
      </w:r>
      <w:r w:rsidRPr="00FE28BF">
        <w:t xml:space="preserve">, </w:t>
      </w:r>
      <w:r>
        <w:t>núm.</w:t>
      </w:r>
      <w:r w:rsidRPr="00FE28BF">
        <w:t xml:space="preserve"> 9351, Sección Tribuna, 2019</w:t>
      </w:r>
      <w:r>
        <w:t>.</w:t>
      </w:r>
    </w:p>
    <w:p w14:paraId="5B9E1FBE" w14:textId="77777777" w:rsidR="00316C24" w:rsidRPr="00AE135E" w:rsidRDefault="00316C24" w:rsidP="00316C24">
      <w:pPr>
        <w:pStyle w:val="Textonotapie"/>
        <w:spacing w:before="240" w:after="240"/>
        <w:rPr>
          <w:szCs w:val="24"/>
        </w:rPr>
      </w:pPr>
      <w:r w:rsidRPr="00AE135E">
        <w:rPr>
          <w:szCs w:val="24"/>
        </w:rPr>
        <w:lastRenderedPageBreak/>
        <w:t>TENORIO</w:t>
      </w:r>
      <w:r>
        <w:rPr>
          <w:szCs w:val="24"/>
        </w:rPr>
        <w:t xml:space="preserve"> SÁNCHEZ, P., “</w:t>
      </w:r>
      <w:r w:rsidRPr="00AE135E">
        <w:rPr>
          <w:szCs w:val="24"/>
        </w:rPr>
        <w:t xml:space="preserve">Derechos en serio, recurso de amparo, reordenación de la garantía judicial, y reforma de la </w:t>
      </w:r>
      <w:r>
        <w:rPr>
          <w:szCs w:val="24"/>
        </w:rPr>
        <w:t>Ley Orgánica del Poder Judicial”</w:t>
      </w:r>
      <w:r w:rsidRPr="00AE135E">
        <w:rPr>
          <w:szCs w:val="24"/>
        </w:rPr>
        <w:t xml:space="preserve">, UNED. </w:t>
      </w:r>
      <w:r w:rsidRPr="00AE135E">
        <w:rPr>
          <w:i/>
          <w:szCs w:val="24"/>
        </w:rPr>
        <w:t xml:space="preserve">Revista de Derecho Político, </w:t>
      </w:r>
      <w:r w:rsidRPr="00AE135E">
        <w:rPr>
          <w:szCs w:val="24"/>
        </w:rPr>
        <w:t xml:space="preserve">núm. 88, </w:t>
      </w:r>
      <w:r>
        <w:rPr>
          <w:szCs w:val="24"/>
        </w:rPr>
        <w:t>2013.</w:t>
      </w:r>
    </w:p>
    <w:p w14:paraId="5C349B2E" w14:textId="77777777" w:rsidR="00316C24" w:rsidRPr="00D21FAC" w:rsidRDefault="00316C24" w:rsidP="00316C24">
      <w:pPr>
        <w:spacing w:before="240" w:after="240"/>
        <w:rPr>
          <w:szCs w:val="24"/>
        </w:rPr>
      </w:pPr>
      <w:r w:rsidRPr="00D21FAC">
        <w:rPr>
          <w:szCs w:val="24"/>
        </w:rPr>
        <w:t xml:space="preserve">TENORIO SÁNCHEZ, P., </w:t>
      </w:r>
      <w:r w:rsidRPr="00D21FAC">
        <w:rPr>
          <w:i/>
          <w:iCs/>
          <w:szCs w:val="24"/>
        </w:rPr>
        <w:t>El recurso de amparo ante el Tribunal Constitucional. Perspectivas de reforma</w:t>
      </w:r>
      <w:r w:rsidRPr="00D21FAC">
        <w:rPr>
          <w:szCs w:val="24"/>
        </w:rPr>
        <w:t>, Madrid, 2014.</w:t>
      </w:r>
    </w:p>
    <w:p w14:paraId="693227C6" w14:textId="77777777" w:rsidR="00316C24" w:rsidRPr="00D21FAC" w:rsidRDefault="00316C24" w:rsidP="00316C24">
      <w:pPr>
        <w:spacing w:before="240" w:after="240"/>
        <w:rPr>
          <w:szCs w:val="24"/>
        </w:rPr>
      </w:pPr>
      <w:r w:rsidRPr="00D21FAC">
        <w:rPr>
          <w:szCs w:val="24"/>
        </w:rPr>
        <w:t xml:space="preserve">TENORIO SÁNCHEZ, PEDRO, J., “¿Qué fue del recurso de amparo ante el tribunal constitucional?”, </w:t>
      </w:r>
      <w:r w:rsidRPr="00D21FAC">
        <w:rPr>
          <w:i/>
          <w:iCs/>
          <w:szCs w:val="24"/>
        </w:rPr>
        <w:t>UNED. Revista de Derecho Político</w:t>
      </w:r>
      <w:r w:rsidRPr="00D21FAC">
        <w:rPr>
          <w:szCs w:val="24"/>
        </w:rPr>
        <w:t xml:space="preserve">, </w:t>
      </w:r>
      <w:r>
        <w:rPr>
          <w:szCs w:val="24"/>
        </w:rPr>
        <w:t>núm.</w:t>
      </w:r>
      <w:r w:rsidRPr="00D21FAC">
        <w:rPr>
          <w:szCs w:val="24"/>
        </w:rPr>
        <w:t xml:space="preserve"> 101, 2018</w:t>
      </w:r>
      <w:r>
        <w:rPr>
          <w:szCs w:val="24"/>
        </w:rPr>
        <w:t>.</w:t>
      </w:r>
    </w:p>
    <w:p w14:paraId="442CBEA1" w14:textId="77777777" w:rsidR="00316C24" w:rsidRPr="00D21FAC" w:rsidRDefault="00316C24" w:rsidP="00316C24">
      <w:pPr>
        <w:spacing w:before="240" w:after="240"/>
        <w:rPr>
          <w:szCs w:val="24"/>
        </w:rPr>
      </w:pPr>
      <w:r w:rsidRPr="00D21FAC">
        <w:rPr>
          <w:szCs w:val="24"/>
        </w:rPr>
        <w:t xml:space="preserve">TIRADO ESTRADA, J. J., “El requisito particular de admisión del recurso: la especial trascendencia constitucional”, </w:t>
      </w:r>
      <w:r w:rsidRPr="00DB382D">
        <w:rPr>
          <w:i/>
          <w:szCs w:val="24"/>
        </w:rPr>
        <w:t>Diario La Ley</w:t>
      </w:r>
      <w:r>
        <w:rPr>
          <w:szCs w:val="24"/>
        </w:rPr>
        <w:t>, núm.</w:t>
      </w:r>
      <w:r w:rsidRPr="00D21FAC">
        <w:rPr>
          <w:szCs w:val="24"/>
        </w:rPr>
        <w:t>7838</w:t>
      </w:r>
      <w:r>
        <w:rPr>
          <w:szCs w:val="24"/>
        </w:rPr>
        <w:t xml:space="preserve">, </w:t>
      </w:r>
      <w:r w:rsidRPr="00D21FAC">
        <w:rPr>
          <w:szCs w:val="24"/>
        </w:rPr>
        <w:t>2012.</w:t>
      </w:r>
    </w:p>
    <w:p w14:paraId="039A0F51" w14:textId="77777777" w:rsidR="00316C24" w:rsidRDefault="00316C24" w:rsidP="00316C24">
      <w:pPr>
        <w:pStyle w:val="texto"/>
        <w:spacing w:before="240" w:after="240" w:afterAutospacing="0"/>
        <w:ind w:firstLine="0"/>
        <w:rPr>
          <w:rFonts w:ascii="Times New Roman" w:hAnsi="Times New Roman"/>
          <w:szCs w:val="24"/>
        </w:rPr>
      </w:pPr>
      <w:r w:rsidRPr="00887623">
        <w:rPr>
          <w:rFonts w:ascii="Times New Roman" w:hAnsi="Times New Roman"/>
          <w:szCs w:val="24"/>
        </w:rPr>
        <w:t xml:space="preserve">TOMÁS Y VALIENTE, F., “El Tribunal Constitucional español: diez años de funcionamiento”, </w:t>
      </w:r>
      <w:r w:rsidRPr="00887623">
        <w:rPr>
          <w:rFonts w:ascii="Times New Roman" w:hAnsi="Times New Roman"/>
          <w:i/>
          <w:szCs w:val="24"/>
        </w:rPr>
        <w:t>Revista Vasca de Administración Pública</w:t>
      </w:r>
      <w:r>
        <w:rPr>
          <w:rFonts w:ascii="Times New Roman" w:hAnsi="Times New Roman"/>
          <w:szCs w:val="24"/>
        </w:rPr>
        <w:t>, núm. 31, 199.1</w:t>
      </w:r>
    </w:p>
    <w:p w14:paraId="484A4E52" w14:textId="77777777" w:rsidR="00316C24" w:rsidRDefault="00316C24" w:rsidP="00316C24">
      <w:pPr>
        <w:spacing w:before="240" w:after="240"/>
      </w:pPr>
      <w:r>
        <w:t xml:space="preserve">TRIANA REYES, B., “¿Qué hacer antes de acudir al amparo?: el Tribunal Supremo contesta”, </w:t>
      </w:r>
      <w:r w:rsidRPr="0054133F">
        <w:rPr>
          <w:i/>
          <w:iCs/>
        </w:rPr>
        <w:t>Diario La Ley</w:t>
      </w:r>
      <w:r>
        <w:t>, núm. 9129, Sección Tribuna, 2018.</w:t>
      </w:r>
    </w:p>
    <w:p w14:paraId="65AB8CF5" w14:textId="77777777" w:rsidR="00316C24" w:rsidRPr="00D21FAC" w:rsidRDefault="00316C24" w:rsidP="00316C24">
      <w:pPr>
        <w:spacing w:before="240" w:after="240"/>
        <w:rPr>
          <w:szCs w:val="24"/>
        </w:rPr>
      </w:pPr>
      <w:r w:rsidRPr="00D21FAC">
        <w:rPr>
          <w:szCs w:val="24"/>
        </w:rPr>
        <w:t>UREÑA CARAZO, B.: “Argumentación jurídica sobre los derechos fundamentales y artículo 24 de la Constitución Española”</w:t>
      </w:r>
      <w:r>
        <w:rPr>
          <w:szCs w:val="24"/>
        </w:rPr>
        <w:t xml:space="preserve">, </w:t>
      </w:r>
      <w:r w:rsidRPr="00DB382D">
        <w:rPr>
          <w:i/>
          <w:szCs w:val="24"/>
        </w:rPr>
        <w:t>Cuadernos electrónicos de filosofía del derecho</w:t>
      </w:r>
      <w:r w:rsidRPr="00DB382D">
        <w:rPr>
          <w:szCs w:val="24"/>
        </w:rPr>
        <w:t xml:space="preserve">, </w:t>
      </w:r>
      <w:r>
        <w:rPr>
          <w:szCs w:val="24"/>
        </w:rPr>
        <w:t>núm.</w:t>
      </w:r>
      <w:r w:rsidRPr="00DB382D">
        <w:rPr>
          <w:szCs w:val="24"/>
        </w:rPr>
        <w:t xml:space="preserve"> 23, 2011</w:t>
      </w:r>
      <w:r>
        <w:rPr>
          <w:szCs w:val="24"/>
        </w:rPr>
        <w:t>.</w:t>
      </w:r>
    </w:p>
    <w:p w14:paraId="014B85CC" w14:textId="77777777" w:rsidR="00316C24" w:rsidRPr="00D21FAC" w:rsidRDefault="00316C24" w:rsidP="00316C24">
      <w:pPr>
        <w:spacing w:before="240" w:after="240"/>
        <w:rPr>
          <w:szCs w:val="24"/>
        </w:rPr>
      </w:pPr>
      <w:r w:rsidRPr="00D21FAC">
        <w:rPr>
          <w:szCs w:val="24"/>
        </w:rPr>
        <w:t xml:space="preserve">URIAS MARTINEZ, JOAQUIN. “Seleccionar lo (menos) importante. Nota sobre la construcción por el Tribunal Constitucional de un nuevo régimen de admisibilidad del recurso de amparo, y sus paradojas”, </w:t>
      </w:r>
      <w:r w:rsidRPr="009D61FE">
        <w:rPr>
          <w:szCs w:val="24"/>
        </w:rPr>
        <w:t xml:space="preserve">en AA. VV., </w:t>
      </w:r>
      <w:r w:rsidRPr="009D61FE">
        <w:rPr>
          <w:i/>
          <w:szCs w:val="24"/>
        </w:rPr>
        <w:t>Recurso de Amparo, Derechos, Fundamentales y Trascendencia Constitucional, (el Camino Hacia la Objetivación del Amparo Constitucional en España)</w:t>
      </w:r>
      <w:r w:rsidRPr="009D61FE">
        <w:rPr>
          <w:szCs w:val="24"/>
        </w:rPr>
        <w:t>, Madrid, 2014.</w:t>
      </w:r>
      <w:r w:rsidRPr="00D21FAC">
        <w:rPr>
          <w:szCs w:val="24"/>
        </w:rPr>
        <w:t xml:space="preserve"> </w:t>
      </w:r>
    </w:p>
    <w:p w14:paraId="4958A113" w14:textId="77777777" w:rsidR="00316C24" w:rsidRDefault="00316C24" w:rsidP="00316C24">
      <w:pPr>
        <w:spacing w:before="240" w:after="240"/>
      </w:pPr>
      <w:r>
        <w:t xml:space="preserve">VALDÉS DAL-RÉ, F., “El incidente de nulidad de actuaciones: su controvertida reforma por la Ley 6/2007”, </w:t>
      </w:r>
      <w:r w:rsidRPr="0054133F">
        <w:rPr>
          <w:i/>
          <w:iCs/>
        </w:rPr>
        <w:t>Derecho de las Relaciones Laborales</w:t>
      </w:r>
      <w:r>
        <w:t>, núm. 2, 2015.</w:t>
      </w:r>
    </w:p>
    <w:p w14:paraId="6828380F" w14:textId="77777777" w:rsidR="00316C24" w:rsidRDefault="00316C24" w:rsidP="00316C24">
      <w:pPr>
        <w:pStyle w:val="texto"/>
        <w:spacing w:before="240" w:after="240" w:afterAutospacing="0"/>
        <w:ind w:firstLine="0"/>
        <w:rPr>
          <w:rFonts w:ascii="Times New Roman" w:hAnsi="Times New Roman"/>
          <w:szCs w:val="24"/>
        </w:rPr>
      </w:pPr>
      <w:r w:rsidRPr="00325A74">
        <w:rPr>
          <w:rFonts w:ascii="Times New Roman" w:hAnsi="Times New Roman"/>
          <w:szCs w:val="24"/>
        </w:rPr>
        <w:t xml:space="preserve">VARELA SUANZES-CARPEGNA, J., “Los derechos fundamentales en la España del siglo XX”, </w:t>
      </w:r>
      <w:r w:rsidRPr="00325A74">
        <w:rPr>
          <w:rFonts w:ascii="Times New Roman" w:hAnsi="Times New Roman"/>
          <w:i/>
          <w:szCs w:val="24"/>
        </w:rPr>
        <w:t>UNED. Teoría y Realidad Constitucional</w:t>
      </w:r>
      <w:r w:rsidRPr="00325A74">
        <w:rPr>
          <w:rFonts w:ascii="Times New Roman" w:hAnsi="Times New Roman"/>
          <w:szCs w:val="24"/>
        </w:rPr>
        <w:t>, n</w:t>
      </w:r>
      <w:r>
        <w:rPr>
          <w:rFonts w:ascii="Times New Roman" w:hAnsi="Times New Roman"/>
          <w:szCs w:val="24"/>
        </w:rPr>
        <w:t>úm. 20, 2007</w:t>
      </w:r>
    </w:p>
    <w:p w14:paraId="69FB7ACD" w14:textId="77777777" w:rsidR="00316C24" w:rsidRPr="00D21FAC" w:rsidRDefault="00316C24" w:rsidP="00316C24">
      <w:pPr>
        <w:spacing w:before="240" w:after="240"/>
        <w:rPr>
          <w:szCs w:val="24"/>
        </w:rPr>
      </w:pPr>
      <w:r w:rsidRPr="00D21FAC">
        <w:rPr>
          <w:szCs w:val="24"/>
        </w:rPr>
        <w:t xml:space="preserve">VILLACORTA MANCEBO, L.: “Jurisdicción constitucional y derechos fundamentales. Aspectos a destacar en el contexto de la discusión española”, </w:t>
      </w:r>
      <w:r w:rsidRPr="00DB382D">
        <w:rPr>
          <w:i/>
          <w:szCs w:val="24"/>
        </w:rPr>
        <w:t>Revista Ius et Praxis</w:t>
      </w:r>
      <w:r w:rsidRPr="00D21FAC">
        <w:rPr>
          <w:szCs w:val="24"/>
        </w:rPr>
        <w:t xml:space="preserve">, </w:t>
      </w:r>
      <w:r>
        <w:rPr>
          <w:szCs w:val="24"/>
        </w:rPr>
        <w:t xml:space="preserve">núm. </w:t>
      </w:r>
      <w:r w:rsidRPr="00D21FAC">
        <w:rPr>
          <w:szCs w:val="24"/>
        </w:rPr>
        <w:t>1, 2011</w:t>
      </w:r>
      <w:r>
        <w:rPr>
          <w:szCs w:val="24"/>
        </w:rPr>
        <w:t>.</w:t>
      </w:r>
    </w:p>
    <w:p w14:paraId="6FA30521" w14:textId="77777777" w:rsidR="00316C24" w:rsidRDefault="00316C24" w:rsidP="00316C24">
      <w:pPr>
        <w:spacing w:before="240" w:after="240"/>
      </w:pPr>
      <w:r>
        <w:lastRenderedPageBreak/>
        <w:t>VILLALVILLA MUÑOZ, J. M., “El intrincado laberinto del incidente de nulidad y el recurso de amparo</w:t>
      </w:r>
      <w:r w:rsidRPr="0054133F">
        <w:rPr>
          <w:i/>
          <w:iCs/>
        </w:rPr>
        <w:t xml:space="preserve">”, </w:t>
      </w:r>
      <w:r>
        <w:rPr>
          <w:iCs/>
        </w:rPr>
        <w:t xml:space="preserve">en AA. VV., </w:t>
      </w:r>
      <w:r w:rsidRPr="0054133F">
        <w:rPr>
          <w:i/>
          <w:iCs/>
        </w:rPr>
        <w:t>Anuario contencioso para abogados 2011: los casos más relevantes sobre litigación y arbitraje en 2010 de los grandes despachos</w:t>
      </w:r>
      <w:r>
        <w:t>, Madrid, 2011.</w:t>
      </w:r>
    </w:p>
    <w:p w14:paraId="5C08AA17" w14:textId="38D6DB0A" w:rsidR="00316C24" w:rsidRPr="00D21FAC" w:rsidRDefault="00316C24" w:rsidP="00316C24">
      <w:pPr>
        <w:spacing w:before="240" w:after="240"/>
        <w:rPr>
          <w:szCs w:val="24"/>
        </w:rPr>
      </w:pPr>
      <w:r w:rsidRPr="00D21FAC">
        <w:rPr>
          <w:szCs w:val="24"/>
        </w:rPr>
        <w:t>VILLAVERDE MENDEZ, IGNACIO</w:t>
      </w:r>
      <w:r w:rsidRPr="00497C84">
        <w:rPr>
          <w:i/>
          <w:szCs w:val="24"/>
        </w:rPr>
        <w:t>, L</w:t>
      </w:r>
      <w:r>
        <w:rPr>
          <w:i/>
          <w:szCs w:val="24"/>
        </w:rPr>
        <w:t>a ejecución de amparos. A</w:t>
      </w:r>
      <w:r w:rsidRPr="00497C84">
        <w:rPr>
          <w:i/>
          <w:szCs w:val="24"/>
        </w:rPr>
        <w:t xml:space="preserve">lgunas perplejidades y una discutible </w:t>
      </w:r>
      <w:proofErr w:type="spellStart"/>
      <w:r w:rsidRPr="00497C84">
        <w:rPr>
          <w:i/>
          <w:szCs w:val="24"/>
        </w:rPr>
        <w:t>autorestricción</w:t>
      </w:r>
      <w:proofErr w:type="spellEnd"/>
      <w:r>
        <w:rPr>
          <w:szCs w:val="24"/>
        </w:rPr>
        <w:t>, Madrid</w:t>
      </w:r>
      <w:r w:rsidRPr="00D21FAC">
        <w:rPr>
          <w:szCs w:val="24"/>
        </w:rPr>
        <w:t>, 2018</w:t>
      </w:r>
      <w:r w:rsidR="00BE19D5">
        <w:rPr>
          <w:szCs w:val="24"/>
        </w:rPr>
        <w:t>.</w:t>
      </w:r>
    </w:p>
    <w:p w14:paraId="53720BCC" w14:textId="77777777" w:rsidR="00316C24" w:rsidRDefault="00316C24" w:rsidP="00316C24">
      <w:pPr>
        <w:spacing w:before="240" w:after="240"/>
      </w:pPr>
      <w:r w:rsidRPr="00B0532D">
        <w:t xml:space="preserve">VILLAVERDE, I., </w:t>
      </w:r>
      <w:r>
        <w:t>“</w:t>
      </w:r>
      <w:r w:rsidRPr="00B0532D">
        <w:t>Decidir qué no decidir o qué hacer con los amparos. El trámite de admisión de los recursos de amparo</w:t>
      </w:r>
      <w:r>
        <w:t>”</w:t>
      </w:r>
      <w:r w:rsidRPr="00B0532D">
        <w:t xml:space="preserve">, </w:t>
      </w:r>
      <w:r w:rsidRPr="00610EBF">
        <w:rPr>
          <w:i/>
        </w:rPr>
        <w:t>UNED</w:t>
      </w:r>
      <w:r>
        <w:t xml:space="preserve">. </w:t>
      </w:r>
      <w:r w:rsidRPr="00610EBF">
        <w:rPr>
          <w:i/>
        </w:rPr>
        <w:t>Teoría y Realidad Constitucional</w:t>
      </w:r>
      <w:r>
        <w:t>, núm. 10-11, 2002-2003.</w:t>
      </w:r>
    </w:p>
    <w:p w14:paraId="593B69F9" w14:textId="77777777" w:rsidR="00316C24" w:rsidRDefault="00316C24" w:rsidP="00316C24">
      <w:pPr>
        <w:spacing w:before="240" w:after="240"/>
        <w:rPr>
          <w:szCs w:val="24"/>
        </w:rPr>
      </w:pPr>
      <w:r w:rsidRPr="00575AD6">
        <w:rPr>
          <w:szCs w:val="24"/>
        </w:rPr>
        <w:t xml:space="preserve">VÍRGALA FORURIA, E., “Control abstracto y recurso directo de inconstitucionalidad en los Estados Unidos”, </w:t>
      </w:r>
      <w:r w:rsidRPr="00575AD6">
        <w:rPr>
          <w:i/>
          <w:szCs w:val="24"/>
        </w:rPr>
        <w:t>Revista Española de Derecho Constitucional</w:t>
      </w:r>
      <w:r w:rsidRPr="00575AD6">
        <w:rPr>
          <w:szCs w:val="24"/>
        </w:rPr>
        <w:t>, núm. 62,</w:t>
      </w:r>
      <w:r>
        <w:rPr>
          <w:szCs w:val="24"/>
        </w:rPr>
        <w:t xml:space="preserve"> 2001.</w:t>
      </w:r>
    </w:p>
    <w:p w14:paraId="575D5FA1" w14:textId="77777777" w:rsidR="00316C24" w:rsidRDefault="00316C24" w:rsidP="00316C24">
      <w:pPr>
        <w:spacing w:before="240" w:after="240"/>
      </w:pPr>
      <w:r>
        <w:t xml:space="preserve">VIVER I PI-SUNYER, C., “Diagnóstico para una reforma”, </w:t>
      </w:r>
      <w:r w:rsidRPr="00B20B0B">
        <w:rPr>
          <w:i/>
        </w:rPr>
        <w:t>La reforma del recurso de amparo</w:t>
      </w:r>
      <w:r>
        <w:t>, Valencia, 2004.</w:t>
      </w:r>
    </w:p>
    <w:p w14:paraId="342A8C17" w14:textId="77777777" w:rsidR="00316C24" w:rsidRDefault="00316C24" w:rsidP="00316C24">
      <w:pPr>
        <w:spacing w:before="240" w:after="240"/>
      </w:pPr>
      <w:r>
        <w:t>VIVER PI-SUNYER, C., LÓPEZ BOFILL, H., “Derecho a la tutela judicial efectiva sin indefensión”, en AA. VV., Jurisdicción</w:t>
      </w:r>
      <w:r w:rsidRPr="00B20B0B">
        <w:rPr>
          <w:i/>
        </w:rPr>
        <w:t xml:space="preserve"> Constitucional y Judicial en el Recurso de Amparo</w:t>
      </w:r>
      <w:r>
        <w:rPr>
          <w:i/>
        </w:rPr>
        <w:t>,</w:t>
      </w:r>
      <w:r>
        <w:t xml:space="preserve"> Valencia, 2006.</w:t>
      </w:r>
    </w:p>
    <w:p w14:paraId="5F4D17B5" w14:textId="77777777" w:rsidR="00316C24" w:rsidRDefault="00316C24" w:rsidP="00316C24">
      <w:pPr>
        <w:spacing w:before="240" w:after="240"/>
      </w:pPr>
      <w:r>
        <w:t xml:space="preserve">VIVES ANTÓN, T., “Tribunales de Justicia y Jurisprudencia Constitucional”, </w:t>
      </w:r>
      <w:r w:rsidRPr="00B20B0B">
        <w:rPr>
          <w:i/>
        </w:rPr>
        <w:t>Revista del Poder Judicial</w:t>
      </w:r>
      <w:r>
        <w:rPr>
          <w:i/>
        </w:rPr>
        <w:t>, núm.</w:t>
      </w:r>
      <w:r>
        <w:t xml:space="preserve"> 2, 1986.</w:t>
      </w:r>
    </w:p>
    <w:p w14:paraId="2B93744A" w14:textId="77777777" w:rsidR="00316C24" w:rsidRDefault="00316C24" w:rsidP="00316C24">
      <w:pPr>
        <w:spacing w:before="240" w:after="240"/>
        <w:rPr>
          <w:szCs w:val="24"/>
        </w:rPr>
      </w:pPr>
      <w:r w:rsidRPr="00D21FAC">
        <w:rPr>
          <w:szCs w:val="24"/>
        </w:rPr>
        <w:t xml:space="preserve">VIZCAÍNO CANARIO, </w:t>
      </w:r>
      <w:r>
        <w:rPr>
          <w:szCs w:val="24"/>
        </w:rPr>
        <w:t>U. N.</w:t>
      </w:r>
      <w:r w:rsidRPr="00D21FAC">
        <w:rPr>
          <w:szCs w:val="24"/>
        </w:rPr>
        <w:t>, “Análisis del concepto ‘especial trascendencia o rel</w:t>
      </w:r>
      <w:r>
        <w:rPr>
          <w:szCs w:val="24"/>
        </w:rPr>
        <w:t>evancia constitucional’”, 2012, en</w:t>
      </w:r>
      <w:r w:rsidRPr="00D21FAC">
        <w:rPr>
          <w:szCs w:val="24"/>
        </w:rPr>
        <w:t xml:space="preserve"> http://archive-do.com/page/2073333/2013-05-12/http://www.vertia.do /2012/12/12/analisis-del-concepto-especial-trascendencia-o-relevancia-constitucional/</w:t>
      </w:r>
    </w:p>
    <w:p w14:paraId="52E1062F" w14:textId="77777777" w:rsidR="00316C24" w:rsidRDefault="00316C24" w:rsidP="00316C24"/>
    <w:p w14:paraId="6985A897" w14:textId="77777777" w:rsidR="00316C24" w:rsidRPr="00316C24" w:rsidRDefault="00316C24" w:rsidP="00316C24"/>
    <w:p w14:paraId="4D0A6918" w14:textId="77777777" w:rsidR="00BF0227" w:rsidRDefault="00BF0227" w:rsidP="009D61FE">
      <w:pPr>
        <w:spacing w:before="240" w:after="240"/>
      </w:pPr>
    </w:p>
    <w:bookmarkEnd w:id="790"/>
    <w:p w14:paraId="058B4096" w14:textId="2DCD3FD0" w:rsidR="00E35C82" w:rsidRDefault="00E35C82" w:rsidP="000965CC">
      <w:pPr>
        <w:spacing w:before="240" w:after="240"/>
        <w:rPr>
          <w:szCs w:val="24"/>
        </w:rPr>
      </w:pPr>
      <w:r>
        <w:rPr>
          <w:szCs w:val="24"/>
        </w:rPr>
        <w:br w:type="page"/>
      </w:r>
    </w:p>
    <w:p w14:paraId="3615E328" w14:textId="77777777" w:rsidR="00E35C82" w:rsidRPr="00D21FAC" w:rsidRDefault="00E35C82" w:rsidP="000965CC">
      <w:pPr>
        <w:spacing w:before="240" w:after="240"/>
        <w:rPr>
          <w:szCs w:val="24"/>
        </w:rPr>
      </w:pPr>
    </w:p>
    <w:p w14:paraId="31C0322A" w14:textId="77777777" w:rsidR="000965CC" w:rsidRDefault="000965CC" w:rsidP="000965CC"/>
    <w:p w14:paraId="7907B131" w14:textId="221A7ED3" w:rsidR="001815E7" w:rsidRDefault="001815E7" w:rsidP="00B33550"/>
    <w:p w14:paraId="6D802949" w14:textId="77777777" w:rsidR="001815E7" w:rsidRPr="004B3B15" w:rsidRDefault="001815E7" w:rsidP="00B33550"/>
    <w:p w14:paraId="6023F468" w14:textId="77777777" w:rsidR="004B3B15" w:rsidRPr="00072D10" w:rsidRDefault="004B3B15" w:rsidP="004B3B15"/>
    <w:p w14:paraId="516206CA" w14:textId="77777777" w:rsidR="004B3B15" w:rsidRDefault="004B3B15" w:rsidP="00500DB3">
      <w:pPr>
        <w:pStyle w:val="texto"/>
        <w:rPr>
          <w:rFonts w:ascii="Times New Roman" w:hAnsi="Times New Roman"/>
          <w:szCs w:val="24"/>
        </w:rPr>
      </w:pPr>
    </w:p>
    <w:p w14:paraId="29361AB6" w14:textId="77777777" w:rsidR="004B3B15" w:rsidRDefault="004B3B15" w:rsidP="004B3B15">
      <w:pPr>
        <w:pStyle w:val="texto"/>
        <w:ind w:firstLine="0"/>
        <w:rPr>
          <w:rFonts w:ascii="Times New Roman" w:hAnsi="Times New Roman"/>
          <w:szCs w:val="24"/>
        </w:rPr>
      </w:pPr>
    </w:p>
    <w:p w14:paraId="1BAB8EBD" w14:textId="77777777" w:rsidR="004B3B15" w:rsidRPr="00500DB3" w:rsidRDefault="004B3B15" w:rsidP="004B3B15">
      <w:pPr>
        <w:pStyle w:val="texto"/>
        <w:ind w:firstLine="0"/>
        <w:rPr>
          <w:rFonts w:ascii="Times New Roman" w:hAnsi="Times New Roman"/>
          <w:szCs w:val="24"/>
        </w:rPr>
      </w:pPr>
    </w:p>
    <w:sectPr w:rsidR="004B3B15" w:rsidRPr="00500DB3" w:rsidSect="00F700C3">
      <w:headerReference w:type="even" r:id="rId13"/>
      <w:footerReference w:type="even" r:id="rId14"/>
      <w:footerReference w:type="default" r:id="rId15"/>
      <w:pgSz w:w="11906" w:h="16838"/>
      <w:pgMar w:top="1417" w:right="1701" w:bottom="1417"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319B75" w14:textId="77777777" w:rsidR="00271BCE" w:rsidRDefault="00271BCE" w:rsidP="00250FF7">
      <w:r>
        <w:separator/>
      </w:r>
    </w:p>
  </w:endnote>
  <w:endnote w:type="continuationSeparator" w:id="0">
    <w:p w14:paraId="2550604A" w14:textId="77777777" w:rsidR="00271BCE" w:rsidRDefault="00271BCE" w:rsidP="00250F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High Tower Text">
    <w:panose1 w:val="020405020505060303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A209DF" w14:textId="77777777" w:rsidR="007B7556" w:rsidRDefault="007B7556">
    <w:pPr>
      <w:pStyle w:val="Piedepgina"/>
      <w:tabs>
        <w:tab w:val="clear" w:pos="4680"/>
        <w:tab w:val="clear" w:pos="9360"/>
      </w:tabs>
      <w:jc w:val="center"/>
      <w:rPr>
        <w:caps/>
        <w:color w:val="4F81BD" w:themeColor="accent1"/>
      </w:rPr>
    </w:pPr>
    <w:r>
      <w:rPr>
        <w:caps/>
        <w:color w:val="4F81BD" w:themeColor="accent1"/>
      </w:rPr>
      <w:fldChar w:fldCharType="begin"/>
    </w:r>
    <w:r>
      <w:rPr>
        <w:caps/>
        <w:color w:val="4F81BD" w:themeColor="accent1"/>
      </w:rPr>
      <w:instrText>PAGE   \* MERGEFORMAT</w:instrText>
    </w:r>
    <w:r>
      <w:rPr>
        <w:caps/>
        <w:color w:val="4F81BD" w:themeColor="accent1"/>
      </w:rPr>
      <w:fldChar w:fldCharType="separate"/>
    </w:r>
    <w:r>
      <w:rPr>
        <w:caps/>
        <w:noProof/>
        <w:color w:val="4F81BD" w:themeColor="accent1"/>
      </w:rPr>
      <w:t>2</w:t>
    </w:r>
    <w:r>
      <w:rPr>
        <w:caps/>
        <w:color w:val="4F81BD" w:themeColor="accent1"/>
      </w:rPr>
      <w:fldChar w:fldCharType="end"/>
    </w:r>
  </w:p>
  <w:p w14:paraId="56167000" w14:textId="6ED258B5" w:rsidR="007B7556" w:rsidRDefault="007B755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1349444"/>
      <w:docPartObj>
        <w:docPartGallery w:val="Page Numbers (Bottom of Page)"/>
        <w:docPartUnique/>
      </w:docPartObj>
    </w:sdtPr>
    <w:sdtEndPr>
      <w:rPr>
        <w:rFonts w:ascii="Times New Roman" w:hAnsi="Times New Roman"/>
        <w:sz w:val="24"/>
      </w:rPr>
    </w:sdtEndPr>
    <w:sdtContent>
      <w:p w14:paraId="16621C31" w14:textId="1A9AF98B" w:rsidR="007B7556" w:rsidRPr="00F700C3" w:rsidRDefault="007B7556">
        <w:pPr>
          <w:pStyle w:val="Piedepgina"/>
          <w:jc w:val="center"/>
          <w:rPr>
            <w:rFonts w:ascii="Times New Roman" w:hAnsi="Times New Roman"/>
            <w:sz w:val="24"/>
          </w:rPr>
        </w:pPr>
        <w:r w:rsidRPr="00F700C3">
          <w:rPr>
            <w:rFonts w:ascii="Times New Roman" w:hAnsi="Times New Roman"/>
            <w:sz w:val="24"/>
          </w:rPr>
          <w:fldChar w:fldCharType="begin"/>
        </w:r>
        <w:r w:rsidRPr="00F700C3">
          <w:rPr>
            <w:rFonts w:ascii="Times New Roman" w:hAnsi="Times New Roman"/>
            <w:sz w:val="24"/>
          </w:rPr>
          <w:instrText>PAGE   \* MERGEFORMAT</w:instrText>
        </w:r>
        <w:r w:rsidRPr="00F700C3">
          <w:rPr>
            <w:rFonts w:ascii="Times New Roman" w:hAnsi="Times New Roman"/>
            <w:sz w:val="24"/>
          </w:rPr>
          <w:fldChar w:fldCharType="separate"/>
        </w:r>
        <w:r w:rsidR="00834F51">
          <w:rPr>
            <w:rFonts w:ascii="Times New Roman" w:hAnsi="Times New Roman"/>
            <w:noProof/>
            <w:sz w:val="24"/>
          </w:rPr>
          <w:t>1</w:t>
        </w:r>
        <w:r w:rsidRPr="00F700C3">
          <w:rPr>
            <w:rFonts w:ascii="Times New Roman" w:hAnsi="Times New Roman"/>
            <w:sz w:val="24"/>
          </w:rPr>
          <w:fldChar w:fldCharType="end"/>
        </w:r>
      </w:p>
    </w:sdtContent>
  </w:sdt>
  <w:p w14:paraId="61BA802A" w14:textId="77DA8D0D" w:rsidR="007B7556" w:rsidRDefault="007B755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80FE12" w14:textId="77777777" w:rsidR="00271BCE" w:rsidRDefault="00271BCE" w:rsidP="00250FF7">
      <w:r>
        <w:separator/>
      </w:r>
    </w:p>
  </w:footnote>
  <w:footnote w:type="continuationSeparator" w:id="0">
    <w:p w14:paraId="66003D47" w14:textId="77777777" w:rsidR="00271BCE" w:rsidRDefault="00271BCE" w:rsidP="00250FF7">
      <w:r>
        <w:continuationSeparator/>
      </w:r>
    </w:p>
  </w:footnote>
  <w:footnote w:id="1">
    <w:p w14:paraId="6A0BD88E" w14:textId="428BAF25" w:rsidR="007B7556" w:rsidRDefault="007B7556" w:rsidP="00464B01">
      <w:pPr>
        <w:pStyle w:val="nota"/>
      </w:pPr>
      <w:r>
        <w:rPr>
          <w:rStyle w:val="Refdenotaalpie"/>
        </w:rPr>
        <w:footnoteRef/>
      </w:r>
      <w:r>
        <w:t xml:space="preserve"> </w:t>
      </w:r>
      <w:r w:rsidRPr="004D4CBD">
        <w:t xml:space="preserve">GASCÓN, ABELLÁN, M., «La justicia constitucional: Entre legislación y jurisdicción», </w:t>
      </w:r>
      <w:r w:rsidRPr="00A46999">
        <w:rPr>
          <w:i/>
        </w:rPr>
        <w:t>Revista Española de Derecho Constitucional</w:t>
      </w:r>
      <w:r w:rsidRPr="004D4CBD">
        <w:t>, año 14, núm. 4</w:t>
      </w:r>
      <w:r>
        <w:t>1, mayo-agosto 1994, págs. 63 y ss.</w:t>
      </w:r>
    </w:p>
  </w:footnote>
  <w:footnote w:id="2">
    <w:p w14:paraId="6C91DC65" w14:textId="5156090A" w:rsidR="007B7556" w:rsidRDefault="007B7556" w:rsidP="00B03777">
      <w:pPr>
        <w:pStyle w:val="nota"/>
      </w:pPr>
      <w:r>
        <w:rPr>
          <w:rStyle w:val="Refdenotaalpie"/>
        </w:rPr>
        <w:footnoteRef/>
      </w:r>
      <w:r>
        <w:t xml:space="preserve"> Entre otros: </w:t>
      </w:r>
      <w:r w:rsidRPr="00720858">
        <w:t xml:space="preserve">CLEMENTE VALDÉS, S., «Marbury vs Madison: Un ensayo sobre el origen del poder de los jueces en los Estados Unidos», </w:t>
      </w:r>
      <w:r w:rsidRPr="00665C94">
        <w:rPr>
          <w:i/>
        </w:rPr>
        <w:t>Revista Iberoamericana de Derecho Procesal Constitucional</w:t>
      </w:r>
      <w:r w:rsidRPr="00720858">
        <w:t xml:space="preserve">, </w:t>
      </w:r>
      <w:proofErr w:type="spellStart"/>
      <w:r w:rsidRPr="00720858">
        <w:t>nº</w:t>
      </w:r>
      <w:proofErr w:type="spellEnd"/>
      <w:r w:rsidRPr="00720858">
        <w:t xml:space="preserve"> 35, 2005, págs. 345 – 376</w:t>
      </w:r>
      <w:r>
        <w:t xml:space="preserve">; </w:t>
      </w:r>
      <w:r w:rsidRPr="00665C94">
        <w:t>13.</w:t>
      </w:r>
      <w:r w:rsidRPr="00665C94">
        <w:tab/>
        <w:t xml:space="preserve">CARBONELL SÁNCHEZ, M., </w:t>
      </w:r>
      <w:r w:rsidR="004B058B" w:rsidRPr="00665C94">
        <w:t>«Marbury</w:t>
      </w:r>
      <w:r w:rsidRPr="00665C94">
        <w:t xml:space="preserve"> versus Madison en los orígenes de la supremacía constitucional y el control de la constitucionalidad», </w:t>
      </w:r>
      <w:r w:rsidRPr="00665C94">
        <w:rPr>
          <w:i/>
        </w:rPr>
        <w:t>Revista Iberoamericana de Derecho Procesal Constituciona</w:t>
      </w:r>
      <w:r>
        <w:t>l</w:t>
      </w:r>
      <w:r w:rsidRPr="00665C94">
        <w:t xml:space="preserve">, </w:t>
      </w:r>
      <w:proofErr w:type="spellStart"/>
      <w:r w:rsidRPr="00665C94">
        <w:t>nº</w:t>
      </w:r>
      <w:proofErr w:type="spellEnd"/>
      <w:r w:rsidRPr="00665C94">
        <w:t xml:space="preserve"> 5, 2006, págs. 289-300</w:t>
      </w:r>
      <w:r>
        <w:t>.</w:t>
      </w:r>
    </w:p>
  </w:footnote>
  <w:footnote w:id="3">
    <w:p w14:paraId="7305F87A" w14:textId="4AC0B684" w:rsidR="007B7556" w:rsidRDefault="007B7556" w:rsidP="007D6C39">
      <w:pPr>
        <w:pStyle w:val="nota"/>
      </w:pPr>
      <w:r>
        <w:rPr>
          <w:rStyle w:val="Refdenotaalpie"/>
        </w:rPr>
        <w:footnoteRef/>
      </w:r>
      <w:r>
        <w:t xml:space="preserve"> Puede consultarse el texto traducido de la Constitución de Estados Unidos de 1987 en:</w:t>
      </w:r>
    </w:p>
    <w:p w14:paraId="1832AB78" w14:textId="32341834" w:rsidR="007B7556" w:rsidRDefault="00271BCE" w:rsidP="007D6C39">
      <w:pPr>
        <w:pStyle w:val="nota"/>
      </w:pPr>
      <w:hyperlink r:id="rId1" w:history="1">
        <w:r w:rsidR="007B7556" w:rsidRPr="00E700A0">
          <w:rPr>
            <w:rStyle w:val="Hipervnculo"/>
          </w:rPr>
          <w:t>https://www.archives.gov/espanol/constitucion</w:t>
        </w:r>
      </w:hyperlink>
    </w:p>
  </w:footnote>
  <w:footnote w:id="4">
    <w:p w14:paraId="50A95AC1" w14:textId="77777777" w:rsidR="007B7556" w:rsidRDefault="007B7556" w:rsidP="001114BA">
      <w:pPr>
        <w:pStyle w:val="nota"/>
      </w:pPr>
      <w:r>
        <w:rPr>
          <w:rStyle w:val="Refdenotaalpie"/>
        </w:rPr>
        <w:footnoteRef/>
      </w:r>
      <w:r>
        <w:t xml:space="preserve"> En el presente caso, el juez Marshall debía decidir si William Marbury, político del bando federalista, tenía efectivamente derecho a su nombramiento como juez de paz del Distrito de Columbia. </w:t>
      </w:r>
    </w:p>
    <w:p w14:paraId="72D42FCB" w14:textId="4415E614" w:rsidR="007B7556" w:rsidRDefault="007B7556" w:rsidP="001114BA">
      <w:pPr>
        <w:pStyle w:val="nota"/>
      </w:pPr>
      <w:r>
        <w:t xml:space="preserve">En las elecciones presidenciales de </w:t>
      </w:r>
      <w:r w:rsidR="004B058B">
        <w:t>1800, Thomas</w:t>
      </w:r>
      <w:r>
        <w:t xml:space="preserve"> Jefferson, republicano demócrata, derrotó al entonces presidente John Adams, federalista. En los últimos días del gobierno de Adams, el Congreso, dominado aún por los federalistas, estableció los citados cargos judiciales, entre ellos el de Marbury. El Senado confirmó dichos nombramientos, posteriormente fueron firmados por el presidente y, por </w:t>
      </w:r>
      <w:r w:rsidR="004B058B">
        <w:t>último, el</w:t>
      </w:r>
      <w:r>
        <w:t xml:space="preserve"> secretario de Estado era el encargado </w:t>
      </w:r>
      <w:proofErr w:type="spellStart"/>
      <w:r>
        <w:t>encargado</w:t>
      </w:r>
      <w:proofErr w:type="spellEnd"/>
      <w:r>
        <w:t xml:space="preserve"> de sellar y entregar las actas de nombramiento. Sin embargo, el secretario de Estado saliente no entregó las actas de nombramiento a cuatro jueces de paz, entre los que se contaba a William Marbury. El posterior secretario de Estado del gobierno, James Madison, se negó a entregar las actas de nombramiento, hecho que fue recurrido por Marbury ante la Corte Suprema.</w:t>
      </w:r>
    </w:p>
  </w:footnote>
  <w:footnote w:id="5">
    <w:p w14:paraId="3120020F" w14:textId="4C288C5F" w:rsidR="007B7556" w:rsidRDefault="007B7556" w:rsidP="00040417">
      <w:pPr>
        <w:pStyle w:val="nota"/>
      </w:pPr>
      <w:r>
        <w:rPr>
          <w:rStyle w:val="Refdenotaalpie"/>
        </w:rPr>
        <w:footnoteRef/>
      </w:r>
      <w:r>
        <w:t xml:space="preserve"> </w:t>
      </w:r>
      <w:r w:rsidRPr="00464B01">
        <w:rPr>
          <w:rStyle w:val="notaCar"/>
        </w:rPr>
        <w:t xml:space="preserve">Para más información sobre este caso puede consultarse, entre otros: AHUMADA RUÍZ, M. A., "Marbury versus Madison doscientos años (y más) después”, Fundamentos. Cuadernos monográficos de Teoría del Estado, Derecho Público e Historia Constitucional, núm. 4, </w:t>
      </w:r>
      <w:r w:rsidR="004B058B" w:rsidRPr="00464B01">
        <w:rPr>
          <w:rStyle w:val="notaCar"/>
        </w:rPr>
        <w:t>2006, págs.</w:t>
      </w:r>
      <w:r w:rsidRPr="00464B01">
        <w:rPr>
          <w:rStyle w:val="notaCar"/>
        </w:rPr>
        <w:t xml:space="preserve"> 109-148.</w:t>
      </w:r>
    </w:p>
  </w:footnote>
  <w:footnote w:id="6">
    <w:p w14:paraId="61F7EF5F" w14:textId="7AB86D8A" w:rsidR="007B7556" w:rsidRDefault="007B7556" w:rsidP="00B03777">
      <w:pPr>
        <w:pStyle w:val="nota"/>
      </w:pPr>
      <w:r w:rsidRPr="006034DB">
        <w:rPr>
          <w:rStyle w:val="Refdenotaalpie"/>
          <w:vertAlign w:val="baseline"/>
        </w:rPr>
        <w:footnoteRef/>
      </w:r>
      <w:r w:rsidRPr="006034DB">
        <w:t xml:space="preserve"> Pa</w:t>
      </w:r>
      <w:r>
        <w:t xml:space="preserve">ra un análisis más específico: </w:t>
      </w:r>
      <w:r w:rsidRPr="006034DB">
        <w:t xml:space="preserve">CARBONELL, M., “Marbury vs Madison. Regreso a la leyenda”, </w:t>
      </w:r>
      <w:r w:rsidRPr="00B03777">
        <w:rPr>
          <w:i/>
        </w:rPr>
        <w:t>Lex. Difusión y análisis</w:t>
      </w:r>
      <w:r>
        <w:t>, número 120, México, junio de 2005, pp. 66-73.</w:t>
      </w:r>
    </w:p>
  </w:footnote>
  <w:footnote w:id="7">
    <w:p w14:paraId="61BE6B1F" w14:textId="77777777" w:rsidR="007B7556" w:rsidRDefault="007B7556" w:rsidP="001F011E">
      <w:pPr>
        <w:pStyle w:val="nota"/>
      </w:pPr>
      <w:r>
        <w:rPr>
          <w:rStyle w:val="Refdenotaalpie"/>
        </w:rPr>
        <w:footnoteRef/>
      </w:r>
      <w:r>
        <w:t xml:space="preserve"> Tras la proclamación de la II República el 14 de abril de 1931 y la constitución del Gobierno Provisional de la República, éste dictó el 6 de mayo un Decreto por el que se creaba la Comisión Jurídica Asesora. A esta Comisión se le encargó la elaboración de un Anteproyecto de Constitución que el Gobierno pretendía asumir como propio, posteriormente, a las Cortes Constituyentes.</w:t>
      </w:r>
    </w:p>
    <w:p w14:paraId="543A35C9" w14:textId="612060F2" w:rsidR="007B7556" w:rsidRDefault="007B7556" w:rsidP="001F011E">
      <w:pPr>
        <w:pStyle w:val="nota"/>
      </w:pPr>
      <w:r>
        <w:t>En julio de 1931 la Comisión Jurídica Asesora elevó al Gobierno Provisional el Anteproyecto de Constitución, sin embargo, debido a las múltiples discrepancias existentes en su seno, éste no pudo presentarlo como proyecto constitucional propio a las Cortes Constituyentes surgidas de las elecciones del 28 de junio. El 28 de julio, las Cortes designaron una comisión parlamentaria que, siendo presidida por Jiménez de Asúa, tenía como cometido la elaboración de un Proyecto de Constitución que fue presentado finalmente el 18 de agosto.</w:t>
      </w:r>
    </w:p>
  </w:footnote>
  <w:footnote w:id="8">
    <w:p w14:paraId="7F26663A" w14:textId="77777777" w:rsidR="007B7556" w:rsidRPr="00A46999" w:rsidRDefault="007B7556" w:rsidP="001F011E">
      <w:pPr>
        <w:pStyle w:val="nota"/>
      </w:pPr>
      <w:r>
        <w:rPr>
          <w:rStyle w:val="Refdenotaalpie"/>
        </w:rPr>
        <w:footnoteRef/>
      </w:r>
      <w:r>
        <w:t xml:space="preserve"> </w:t>
      </w:r>
      <w:r w:rsidRPr="00A46999">
        <w:t xml:space="preserve">RALLO LOMBARTE, A., «El Tribunal de Garantías Constitucionales como Tribunal de Garantías Electorales», </w:t>
      </w:r>
      <w:r w:rsidRPr="00A46999">
        <w:rPr>
          <w:i/>
        </w:rPr>
        <w:t>Revista de Estudios Políticos (Nueva Época)</w:t>
      </w:r>
      <w:r w:rsidRPr="00A46999">
        <w:t xml:space="preserve">, 1996, </w:t>
      </w:r>
      <w:proofErr w:type="spellStart"/>
      <w:r w:rsidRPr="00A46999">
        <w:t>nº</w:t>
      </w:r>
      <w:proofErr w:type="spellEnd"/>
      <w:r w:rsidRPr="00A46999">
        <w:t xml:space="preserve"> 92., págs. 251-279.</w:t>
      </w:r>
    </w:p>
  </w:footnote>
  <w:footnote w:id="9">
    <w:p w14:paraId="50473E37" w14:textId="43611447" w:rsidR="007B7556" w:rsidRDefault="007B7556" w:rsidP="002E05E9">
      <w:pPr>
        <w:pStyle w:val="nota"/>
      </w:pPr>
      <w:r>
        <w:rPr>
          <w:rStyle w:val="Refdenotaalpie"/>
        </w:rPr>
        <w:footnoteRef/>
      </w:r>
      <w:r>
        <w:t xml:space="preserve"> Recordemos que en el modelo norteamericano el control de las normas reside en el juez ordinario en el marco de un proceso judicial. Este juez resuelve de forma incidental dentro del propio proceso y, en el caso de que considere la norma contraria a </w:t>
      </w:r>
      <w:r w:rsidR="004B058B">
        <w:t>la Constitución</w:t>
      </w:r>
      <w:r>
        <w:t>, su decisión puede desembocar en la eventual inaplicación de la norma legal al caso concreto.  El modelo austríaco, por su parte, que se impone en Europa, implica un control de la constitucionalidad de las leyes concentrado. Esto supone que este control de constitucionalidad es atribuido a un órgano específico, un Tribunal Constitucional, dando lugar a un proceso independiente de constitucionalidad. En este proceso es en el que se obtiene un pronunciamiento por parte del tribunal acerca de la constitucionalidad de la norma sometida a control con eficacia inmediata y erga omnes.</w:t>
      </w:r>
    </w:p>
  </w:footnote>
  <w:footnote w:id="10">
    <w:p w14:paraId="4BF4D0EC" w14:textId="77777777" w:rsidR="007B7556" w:rsidRDefault="007B7556" w:rsidP="00D95AF1">
      <w:pPr>
        <w:pStyle w:val="nota"/>
      </w:pPr>
      <w:r>
        <w:rPr>
          <w:rStyle w:val="Refdenotaalpie"/>
        </w:rPr>
        <w:footnoteRef/>
      </w:r>
      <w:r>
        <w:t xml:space="preserve"> RUBIO LLORENTE, F., «</w:t>
      </w:r>
      <w:r w:rsidRPr="00FF1133">
        <w:t xml:space="preserve">Del Tribunal de Garantías al Tribunal Constitucional», </w:t>
      </w:r>
      <w:r w:rsidRPr="005F0EA4">
        <w:rPr>
          <w:i/>
        </w:rPr>
        <w:t>Revista de Derecho Político</w:t>
      </w:r>
      <w:r>
        <w:t xml:space="preserve">, 1982-1983, </w:t>
      </w:r>
      <w:proofErr w:type="spellStart"/>
      <w:r>
        <w:t>nº</w:t>
      </w:r>
      <w:proofErr w:type="spellEnd"/>
      <w:r>
        <w:t xml:space="preserve"> 16, pág. 31</w:t>
      </w:r>
      <w:r w:rsidRPr="00FF1133">
        <w:t>.</w:t>
      </w:r>
    </w:p>
  </w:footnote>
  <w:footnote w:id="11">
    <w:p w14:paraId="09FFC5B4" w14:textId="77777777" w:rsidR="007B7556" w:rsidRPr="00A4676E" w:rsidRDefault="007B7556" w:rsidP="00D95AF1">
      <w:pPr>
        <w:pStyle w:val="nota"/>
        <w:rPr>
          <w:sz w:val="22"/>
        </w:rPr>
      </w:pPr>
      <w:r w:rsidRPr="00A4676E">
        <w:rPr>
          <w:rStyle w:val="Refdenotaalpie"/>
          <w:sz w:val="22"/>
        </w:rPr>
        <w:footnoteRef/>
      </w:r>
      <w:r w:rsidRPr="00A4676E">
        <w:rPr>
          <w:sz w:val="22"/>
        </w:rPr>
        <w:t xml:space="preserve"> Esta Ley puede ser consultada en:</w:t>
      </w:r>
    </w:p>
    <w:p w14:paraId="3450474F" w14:textId="77777777" w:rsidR="007B7556" w:rsidRPr="00A4676E" w:rsidRDefault="007B7556" w:rsidP="00D95AF1">
      <w:pPr>
        <w:pStyle w:val="nota"/>
        <w:rPr>
          <w:sz w:val="22"/>
        </w:rPr>
      </w:pPr>
      <w:r w:rsidRPr="00A4676E">
        <w:rPr>
          <w:sz w:val="22"/>
        </w:rPr>
        <w:t>http://www.congreso.es/docu/constituciones/1931/TribConst1.pdf</w:t>
      </w:r>
    </w:p>
  </w:footnote>
  <w:footnote w:id="12">
    <w:p w14:paraId="11FD715A" w14:textId="77777777" w:rsidR="007B7556" w:rsidRDefault="007B7556" w:rsidP="00760F5F">
      <w:pPr>
        <w:pStyle w:val="nota"/>
      </w:pPr>
      <w:r w:rsidRPr="00A4676E">
        <w:rPr>
          <w:rStyle w:val="Refdenotaalpie"/>
          <w:sz w:val="22"/>
        </w:rPr>
        <w:footnoteRef/>
      </w:r>
      <w:r>
        <w:rPr>
          <w:sz w:val="22"/>
        </w:rPr>
        <w:t xml:space="preserve"> RUBIO LLORENTE, F., «</w:t>
      </w:r>
      <w:r w:rsidRPr="00A4676E">
        <w:rPr>
          <w:sz w:val="22"/>
        </w:rPr>
        <w:t xml:space="preserve">Del Tribunal de Garantías al Tribunal Constitucional», </w:t>
      </w:r>
      <w:r w:rsidRPr="00183B02">
        <w:rPr>
          <w:i/>
          <w:sz w:val="22"/>
        </w:rPr>
        <w:t>Revista de Derecho Político</w:t>
      </w:r>
      <w:r w:rsidRPr="00A4676E">
        <w:rPr>
          <w:sz w:val="22"/>
        </w:rPr>
        <w:t xml:space="preserve">, 1982-1983, </w:t>
      </w:r>
      <w:proofErr w:type="spellStart"/>
      <w:r w:rsidRPr="00A4676E">
        <w:rPr>
          <w:sz w:val="22"/>
        </w:rPr>
        <w:t>nº</w:t>
      </w:r>
      <w:proofErr w:type="spellEnd"/>
      <w:r w:rsidRPr="00A4676E">
        <w:rPr>
          <w:sz w:val="22"/>
        </w:rPr>
        <w:t xml:space="preserve"> 16, pág. 32.</w:t>
      </w:r>
    </w:p>
  </w:footnote>
  <w:footnote w:id="13">
    <w:p w14:paraId="42F231B5" w14:textId="77777777" w:rsidR="007B7556" w:rsidRDefault="007B7556" w:rsidP="00BB0EC4">
      <w:pPr>
        <w:pStyle w:val="nota"/>
      </w:pPr>
      <w:r>
        <w:rPr>
          <w:rStyle w:val="Refdenotaalpie"/>
        </w:rPr>
        <w:footnoteRef/>
      </w:r>
      <w:r>
        <w:t xml:space="preserve"> </w:t>
      </w:r>
      <w:r w:rsidRPr="00BB0EC4">
        <w:t xml:space="preserve">GÓMEZ ORBANEJA, E., «Los avatares del texto constitucional», </w:t>
      </w:r>
      <w:r w:rsidRPr="00BB0EC4">
        <w:rPr>
          <w:i/>
        </w:rPr>
        <w:t>Revista de Estudios Políticos (Nueva Época)</w:t>
      </w:r>
      <w:r>
        <w:t xml:space="preserve">, </w:t>
      </w:r>
      <w:proofErr w:type="spellStart"/>
      <w:r>
        <w:t>nº</w:t>
      </w:r>
      <w:proofErr w:type="spellEnd"/>
      <w:r>
        <w:t xml:space="preserve"> 31-32, 1983, pág. 36</w:t>
      </w:r>
      <w:r w:rsidRPr="00BB0EC4">
        <w:t>.</w:t>
      </w:r>
    </w:p>
  </w:footnote>
  <w:footnote w:id="14">
    <w:p w14:paraId="76847A90" w14:textId="499934F8" w:rsidR="007B7556" w:rsidRDefault="007B7556" w:rsidP="00FD5DD1">
      <w:pPr>
        <w:pStyle w:val="nota"/>
      </w:pPr>
      <w:r>
        <w:rPr>
          <w:rStyle w:val="Refdenotaalpie"/>
        </w:rPr>
        <w:footnoteRef/>
      </w:r>
      <w:r>
        <w:t xml:space="preserve"> </w:t>
      </w:r>
      <w:r w:rsidRPr="00FD5DD1">
        <w:t>Respecto al Tribunal, el Gobierno de Burgos, bajo el mandato de Francisco Franco, dictó el Decreto de 4 de mayo de 1937 que supuso la defunción definitiva del mismo.</w:t>
      </w:r>
    </w:p>
  </w:footnote>
  <w:footnote w:id="15">
    <w:p w14:paraId="6069C671" w14:textId="77777777" w:rsidR="007B7556" w:rsidRDefault="007B7556" w:rsidP="00945E28">
      <w:pPr>
        <w:pStyle w:val="nota"/>
      </w:pPr>
      <w:r>
        <w:rPr>
          <w:rStyle w:val="Refdenotaalpie"/>
        </w:rPr>
        <w:footnoteRef/>
      </w:r>
      <w:r>
        <w:t xml:space="preserve"> RUBIO LLORENTE, F., «</w:t>
      </w:r>
      <w:r w:rsidRPr="00FF1133">
        <w:t xml:space="preserve">Del Tribunal de Garantías al Tribunal Constitucional», </w:t>
      </w:r>
      <w:r w:rsidRPr="00183B02">
        <w:rPr>
          <w:i/>
        </w:rPr>
        <w:t>Revista de Derecho Político</w:t>
      </w:r>
      <w:r>
        <w:t xml:space="preserve">, 1982-1983, </w:t>
      </w:r>
      <w:proofErr w:type="spellStart"/>
      <w:r>
        <w:t>nº</w:t>
      </w:r>
      <w:proofErr w:type="spellEnd"/>
      <w:r>
        <w:t xml:space="preserve"> 16, pág. 32.</w:t>
      </w:r>
    </w:p>
  </w:footnote>
  <w:footnote w:id="16">
    <w:p w14:paraId="54EEC726" w14:textId="77777777" w:rsidR="007B7556" w:rsidRDefault="007B7556" w:rsidP="00C22E91">
      <w:pPr>
        <w:pStyle w:val="nota"/>
      </w:pPr>
      <w:r>
        <w:rPr>
          <w:rStyle w:val="Refdenotaalpie"/>
        </w:rPr>
        <w:footnoteRef/>
      </w:r>
      <w:r>
        <w:t xml:space="preserve"> OLIVER ARAUJO, J., «</w:t>
      </w:r>
      <w:r w:rsidRPr="00945E28">
        <w:t xml:space="preserve">El recurso de amparo en la Segunda República Española (1931-1936) y la posterior Guerra Civil (1936-1939)», </w:t>
      </w:r>
      <w:r w:rsidRPr="00945E28">
        <w:rPr>
          <w:i/>
        </w:rPr>
        <w:t>Anuario Iberoamericano de Justicia Constitucional</w:t>
      </w:r>
      <w:r>
        <w:t xml:space="preserve">, 2010, </w:t>
      </w:r>
      <w:proofErr w:type="spellStart"/>
      <w:r>
        <w:t>nº</w:t>
      </w:r>
      <w:proofErr w:type="spellEnd"/>
      <w:r>
        <w:t xml:space="preserve"> 14, págs. 323-328</w:t>
      </w:r>
      <w:r w:rsidRPr="00945E28">
        <w:t>.</w:t>
      </w:r>
    </w:p>
  </w:footnote>
  <w:footnote w:id="17">
    <w:p w14:paraId="675ADE6F" w14:textId="77777777" w:rsidR="007B7556" w:rsidRDefault="007B7556" w:rsidP="003341E7">
      <w:pPr>
        <w:pStyle w:val="nota"/>
      </w:pPr>
      <w:r>
        <w:rPr>
          <w:rStyle w:val="Refdenotaalpie"/>
        </w:rPr>
        <w:footnoteRef/>
      </w:r>
      <w:r>
        <w:t xml:space="preserve">Texto disponible en: </w:t>
      </w:r>
    </w:p>
    <w:p w14:paraId="24143C2A" w14:textId="77777777" w:rsidR="007B7556" w:rsidRDefault="007B7556" w:rsidP="003341E7">
      <w:pPr>
        <w:pStyle w:val="nota"/>
      </w:pPr>
      <w:r w:rsidRPr="003341E7">
        <w:t>http://www.boe.es/datos/pdfs/BOE/1933/211/A00682-00690.pdf</w:t>
      </w:r>
    </w:p>
  </w:footnote>
  <w:footnote w:id="18">
    <w:p w14:paraId="0436409F" w14:textId="29610FA2" w:rsidR="007B7556" w:rsidRDefault="007B7556" w:rsidP="00FC4D51">
      <w:pPr>
        <w:pStyle w:val="nota"/>
      </w:pPr>
      <w:r>
        <w:rPr>
          <w:rStyle w:val="Refdenotaalpie"/>
        </w:rPr>
        <w:footnoteRef/>
      </w:r>
      <w:r>
        <w:t xml:space="preserve"> </w:t>
      </w:r>
      <w:r w:rsidRPr="00FC4D51">
        <w:t xml:space="preserve">La Ley </w:t>
      </w:r>
      <w:r>
        <w:t>de Orden Público de 1933 fue</w:t>
      </w:r>
      <w:r w:rsidRPr="00FC4D51">
        <w:t xml:space="preserve"> aprobada por las Cortes de la Segunda República Española el 28 de julio de 1933. Sustituyó a la Ley de Defensa de la República, norma de excepción que había regulado el orden público durante el primer bienio republicano (1931-1933).</w:t>
      </w:r>
    </w:p>
  </w:footnote>
  <w:footnote w:id="19">
    <w:p w14:paraId="0C751465" w14:textId="66A64DBC" w:rsidR="007B7556" w:rsidRPr="00183B02" w:rsidRDefault="007B7556" w:rsidP="00202CBD">
      <w:pPr>
        <w:pStyle w:val="nota"/>
        <w:rPr>
          <w:i/>
        </w:rPr>
      </w:pPr>
      <w:r>
        <w:rPr>
          <w:rStyle w:val="Refdenotaalpie"/>
        </w:rPr>
        <w:footnoteRef/>
      </w:r>
      <w:r>
        <w:t xml:space="preserve"> Este artículo afirmaba que: </w:t>
      </w:r>
      <w:r w:rsidRPr="00183B02">
        <w:rPr>
          <w:i/>
        </w:rPr>
        <w:t>«Los recursos de amparo que se entablen como consecuencia de la aplicación de la Ley de Orden Público en un territorio determinado no podrán referirse más que a infracciones de aquellas garantías o derechos que la autoridad haya de respetar, a pesar de la aplicación de dicha Ley».</w:t>
      </w:r>
      <w:r>
        <w:t xml:space="preserve"> Y añadía a continuación: </w:t>
      </w:r>
      <w:r w:rsidRPr="00183B02">
        <w:rPr>
          <w:i/>
        </w:rPr>
        <w:t>«Se rechazarán de plano los que se funden en causa distinta o afecten a derechos de los que sufren merma o interrupción en dichos estados excepcionales».</w:t>
      </w:r>
    </w:p>
  </w:footnote>
  <w:footnote w:id="20">
    <w:p w14:paraId="30F85B9F" w14:textId="29520773" w:rsidR="007B7556" w:rsidRDefault="007B7556" w:rsidP="00202CBD">
      <w:pPr>
        <w:pStyle w:val="nota"/>
      </w:pPr>
      <w:r>
        <w:rPr>
          <w:rStyle w:val="Refdenotaalpie"/>
        </w:rPr>
        <w:footnoteRef/>
      </w:r>
      <w:r>
        <w:t xml:space="preserve"> </w:t>
      </w:r>
      <w:r w:rsidRPr="00202CBD">
        <w:t>La Ley de Orden Público de 1933 fue redactada por Oriol Anguera de Sojo, colaborador de Azaña. Se tomó como referencia el anteproyecto de Ley de Orden Público elaborado por la Asamblea Nacional de la Dictadura de Primo de Rivera, del que copió, entre otras cosas, los tres tipos de estado de excepción (prevención, alarma y guerra).</w:t>
      </w:r>
    </w:p>
  </w:footnote>
  <w:footnote w:id="21">
    <w:p w14:paraId="4FA3E9E9" w14:textId="77777777" w:rsidR="007B7556" w:rsidRDefault="007B7556" w:rsidP="00735C31">
      <w:pPr>
        <w:pStyle w:val="nota"/>
      </w:pPr>
      <w:r>
        <w:rPr>
          <w:rStyle w:val="Refdenotaalpie"/>
        </w:rPr>
        <w:footnoteRef/>
      </w:r>
      <w:r>
        <w:t xml:space="preserve"> Este artículo establecía que procedería el recurso de amparo cuando existiese </w:t>
      </w:r>
      <w:r w:rsidRPr="00183B02">
        <w:rPr>
          <w:i/>
        </w:rPr>
        <w:t>«acto concreto de autoridades gubernativa, judicial o de cualquier otro orden, que con respecto a un individuo determinado»</w:t>
      </w:r>
      <w:r>
        <w:t xml:space="preserve"> hubiera infringido alguno de los derechos y libertades relacionadas en el artículo 44.</w:t>
      </w:r>
    </w:p>
  </w:footnote>
  <w:footnote w:id="22">
    <w:p w14:paraId="5E516CC7" w14:textId="77777777" w:rsidR="007B7556" w:rsidRDefault="007B7556" w:rsidP="00186078">
      <w:pPr>
        <w:pStyle w:val="nota"/>
      </w:pPr>
      <w:r>
        <w:rPr>
          <w:rStyle w:val="Refdenotaalpie"/>
        </w:rPr>
        <w:footnoteRef/>
      </w:r>
      <w:r>
        <w:t xml:space="preserve"> </w:t>
      </w:r>
      <w:r w:rsidRPr="00186078">
        <w:t xml:space="preserve">RUIZ LAPEÑA, R.M., «El recurso de amparo durante la Segunda República española», </w:t>
      </w:r>
      <w:r w:rsidRPr="00186078">
        <w:rPr>
          <w:i/>
        </w:rPr>
        <w:t>Revista de Estudios Políticos</w:t>
      </w:r>
      <w:r>
        <w:t xml:space="preserve">, </w:t>
      </w:r>
      <w:proofErr w:type="spellStart"/>
      <w:r>
        <w:t>nº</w:t>
      </w:r>
      <w:proofErr w:type="spellEnd"/>
      <w:r>
        <w:t xml:space="preserve"> 7, 1979, págs. 292</w:t>
      </w:r>
      <w:r w:rsidRPr="00186078">
        <w:t>.</w:t>
      </w:r>
    </w:p>
  </w:footnote>
  <w:footnote w:id="23">
    <w:p w14:paraId="74C70607" w14:textId="77777777" w:rsidR="007B7556" w:rsidRDefault="007B7556" w:rsidP="00732BAF">
      <w:pPr>
        <w:pStyle w:val="nota"/>
      </w:pPr>
      <w:r>
        <w:rPr>
          <w:rStyle w:val="Refdenotaalpie"/>
        </w:rPr>
        <w:footnoteRef/>
      </w:r>
      <w:r>
        <w:t xml:space="preserve"> </w:t>
      </w:r>
      <w:proofErr w:type="spellStart"/>
      <w:r>
        <w:t>Ibídem</w:t>
      </w:r>
      <w:proofErr w:type="spellEnd"/>
      <w:r>
        <w:t>.</w:t>
      </w:r>
    </w:p>
  </w:footnote>
  <w:footnote w:id="24">
    <w:p w14:paraId="123F1E6D" w14:textId="77777777" w:rsidR="007B7556" w:rsidRDefault="007B7556" w:rsidP="003A15EE">
      <w:pPr>
        <w:pStyle w:val="nota"/>
      </w:pPr>
      <w:r>
        <w:rPr>
          <w:rStyle w:val="Refdenotaalpie"/>
        </w:rPr>
        <w:footnoteRef/>
      </w:r>
      <w:r>
        <w:t xml:space="preserve"> Es importante destacar en este punto que el artículo 105 de la Constitución establecía que la ley debía organizar </w:t>
      </w:r>
      <w:r w:rsidRPr="00183B02">
        <w:rPr>
          <w:i/>
        </w:rPr>
        <w:t>«Tribunales de urgencia para hacer efectivo el derecho de amparo de las garantías individuales».</w:t>
      </w:r>
      <w:r>
        <w:t xml:space="preserve"> </w:t>
      </w:r>
    </w:p>
    <w:p w14:paraId="1A7EF405" w14:textId="77777777" w:rsidR="007B7556" w:rsidRDefault="007B7556" w:rsidP="003A15EE">
      <w:pPr>
        <w:pStyle w:val="nota"/>
      </w:pPr>
      <w:r>
        <w:t xml:space="preserve">Según el profesor OLIVER ARAUJO, la intención de este artículo era la de </w:t>
      </w:r>
      <w:r w:rsidRPr="00183B02">
        <w:rPr>
          <w:i/>
        </w:rPr>
        <w:t>«hacer efectivo el derecho de amparo»,</w:t>
      </w:r>
      <w:r>
        <w:t xml:space="preserve"> que apuntaba a la necesidad de que las violaciones de derechos tuvieran una reacción reparadora inmediata, en el tiempo y en el espacio. </w:t>
      </w:r>
    </w:p>
    <w:p w14:paraId="1364350B" w14:textId="77777777" w:rsidR="007B7556" w:rsidRDefault="007B7556" w:rsidP="003A15EE">
      <w:pPr>
        <w:pStyle w:val="nota"/>
      </w:pPr>
      <w:r>
        <w:t xml:space="preserve">Contrariamente, el legislador ordinario no llegó a cumplir este mandato del legislador constituyente, ya que los Tribunales de urgencia no llegaron a organizarse. </w:t>
      </w:r>
    </w:p>
    <w:p w14:paraId="06539694" w14:textId="77777777" w:rsidR="007B7556" w:rsidRDefault="007B7556" w:rsidP="003A15EE">
      <w:pPr>
        <w:pStyle w:val="nota"/>
      </w:pPr>
      <w:r>
        <w:t xml:space="preserve">Como compensación a esto, la disposición transitoria segunda de la Ley del Tribunal de Garantías Constitucionales estableció lo siguiente: </w:t>
      </w:r>
    </w:p>
    <w:p w14:paraId="4FC46C5A" w14:textId="77777777" w:rsidR="007B7556" w:rsidRPr="00183B02" w:rsidRDefault="007B7556" w:rsidP="00183B02">
      <w:pPr>
        <w:pStyle w:val="nota"/>
        <w:ind w:left="708"/>
        <w:rPr>
          <w:i/>
        </w:rPr>
      </w:pPr>
      <w:r w:rsidRPr="00183B02">
        <w:rPr>
          <w:i/>
        </w:rPr>
        <w:t>«Mientras no estén constituidos los Tribunales de urgencia a que se refiere el artículo 105 de la Constitución, no podrá interponerse el recurso de amparo ante el Tribunal de Garantías sin el requisito previo de que haya resultado ineficaz la reclamación ante la autoridad competente. Se entenderá por autoridad competente, a los efectos de lo dispuesto en el párrafo anterior, el superior jerárquico inmediato del agente o autoridad que haya causado el agravio. La reclamación se formulará en plazo de cinco días, y el superior jerárquico deberá resolver dentro de los cinco días siguientes, transcurridos los cuales sin resolución se considerará denegada».</w:t>
      </w:r>
    </w:p>
    <w:p w14:paraId="3D7DA890" w14:textId="77777777" w:rsidR="007B7556" w:rsidRDefault="007B7556" w:rsidP="003A15EE">
      <w:pPr>
        <w:pStyle w:val="nota"/>
      </w:pPr>
      <w:r>
        <w:t>Sin embargo, esta disposición transitoria acabó siendo definitiva, ya que la falta de organización de los llamados Tribunales de urgencia hizo que la tramitación de los recursos de amparo se hiciera siempre en única y suprema instancia ante el Tribunal de Garantías, con el único requisito de haber agotado previamente la reclamación ante la autoridad competente.</w:t>
      </w:r>
    </w:p>
  </w:footnote>
  <w:footnote w:id="25">
    <w:p w14:paraId="18B87D6C" w14:textId="29D55929" w:rsidR="007B7556" w:rsidRDefault="007B7556" w:rsidP="00EB7DEB">
      <w:pPr>
        <w:pStyle w:val="nota"/>
      </w:pPr>
      <w:r>
        <w:rPr>
          <w:rStyle w:val="Refdenotaalpie"/>
        </w:rPr>
        <w:footnoteRef/>
      </w:r>
      <w:r>
        <w:t xml:space="preserve"> Cabe destacar en este punto la posibilidad que existía de que se diera la suspensión cautelar de la medida impugnada. A tenor del artículo 52 de la Ley del Tribunal, en cualquier momento del procedimiento, podía solicitarse la suspensión del acto impugnado como lesivo a los derechos individuales.</w:t>
      </w:r>
    </w:p>
  </w:footnote>
  <w:footnote w:id="26">
    <w:p w14:paraId="068A0A5A" w14:textId="7B2B4D65" w:rsidR="007B7556" w:rsidRDefault="007B7556" w:rsidP="00FE37CE">
      <w:pPr>
        <w:pStyle w:val="nota"/>
      </w:pPr>
      <w:r>
        <w:rPr>
          <w:rStyle w:val="Refdenotaalpie"/>
        </w:rPr>
        <w:footnoteRef/>
      </w:r>
      <w:r>
        <w:t xml:space="preserve"> Para más información puede consultarse, entre otros: </w:t>
      </w:r>
      <w:r w:rsidRPr="00FE37CE">
        <w:t>VARELA SUANZES-CARPEGNA</w:t>
      </w:r>
      <w:r>
        <w:t xml:space="preserve">, J., “Los derechos fundamentales en la España del siglo XX”, </w:t>
      </w:r>
      <w:r w:rsidRPr="00FE37CE">
        <w:rPr>
          <w:i/>
        </w:rPr>
        <w:t>UNED. Teoría y Realidad Constitucional</w:t>
      </w:r>
      <w:r>
        <w:t>, núm. 20, 2007, págs</w:t>
      </w:r>
      <w:r w:rsidRPr="00FE37CE">
        <w:t>. 473-493</w:t>
      </w:r>
      <w:r>
        <w:t>.</w:t>
      </w:r>
    </w:p>
  </w:footnote>
  <w:footnote w:id="27">
    <w:p w14:paraId="37DDC245" w14:textId="3ED82BBA" w:rsidR="007B7556" w:rsidRDefault="007B7556" w:rsidP="008111E4">
      <w:pPr>
        <w:pStyle w:val="nota"/>
      </w:pPr>
      <w:r>
        <w:rPr>
          <w:rStyle w:val="Refdenotaalpie"/>
        </w:rPr>
        <w:footnoteRef/>
      </w:r>
      <w:r>
        <w:t xml:space="preserve"> GIMÉNEZ MARTÍNEZ, M. A., “Las leyes fundamentales y la construcción d</w:t>
      </w:r>
      <w:r w:rsidR="004B058B">
        <w:t>el constitucionalismo</w:t>
      </w:r>
      <w:r>
        <w:t xml:space="preserve"> franquista”, </w:t>
      </w:r>
      <w:r w:rsidRPr="008111E4">
        <w:rPr>
          <w:i/>
        </w:rPr>
        <w:t xml:space="preserve">GLOSSAE. </w:t>
      </w:r>
      <w:proofErr w:type="spellStart"/>
      <w:r w:rsidRPr="008111E4">
        <w:rPr>
          <w:i/>
        </w:rPr>
        <w:t>European</w:t>
      </w:r>
      <w:proofErr w:type="spellEnd"/>
      <w:r w:rsidRPr="008111E4">
        <w:rPr>
          <w:i/>
        </w:rPr>
        <w:t xml:space="preserve"> </w:t>
      </w:r>
      <w:proofErr w:type="spellStart"/>
      <w:r w:rsidRPr="008111E4">
        <w:rPr>
          <w:i/>
        </w:rPr>
        <w:t>Journal</w:t>
      </w:r>
      <w:proofErr w:type="spellEnd"/>
      <w:r w:rsidRPr="008111E4">
        <w:rPr>
          <w:i/>
        </w:rPr>
        <w:t xml:space="preserve"> </w:t>
      </w:r>
      <w:proofErr w:type="spellStart"/>
      <w:r w:rsidRPr="008111E4">
        <w:rPr>
          <w:i/>
        </w:rPr>
        <w:t>of</w:t>
      </w:r>
      <w:proofErr w:type="spellEnd"/>
      <w:r w:rsidRPr="008111E4">
        <w:rPr>
          <w:i/>
        </w:rPr>
        <w:t xml:space="preserve"> Legal </w:t>
      </w:r>
      <w:proofErr w:type="spellStart"/>
      <w:r w:rsidRPr="008111E4">
        <w:rPr>
          <w:i/>
        </w:rPr>
        <w:t>History</w:t>
      </w:r>
      <w:proofErr w:type="spellEnd"/>
      <w:r>
        <w:rPr>
          <w:i/>
        </w:rPr>
        <w:t xml:space="preserve">, </w:t>
      </w:r>
      <w:r w:rsidRPr="008111E4">
        <w:t>núm.</w:t>
      </w:r>
      <w:r>
        <w:t xml:space="preserve">  12, 2015, págs. 381-408.</w:t>
      </w:r>
    </w:p>
  </w:footnote>
  <w:footnote w:id="28">
    <w:p w14:paraId="78B05B4B" w14:textId="77777777" w:rsidR="007B7556" w:rsidRDefault="007B7556" w:rsidP="009419D0">
      <w:pPr>
        <w:pStyle w:val="nota"/>
      </w:pPr>
      <w:r>
        <w:rPr>
          <w:rStyle w:val="Refdenotaalpie"/>
        </w:rPr>
        <w:footnoteRef/>
      </w:r>
      <w:r>
        <w:t xml:space="preserve"> </w:t>
      </w:r>
      <w:r w:rsidRPr="009419D0">
        <w:t xml:space="preserve">ORTÍZ HERAS, M., «Mujer y dictadura franquista», </w:t>
      </w:r>
      <w:r w:rsidRPr="0012129F">
        <w:rPr>
          <w:i/>
        </w:rPr>
        <w:t>Aposta. Revista de Ciencias Sociales</w:t>
      </w:r>
      <w:r w:rsidRPr="009419D0">
        <w:t xml:space="preserve">, </w:t>
      </w:r>
      <w:proofErr w:type="spellStart"/>
      <w:r w:rsidRPr="009419D0">
        <w:t>nº</w:t>
      </w:r>
      <w:proofErr w:type="spellEnd"/>
      <w:r w:rsidRPr="009419D0">
        <w:t xml:space="preserve"> 28, 2006, págs. 1-26.</w:t>
      </w:r>
    </w:p>
    <w:p w14:paraId="20AB3BE4" w14:textId="77777777" w:rsidR="007B7556" w:rsidRDefault="007B7556" w:rsidP="009419D0">
      <w:pPr>
        <w:pStyle w:val="nota"/>
      </w:pPr>
      <w:r>
        <w:t xml:space="preserve">Disponible en: </w:t>
      </w:r>
      <w:r w:rsidRPr="009419D0">
        <w:t>http://www.apostadigital.com/revistav3/hemeroteca/ortizheras.pdf</w:t>
      </w:r>
    </w:p>
  </w:footnote>
  <w:footnote w:id="29">
    <w:p w14:paraId="71861982" w14:textId="4441B0DE" w:rsidR="007B7556" w:rsidRDefault="007B7556" w:rsidP="00E35BAE">
      <w:pPr>
        <w:pStyle w:val="nota"/>
      </w:pPr>
      <w:r>
        <w:rPr>
          <w:rStyle w:val="Refdenotaalpie"/>
        </w:rPr>
        <w:footnoteRef/>
      </w:r>
      <w:r>
        <w:t xml:space="preserve"> Para más información: MUÑOZ-CONDE, F., “La transformación jurídica de la dictadura franquista en</w:t>
      </w:r>
    </w:p>
    <w:p w14:paraId="7173BA6C" w14:textId="3FE41488" w:rsidR="007B7556" w:rsidRDefault="007B7556" w:rsidP="00E35BAE">
      <w:pPr>
        <w:pStyle w:val="nota"/>
      </w:pPr>
      <w:r>
        <w:t xml:space="preserve">un Estado de Derecho”, en </w:t>
      </w:r>
      <w:hyperlink r:id="rId2" w:history="1">
        <w:r w:rsidRPr="00E700A0">
          <w:rPr>
            <w:rStyle w:val="Hipervnculo"/>
          </w:rPr>
          <w:t>http://www.cienciaspenales.net/files/2016/07/2.1.10munoz-conde-franquismo.pdf</w:t>
        </w:r>
      </w:hyperlink>
      <w:r>
        <w:t xml:space="preserve"> </w:t>
      </w:r>
    </w:p>
  </w:footnote>
  <w:footnote w:id="30">
    <w:p w14:paraId="6425662E" w14:textId="7CE431C1" w:rsidR="007B7556" w:rsidRDefault="007B7556" w:rsidP="009736E5">
      <w:pPr>
        <w:pStyle w:val="nota"/>
      </w:pPr>
      <w:r>
        <w:rPr>
          <w:rStyle w:val="Refdenotaalpie"/>
        </w:rPr>
        <w:footnoteRef/>
      </w:r>
      <w:r>
        <w:t xml:space="preserve"> NARANJO DE LA CRUZ, R., «El sistema de derechos constitucionales y sus garantías», en </w:t>
      </w:r>
      <w:r w:rsidRPr="00F10252">
        <w:t>AA.VV.</w:t>
      </w:r>
      <w:r>
        <w:t>,</w:t>
      </w:r>
      <w:r w:rsidRPr="00F10252">
        <w:t xml:space="preserve"> (</w:t>
      </w:r>
      <w:r w:rsidRPr="00273A7F">
        <w:t>Miguel Agudo Zamora</w:t>
      </w:r>
      <w:r>
        <w:t xml:space="preserve"> y otros), </w:t>
      </w:r>
      <w:r w:rsidRPr="00273A7F">
        <w:rPr>
          <w:i/>
        </w:rPr>
        <w:t>Manual de Derecho Constitucional</w:t>
      </w:r>
      <w:r>
        <w:t>, Madrid, 2018, pág. 428</w:t>
      </w:r>
    </w:p>
  </w:footnote>
  <w:footnote w:id="31">
    <w:p w14:paraId="09CDD013" w14:textId="77777777" w:rsidR="007B7556" w:rsidRPr="007C785D" w:rsidRDefault="007B7556" w:rsidP="007C785D">
      <w:pPr>
        <w:pStyle w:val="nota"/>
      </w:pPr>
      <w:r>
        <w:rPr>
          <w:rStyle w:val="Refdenotaalpie"/>
        </w:rPr>
        <w:footnoteRef/>
      </w:r>
      <w:r>
        <w:t xml:space="preserve"> CÁMARA VILLAR, G., «El sistema de los derechos y las libertades fundamentales en la Constitución Española», AA.VV. (Coord. Francisco Balaguer Callejón), </w:t>
      </w:r>
      <w:r>
        <w:rPr>
          <w:i/>
        </w:rPr>
        <w:t xml:space="preserve">Manual de Derecho Constitucional. Volumen II, </w:t>
      </w:r>
      <w:r>
        <w:t>Madrid, 2006, págs. 45-46.</w:t>
      </w:r>
    </w:p>
  </w:footnote>
  <w:footnote w:id="32">
    <w:p w14:paraId="37B428D1" w14:textId="77777777" w:rsidR="007B7556" w:rsidRPr="002331F8" w:rsidRDefault="007B7556" w:rsidP="002331F8">
      <w:pPr>
        <w:pStyle w:val="nota"/>
      </w:pPr>
      <w:r>
        <w:rPr>
          <w:rStyle w:val="Refdenotaalpie"/>
        </w:rPr>
        <w:footnoteRef/>
      </w:r>
      <w:r>
        <w:t xml:space="preserve"> ÁLVAREZ CONDE, E., TUR AUSINA, R., «La regulación constitucional de los derechos y libertades», </w:t>
      </w:r>
      <w:r>
        <w:rPr>
          <w:i/>
        </w:rPr>
        <w:t xml:space="preserve">Derecho Constitucional, </w:t>
      </w:r>
      <w:r>
        <w:t>Madrid, 2013, págs. 267-268.</w:t>
      </w:r>
    </w:p>
  </w:footnote>
  <w:footnote w:id="33">
    <w:p w14:paraId="4C0ECF10" w14:textId="77777777" w:rsidR="007B7556" w:rsidRPr="00E0287E" w:rsidRDefault="007B7556" w:rsidP="00287548">
      <w:pPr>
        <w:pStyle w:val="nota"/>
      </w:pPr>
      <w:r>
        <w:rPr>
          <w:rStyle w:val="Refdenotaalpie"/>
        </w:rPr>
        <w:footnoteRef/>
      </w:r>
      <w:r w:rsidRPr="00257F48">
        <w:t xml:space="preserve"> BREY, J.L., ENRILE, J., GONZÁLEZ RIVAS, J.J., MURILLO, R., RODRÍGUEZ, J., ZAMORA, F. J., ZAMORA, T., «La garantía y protección de los derechos», </w:t>
      </w:r>
      <w:r w:rsidRPr="00257F48">
        <w:rPr>
          <w:i/>
        </w:rPr>
        <w:t xml:space="preserve">Derecho Constitucional de España (sistema de la Constitución de 1978), </w:t>
      </w:r>
      <w:r w:rsidRPr="00257F48">
        <w:t xml:space="preserve">Madrid, 2006, págs. </w:t>
      </w:r>
      <w:r>
        <w:t>214-220.</w:t>
      </w:r>
    </w:p>
  </w:footnote>
  <w:footnote w:id="34">
    <w:p w14:paraId="3974DD6C" w14:textId="4454DBD2" w:rsidR="007B7556" w:rsidRDefault="007B7556" w:rsidP="000266E4">
      <w:pPr>
        <w:pStyle w:val="nota"/>
      </w:pPr>
      <w:r>
        <w:rPr>
          <w:rStyle w:val="Refdenotaalpie"/>
        </w:rPr>
        <w:footnoteRef/>
      </w:r>
      <w:r>
        <w:t xml:space="preserve"> Los derechos del Capítulo II del Título I, tanto los de la 1ª como los de la 2ª Sección, están protegidos por las </w:t>
      </w:r>
      <w:r w:rsidR="004B058B">
        <w:t>denominadas «</w:t>
      </w:r>
      <w:r>
        <w:t xml:space="preserve">garantías genéricas». </w:t>
      </w:r>
    </w:p>
    <w:p w14:paraId="535F488F" w14:textId="17D30371" w:rsidR="007B7556" w:rsidRDefault="007B7556" w:rsidP="000266E4">
      <w:pPr>
        <w:pStyle w:val="nota"/>
      </w:pPr>
      <w:r>
        <w:t xml:space="preserve">Existe, </w:t>
      </w:r>
      <w:r w:rsidR="004B058B">
        <w:t>primeramente,</w:t>
      </w:r>
      <w:r>
        <w:t xml:space="preserve"> una vinculación directa de los poderes públicos con estos derechos, lo cual conlleva que estos poderes deben evitar a toda costa la lesión de los mismos (vinculación negativa) así como contribuir mediante sus actos a la consecución de una mayor efectividad de estos derechos, con independencia del reclamo o no por parte de sus titulares (vinculación positiva).</w:t>
      </w:r>
    </w:p>
    <w:p w14:paraId="096F6501" w14:textId="77777777" w:rsidR="007B7556" w:rsidRDefault="007B7556" w:rsidP="000266E4">
      <w:pPr>
        <w:pStyle w:val="nota"/>
      </w:pPr>
      <w:r>
        <w:t>Respecto a la vinculación positiva debemos entender que, respecto al Poder Judicial, estos derechos son, a diferencia de los principios rectores de la política social y económica, de aplicación inmediata y directa. Es decir, son directamente invocables ante los órganos judiciales en caso de ser vulnerados, sin que se precise una previa intervención del legislador. Su condición de derechos fundamentales de aplicación inmediata y directa se mantiene incluso en los casos en que para lograr su plena eficacia sea necesario su desarrollo legislativo, como es el caso de los denominados «derechos de configuración legal».</w:t>
      </w:r>
    </w:p>
    <w:p w14:paraId="11827CAE" w14:textId="77777777" w:rsidR="007B7556" w:rsidRDefault="007B7556" w:rsidP="000266E4">
      <w:pPr>
        <w:pStyle w:val="nota"/>
      </w:pPr>
      <w:r>
        <w:t>El artículo 53.1 CE añade a continuación que el ejercicio de estos derechos y libertades sólo podrá ser regulado por ley. Si nos referimos a los derechos contenidos en la Sección 2ª, esta ley es en principio una ley ordinaria, aunque también cabrían el decreto legislativo y el decreto ley con ciertas especificaciones en las que ahora no entraremos.</w:t>
      </w:r>
    </w:p>
    <w:p w14:paraId="55F5E438" w14:textId="77777777" w:rsidR="007B7556" w:rsidRDefault="007B7556" w:rsidP="000266E4">
      <w:pPr>
        <w:pStyle w:val="nota"/>
      </w:pPr>
      <w:r>
        <w:t>La última garantía que el artículo 51.3 CE recoge en relación con estos derechos es la prohibición de vulneración por la ley del contenido esencial del derecho.</w:t>
      </w:r>
    </w:p>
  </w:footnote>
  <w:footnote w:id="35">
    <w:p w14:paraId="1E3A1BE3" w14:textId="77777777" w:rsidR="007B7556" w:rsidRDefault="007B7556" w:rsidP="00637586">
      <w:pPr>
        <w:pStyle w:val="nota"/>
      </w:pPr>
      <w:r>
        <w:rPr>
          <w:rStyle w:val="Refdenotaalpie"/>
        </w:rPr>
        <w:footnoteRef/>
      </w:r>
      <w:r>
        <w:t xml:space="preserve"> «</w:t>
      </w:r>
      <w:r w:rsidRPr="009163CF">
        <w:rPr>
          <w:i/>
        </w:rPr>
        <w:t>Son leyes orgánicas las relativas al desarrollo de los derechos fundamentales y de las libertades públicas, las que aprueben los Estatutos de Autonomía y el régimen electoral general y las demás previstas en la Constitución».</w:t>
      </w:r>
    </w:p>
  </w:footnote>
  <w:footnote w:id="36">
    <w:p w14:paraId="50FEC82C" w14:textId="5CC13B9D" w:rsidR="007B7556" w:rsidRDefault="007B7556" w:rsidP="00F7391E">
      <w:pPr>
        <w:pStyle w:val="nota"/>
      </w:pPr>
      <w:r>
        <w:rPr>
          <w:rStyle w:val="Refdenotaalpie"/>
        </w:rPr>
        <w:footnoteRef/>
      </w:r>
      <w:r>
        <w:t xml:space="preserve"> </w:t>
      </w:r>
      <w:r w:rsidRPr="00F7391E">
        <w:t>GASCÓN, ABELLÁN, M., «La justicia constitucional: Entre legislación y jurisdicción», Revista Española de Derecho Constitucional, año 14, núm. 4</w:t>
      </w:r>
      <w:r>
        <w:t>1, mayo-agosto 1994, pág. 65.</w:t>
      </w:r>
    </w:p>
  </w:footnote>
  <w:footnote w:id="37">
    <w:p w14:paraId="364C9328" w14:textId="77777777" w:rsidR="007B7556" w:rsidRDefault="007B7556" w:rsidP="00E874E4">
      <w:pPr>
        <w:pStyle w:val="nota"/>
      </w:pPr>
      <w:r>
        <w:rPr>
          <w:rStyle w:val="Refdenotaalpie"/>
        </w:rPr>
        <w:footnoteRef/>
      </w:r>
      <w:r>
        <w:t xml:space="preserve"> LOZANO MIRALLES, J., «</w:t>
      </w:r>
      <w:r w:rsidRPr="00E874E4">
        <w:t>El recurso de amparo ante el Tribunal Constitucional Español. Análisis de la problemática del juicio de admisión: la denominada trascendencia</w:t>
      </w:r>
      <w:r>
        <w:t xml:space="preserve"> constitucional»</w:t>
      </w:r>
      <w:r w:rsidRPr="00E874E4">
        <w:t xml:space="preserve">, en AAVV, </w:t>
      </w:r>
      <w:proofErr w:type="spellStart"/>
      <w:r w:rsidRPr="00E874E4">
        <w:rPr>
          <w:i/>
        </w:rPr>
        <w:t>Genesi</w:t>
      </w:r>
      <w:proofErr w:type="spellEnd"/>
      <w:r w:rsidRPr="00E874E4">
        <w:rPr>
          <w:i/>
        </w:rPr>
        <w:t xml:space="preserve"> </w:t>
      </w:r>
      <w:proofErr w:type="spellStart"/>
      <w:r w:rsidRPr="00E874E4">
        <w:rPr>
          <w:i/>
        </w:rPr>
        <w:t>ed</w:t>
      </w:r>
      <w:proofErr w:type="spellEnd"/>
      <w:r w:rsidRPr="00E874E4">
        <w:rPr>
          <w:i/>
        </w:rPr>
        <w:t xml:space="preserve"> </w:t>
      </w:r>
      <w:proofErr w:type="spellStart"/>
      <w:r w:rsidRPr="00E874E4">
        <w:rPr>
          <w:i/>
        </w:rPr>
        <w:t>evoluzione</w:t>
      </w:r>
      <w:proofErr w:type="spellEnd"/>
      <w:r w:rsidRPr="00E874E4">
        <w:rPr>
          <w:i/>
        </w:rPr>
        <w:t xml:space="preserve"> </w:t>
      </w:r>
      <w:proofErr w:type="spellStart"/>
      <w:r w:rsidRPr="00E874E4">
        <w:rPr>
          <w:i/>
        </w:rPr>
        <w:t>dei</w:t>
      </w:r>
      <w:proofErr w:type="spellEnd"/>
      <w:r w:rsidRPr="00E874E4">
        <w:rPr>
          <w:i/>
        </w:rPr>
        <w:t xml:space="preserve"> sistema di </w:t>
      </w:r>
      <w:proofErr w:type="spellStart"/>
      <w:r w:rsidRPr="00E874E4">
        <w:rPr>
          <w:i/>
        </w:rPr>
        <w:t>giustizia</w:t>
      </w:r>
      <w:proofErr w:type="spellEnd"/>
      <w:r w:rsidRPr="00E874E4">
        <w:rPr>
          <w:i/>
        </w:rPr>
        <w:t xml:space="preserve"> </w:t>
      </w:r>
      <w:proofErr w:type="spellStart"/>
      <w:r w:rsidRPr="00E874E4">
        <w:rPr>
          <w:i/>
        </w:rPr>
        <w:t>costituzionale</w:t>
      </w:r>
      <w:proofErr w:type="spellEnd"/>
      <w:r w:rsidRPr="00E874E4">
        <w:rPr>
          <w:i/>
        </w:rPr>
        <w:t xml:space="preserve">: Italia, Francia e </w:t>
      </w:r>
      <w:proofErr w:type="spellStart"/>
      <w:r w:rsidRPr="00E874E4">
        <w:rPr>
          <w:i/>
        </w:rPr>
        <w:t>Spagna</w:t>
      </w:r>
      <w:proofErr w:type="spellEnd"/>
      <w:r w:rsidRPr="00E874E4">
        <w:rPr>
          <w:i/>
        </w:rPr>
        <w:t xml:space="preserve">, </w:t>
      </w:r>
      <w:proofErr w:type="spellStart"/>
      <w:r w:rsidRPr="00E874E4">
        <w:rPr>
          <w:i/>
        </w:rPr>
        <w:t>Jovene</w:t>
      </w:r>
      <w:proofErr w:type="spellEnd"/>
      <w:r w:rsidRPr="00E874E4">
        <w:rPr>
          <w:i/>
        </w:rPr>
        <w:t xml:space="preserve"> </w:t>
      </w:r>
      <w:proofErr w:type="spellStart"/>
      <w:r w:rsidRPr="00E874E4">
        <w:rPr>
          <w:i/>
        </w:rPr>
        <w:t>Editore</w:t>
      </w:r>
      <w:proofErr w:type="spellEnd"/>
      <w:r>
        <w:t>, Nápoles, 2012, págs. 5-6.</w:t>
      </w:r>
    </w:p>
  </w:footnote>
  <w:footnote w:id="38">
    <w:p w14:paraId="5CE6D4C3" w14:textId="77777777" w:rsidR="007B7556" w:rsidRDefault="007B7556" w:rsidP="000C5A48">
      <w:pPr>
        <w:pStyle w:val="nota"/>
      </w:pPr>
      <w:r>
        <w:rPr>
          <w:rStyle w:val="Refdenotaalpie"/>
        </w:rPr>
        <w:footnoteRef/>
      </w:r>
      <w:r>
        <w:t xml:space="preserve"> </w:t>
      </w:r>
      <w:proofErr w:type="spellStart"/>
      <w:r>
        <w:t>Ibídem</w:t>
      </w:r>
      <w:proofErr w:type="spellEnd"/>
      <w:r>
        <w:t>.</w:t>
      </w:r>
    </w:p>
  </w:footnote>
  <w:footnote w:id="39">
    <w:p w14:paraId="2FF1DD91" w14:textId="77777777" w:rsidR="007B7556" w:rsidRDefault="007B7556" w:rsidP="00280631">
      <w:pPr>
        <w:pStyle w:val="nota"/>
      </w:pPr>
      <w:r>
        <w:rPr>
          <w:rStyle w:val="Refdenotaalpie"/>
        </w:rPr>
        <w:footnoteRef/>
      </w:r>
      <w:r>
        <w:t xml:space="preserve"> </w:t>
      </w:r>
      <w:r w:rsidRPr="00BF2E4C">
        <w:t xml:space="preserve">CRUZ VILLALÓN, P., «Sobre el amparo», </w:t>
      </w:r>
      <w:r w:rsidRPr="00981591">
        <w:rPr>
          <w:i/>
        </w:rPr>
        <w:t>Revista Española de Derecho Constitucional</w:t>
      </w:r>
      <w:r w:rsidRPr="00BF2E4C">
        <w:t xml:space="preserve">, año 14, núm. </w:t>
      </w:r>
      <w:r>
        <w:t>41, mayo-agosto 1994, pág. 11.</w:t>
      </w:r>
    </w:p>
  </w:footnote>
  <w:footnote w:id="40">
    <w:p w14:paraId="6AA9972C" w14:textId="77777777" w:rsidR="007B7556" w:rsidRDefault="007B7556" w:rsidP="00981591">
      <w:pPr>
        <w:pStyle w:val="nota"/>
      </w:pPr>
      <w:r>
        <w:rPr>
          <w:rStyle w:val="Refdenotaalpie"/>
        </w:rPr>
        <w:footnoteRef/>
      </w:r>
      <w:r>
        <w:t xml:space="preserve"> </w:t>
      </w:r>
      <w:r w:rsidRPr="00981591">
        <w:t xml:space="preserve">GARCÍA MORILLO, J., </w:t>
      </w:r>
      <w:r w:rsidRPr="00981591">
        <w:rPr>
          <w:i/>
        </w:rPr>
        <w:t>La protección judicial de los derechos fundamentales</w:t>
      </w:r>
      <w:r w:rsidRPr="00981591">
        <w:t>, Valencia, 1994</w:t>
      </w:r>
      <w:r>
        <w:t>, págs. 73-74.</w:t>
      </w:r>
      <w:r w:rsidRPr="00981591">
        <w:t xml:space="preserve"> </w:t>
      </w:r>
    </w:p>
  </w:footnote>
  <w:footnote w:id="41">
    <w:p w14:paraId="19A2C53E" w14:textId="6286F94F" w:rsidR="007B7556" w:rsidRDefault="007B7556" w:rsidP="00D410F8">
      <w:pPr>
        <w:pStyle w:val="nota"/>
      </w:pPr>
      <w:r>
        <w:rPr>
          <w:rStyle w:val="Refdenotaalpie"/>
        </w:rPr>
        <w:footnoteRef/>
      </w:r>
      <w:r>
        <w:t xml:space="preserve"> </w:t>
      </w:r>
      <w:r w:rsidRPr="00981591">
        <w:t xml:space="preserve">GARCÍA MORILLO, J., </w:t>
      </w:r>
      <w:r w:rsidRPr="00981591">
        <w:rPr>
          <w:i/>
        </w:rPr>
        <w:t>La protección judicial de los derechos fundamentales</w:t>
      </w:r>
      <w:r w:rsidRPr="00981591">
        <w:t>, Valencia, 1994</w:t>
      </w:r>
      <w:r>
        <w:t>, pág. 74.</w:t>
      </w:r>
    </w:p>
  </w:footnote>
  <w:footnote w:id="42">
    <w:p w14:paraId="2A23C160" w14:textId="49F80644" w:rsidR="007B7556" w:rsidRDefault="007B7556" w:rsidP="009F3D1D">
      <w:pPr>
        <w:pStyle w:val="nota"/>
      </w:pPr>
      <w:r>
        <w:rPr>
          <w:rStyle w:val="Refdenotaalpie"/>
        </w:rPr>
        <w:footnoteRef/>
      </w:r>
      <w:r>
        <w:t xml:space="preserve"> Sobre el contenido garantista de la Constitución: </w:t>
      </w:r>
      <w:r w:rsidRPr="009F3D1D">
        <w:t>CARRIL</w:t>
      </w:r>
      <w:r>
        <w:t xml:space="preserve">LO, M., </w:t>
      </w:r>
      <w:r w:rsidRPr="009B4356">
        <w:rPr>
          <w:i/>
        </w:rPr>
        <w:t>La tutela de los derechos fundamentales por los tribunales ordinarios</w:t>
      </w:r>
      <w:r w:rsidRPr="009F3D1D">
        <w:t>, Madrid, 1995</w:t>
      </w:r>
      <w:r>
        <w:t>, págs. 23-32.</w:t>
      </w:r>
    </w:p>
  </w:footnote>
  <w:footnote w:id="43">
    <w:p w14:paraId="45304E40" w14:textId="77777777" w:rsidR="007B7556" w:rsidRPr="00CA2317" w:rsidRDefault="007B7556" w:rsidP="00F3549B">
      <w:pPr>
        <w:pStyle w:val="nota"/>
        <w:rPr>
          <w:i/>
        </w:rPr>
      </w:pPr>
      <w:r>
        <w:rPr>
          <w:rStyle w:val="Refdenotaalpie"/>
        </w:rPr>
        <w:footnoteRef/>
      </w:r>
      <w:r>
        <w:t xml:space="preserve"> El apartado establece lo siguiente: </w:t>
      </w:r>
      <w:r w:rsidRPr="00CA2317">
        <w:rPr>
          <w:i/>
        </w:rPr>
        <w:t>«El reconocimiento, el respeto y la protección de los principios reconocidos en el Capítulo tercero informarán la legislación positiva, la práctica judicial y la actuación de los poderes públicos. Sólo podrán ser alegados ante la Jurisdicción ordinaria de acuerdo con lo que dispongan las leyes que los desarrollen».</w:t>
      </w:r>
    </w:p>
  </w:footnote>
  <w:footnote w:id="44">
    <w:p w14:paraId="1538A091" w14:textId="7426CCF1" w:rsidR="007B7556" w:rsidRDefault="007B7556" w:rsidP="00F05F6E">
      <w:pPr>
        <w:pStyle w:val="nota"/>
      </w:pPr>
      <w:r>
        <w:rPr>
          <w:rStyle w:val="Refdenotaalpie"/>
        </w:rPr>
        <w:footnoteRef/>
      </w:r>
      <w:r>
        <w:t xml:space="preserve"> Sobre el procedimiento preferente y sumario: CARRILLO, M.</w:t>
      </w:r>
      <w:r w:rsidRPr="00F05F6E">
        <w:t xml:space="preserve">, «La aplicación jurisdiccional del recurso de amparo ordinario (La Ley 62/78, de protección jurisdiccional de los derechos fundamentales de la persona)», </w:t>
      </w:r>
      <w:r w:rsidRPr="00F05F6E">
        <w:rPr>
          <w:i/>
        </w:rPr>
        <w:t>Revista del Centro de Estudios Constitucionales</w:t>
      </w:r>
      <w:r w:rsidRPr="00F05F6E">
        <w:t>, núm. 11</w:t>
      </w:r>
      <w:r>
        <w:t>, enero-abril 1992, págs. 85-86.</w:t>
      </w:r>
      <w:r w:rsidRPr="00F05F6E">
        <w:t xml:space="preserve">  </w:t>
      </w:r>
    </w:p>
  </w:footnote>
  <w:footnote w:id="45">
    <w:p w14:paraId="1734B730" w14:textId="0E63E711" w:rsidR="007B7556" w:rsidRDefault="007B7556" w:rsidP="009D1199">
      <w:pPr>
        <w:pStyle w:val="nota"/>
      </w:pPr>
      <w:r>
        <w:rPr>
          <w:rStyle w:val="Refdenotaalpie"/>
        </w:rPr>
        <w:footnoteRef/>
      </w:r>
      <w:r>
        <w:t xml:space="preserve"> GARCÍA MORILLO, J., «Las garantías de los derechos fundamentales (II). Las garantías jurisdiccionales», AA.VV. (Luís López Guerra y otros), </w:t>
      </w:r>
      <w:r>
        <w:rPr>
          <w:i/>
        </w:rPr>
        <w:t xml:space="preserve">Derecho Constitucional. Volumen I. El ordenamiento constitucional. Derechos y deberes de los ciudadanos, </w:t>
      </w:r>
      <w:r>
        <w:t>Valencia, 2013, págs. 479-490</w:t>
      </w:r>
    </w:p>
  </w:footnote>
  <w:footnote w:id="46">
    <w:p w14:paraId="2962D82F" w14:textId="5B9C21E8" w:rsidR="007B7556" w:rsidRDefault="007B7556" w:rsidP="0065414E">
      <w:pPr>
        <w:pStyle w:val="nota"/>
      </w:pPr>
      <w:r>
        <w:rPr>
          <w:rStyle w:val="Refdenotaalpie"/>
        </w:rPr>
        <w:footnoteRef/>
      </w:r>
      <w:r>
        <w:t xml:space="preserve"> CARRILLO, M., “La aplicación jurisdiccional del recurso de amparo ordinario. (La Ley 62/1978, de protección jurisdiccional de los derechos fundamentales de la persona)</w:t>
      </w:r>
      <w:r w:rsidR="004B058B">
        <w:t>”, Revista</w:t>
      </w:r>
      <w:r>
        <w:rPr>
          <w:i/>
        </w:rPr>
        <w:t xml:space="preserve"> Española de Derecho Constitucional, </w:t>
      </w:r>
      <w:r>
        <w:t>núm. 11, enero-abril 1992, pág. 85.</w:t>
      </w:r>
    </w:p>
  </w:footnote>
  <w:footnote w:id="47">
    <w:p w14:paraId="3DF8DC5D" w14:textId="2223696A" w:rsidR="007B7556" w:rsidRDefault="007B7556" w:rsidP="005A5091">
      <w:pPr>
        <w:pStyle w:val="nota"/>
      </w:pPr>
      <w:r>
        <w:rPr>
          <w:rStyle w:val="Refdenotaalpie"/>
        </w:rPr>
        <w:footnoteRef/>
      </w:r>
      <w:r>
        <w:t xml:space="preserve"> El Tribunal Constitucional estableció años después en su Sentencia 81/1992, de 28 de mayo, los siguiente: </w:t>
      </w:r>
    </w:p>
    <w:p w14:paraId="567BD4C0" w14:textId="528E621B" w:rsidR="007B7556" w:rsidRPr="005A5091" w:rsidRDefault="007B7556" w:rsidP="005A5091">
      <w:pPr>
        <w:pStyle w:val="nota"/>
        <w:rPr>
          <w:i/>
        </w:rPr>
      </w:pPr>
      <w:r w:rsidRPr="005A5091">
        <w:rPr>
          <w:i/>
        </w:rPr>
        <w:t>“(…) por sumariedad, como ha puesto de relieve la doctrina, no cabe acudir a su sentido técnico (pues los procesos de protección jurisdiccional no son "sumarios", sino especiales), sino a su significación vulgar como equivalente a `rapidez´. En definitiva, por proceso `sumario´ tan solo cabe entender la exigencia constitucional de que los procesos de protección jurisdiccional sean sustancialmente rápidos o acelerados”.</w:t>
      </w:r>
    </w:p>
  </w:footnote>
  <w:footnote w:id="48">
    <w:p w14:paraId="513F4171" w14:textId="714E3E02" w:rsidR="007B7556" w:rsidRDefault="007B7556" w:rsidP="00E85EC4">
      <w:pPr>
        <w:pStyle w:val="nota"/>
      </w:pPr>
      <w:r>
        <w:rPr>
          <w:rStyle w:val="Refdenotaalpie"/>
        </w:rPr>
        <w:footnoteRef/>
      </w:r>
      <w:r>
        <w:t xml:space="preserve"> FAIRÉN GUILLÉN, V., “El procedimiento «preferente y sumario» y el recurso de amparo en el</w:t>
      </w:r>
    </w:p>
    <w:p w14:paraId="1FFAD6BE" w14:textId="0F17A709" w:rsidR="007B7556" w:rsidRDefault="007B7556" w:rsidP="00E85EC4">
      <w:pPr>
        <w:pStyle w:val="nota"/>
      </w:pPr>
      <w:r>
        <w:t>artículo 53.2 de la Constitución</w:t>
      </w:r>
      <w:r w:rsidR="004B058B">
        <w:t>”, Revista</w:t>
      </w:r>
      <w:r w:rsidRPr="007C16CD">
        <w:rPr>
          <w:i/>
        </w:rPr>
        <w:t xml:space="preserve"> de Administración Pública</w:t>
      </w:r>
      <w:r>
        <w:t>, núm. 89, 1979, pág. 244.</w:t>
      </w:r>
    </w:p>
  </w:footnote>
  <w:footnote w:id="49">
    <w:p w14:paraId="0EB79C81" w14:textId="77777777" w:rsidR="007B7556" w:rsidRDefault="007B7556" w:rsidP="009D1199">
      <w:pPr>
        <w:pStyle w:val="nota"/>
      </w:pPr>
      <w:r>
        <w:rPr>
          <w:rStyle w:val="Refdenotaalpie"/>
        </w:rPr>
        <w:footnoteRef/>
      </w:r>
      <w:r>
        <w:t xml:space="preserve"> NARANJO DE LA CRUZ, R., «El sistema de derechos constitucionales y sus garantías», </w:t>
      </w:r>
      <w:r w:rsidRPr="00F10252">
        <w:t>AA.VV.</w:t>
      </w:r>
      <w:r>
        <w:t>,</w:t>
      </w:r>
      <w:r w:rsidRPr="00F10252">
        <w:t xml:space="preserve"> (</w:t>
      </w:r>
      <w:r w:rsidRPr="00273A7F">
        <w:t>Miguel Agudo Zamora</w:t>
      </w:r>
      <w:r>
        <w:t xml:space="preserve"> y otros</w:t>
      </w:r>
      <w:r w:rsidRPr="00F10252">
        <w:t xml:space="preserve">), </w:t>
      </w:r>
      <w:r w:rsidRPr="00273A7F">
        <w:rPr>
          <w:i/>
        </w:rPr>
        <w:t>Manual de Derecho Constitucional</w:t>
      </w:r>
      <w:r>
        <w:t>, Madrid, 2013, pág. 445.</w:t>
      </w:r>
    </w:p>
  </w:footnote>
  <w:footnote w:id="50">
    <w:p w14:paraId="634A4EAB" w14:textId="56000A09" w:rsidR="007B7556" w:rsidRDefault="007B7556" w:rsidP="004106E4">
      <w:pPr>
        <w:pStyle w:val="nota"/>
      </w:pPr>
      <w:r>
        <w:rPr>
          <w:rStyle w:val="Refdenotaalpie"/>
        </w:rPr>
        <w:footnoteRef/>
      </w:r>
      <w:r>
        <w:t xml:space="preserve"> Podemos apreciar diversas opiniones y críticas en:</w:t>
      </w:r>
    </w:p>
    <w:p w14:paraId="72176C13" w14:textId="77777777" w:rsidR="007B7556" w:rsidRDefault="007B7556" w:rsidP="004106E4">
      <w:pPr>
        <w:pStyle w:val="nota"/>
      </w:pPr>
      <w:r>
        <w:t xml:space="preserve">AGUIAR DE LUQUE, L., “Las garantías constitucionales de los derechos fundamentales en la Constitución española”, </w:t>
      </w:r>
      <w:r w:rsidRPr="004106E4">
        <w:rPr>
          <w:i/>
        </w:rPr>
        <w:t>Revista de Derecho Político</w:t>
      </w:r>
      <w:r>
        <w:t>, núm. 10, 1981, págs. 107-129.</w:t>
      </w:r>
    </w:p>
    <w:p w14:paraId="079A023A" w14:textId="77777777" w:rsidR="007B7556" w:rsidRDefault="007B7556" w:rsidP="004106E4">
      <w:pPr>
        <w:pStyle w:val="nota"/>
      </w:pPr>
      <w:r>
        <w:t xml:space="preserve">CANO MATA, A., “Derechos y libertades fundamentales: su protección jurisdiccional”, </w:t>
      </w:r>
      <w:r w:rsidRPr="004106E4">
        <w:rPr>
          <w:i/>
        </w:rPr>
        <w:t>Revista de Derecho Público</w:t>
      </w:r>
      <w:r>
        <w:t>, núm. 91, 1983, págs.281-302.</w:t>
      </w:r>
    </w:p>
    <w:p w14:paraId="3A541F25" w14:textId="2EFE303F" w:rsidR="007B7556" w:rsidRDefault="007B7556" w:rsidP="004106E4">
      <w:pPr>
        <w:pStyle w:val="nota"/>
      </w:pPr>
      <w:r>
        <w:t xml:space="preserve">FAIRÉN GUILLÉN, V., “El procedimiento "preferente y sumario" y el recurso de amparo en el artículo 53.2 de la Constitución”, </w:t>
      </w:r>
      <w:r w:rsidRPr="004106E4">
        <w:rPr>
          <w:i/>
        </w:rPr>
        <w:t>Revista de Administración Pública</w:t>
      </w:r>
      <w:r>
        <w:t xml:space="preserve">, núm. 89, </w:t>
      </w:r>
      <w:r w:rsidR="004B058B">
        <w:t>1979, págs.</w:t>
      </w:r>
      <w:r>
        <w:t xml:space="preserve"> 207-249.</w:t>
      </w:r>
    </w:p>
    <w:p w14:paraId="0C05CFC2" w14:textId="483BB17F" w:rsidR="007B7556" w:rsidRDefault="007B7556" w:rsidP="004106E4">
      <w:pPr>
        <w:pStyle w:val="nota"/>
      </w:pPr>
      <w:r>
        <w:t xml:space="preserve">JIMÉNEZ CAMPO, J., “Protección de los derechos fundamentales: artículo 53”, </w:t>
      </w:r>
      <w:r w:rsidRPr="004106E4">
        <w:rPr>
          <w:i/>
        </w:rPr>
        <w:t>Comentarios a la Constitución española de 1978,</w:t>
      </w:r>
      <w:r>
        <w:t xml:space="preserve"> en AAVV, Óscar Alzaga </w:t>
      </w:r>
      <w:proofErr w:type="spellStart"/>
      <w:r>
        <w:t>Villaamil</w:t>
      </w:r>
      <w:proofErr w:type="spellEnd"/>
      <w:r>
        <w:t xml:space="preserve"> (Dir.), Madrid: Cortes Generales, 1996-1999, págs. 439-529.</w:t>
      </w:r>
    </w:p>
  </w:footnote>
  <w:footnote w:id="51">
    <w:p w14:paraId="52134428" w14:textId="6A6799FF" w:rsidR="007B7556" w:rsidRDefault="007B7556" w:rsidP="00403FEE">
      <w:pPr>
        <w:pStyle w:val="nota"/>
      </w:pPr>
      <w:r>
        <w:rPr>
          <w:rStyle w:val="Refdenotaalpie"/>
        </w:rPr>
        <w:footnoteRef/>
      </w:r>
      <w:r>
        <w:t xml:space="preserve"> </w:t>
      </w:r>
      <w:r w:rsidRPr="00C82D1B">
        <w:t xml:space="preserve">CORDÓN MORENO, F., </w:t>
      </w:r>
      <w:r w:rsidRPr="00A853FD">
        <w:rPr>
          <w:i/>
        </w:rPr>
        <w:t>El proceso de amparo constitucional</w:t>
      </w:r>
      <w:r w:rsidRPr="00C82D1B">
        <w:t>, Madrid, 1987</w:t>
      </w:r>
      <w:r>
        <w:t>, pág. 21.</w:t>
      </w:r>
    </w:p>
  </w:footnote>
  <w:footnote w:id="52">
    <w:p w14:paraId="41F64B09" w14:textId="77777777" w:rsidR="007B7556" w:rsidRDefault="007B7556" w:rsidP="000B6FEE">
      <w:pPr>
        <w:pStyle w:val="nota"/>
      </w:pPr>
      <w:r>
        <w:rPr>
          <w:rStyle w:val="Refdenotaalpie"/>
        </w:rPr>
        <w:footnoteRef/>
      </w:r>
      <w:r>
        <w:t xml:space="preserve"> </w:t>
      </w:r>
      <w:r w:rsidRPr="000B6FEE">
        <w:t xml:space="preserve"> </w:t>
      </w:r>
      <w:r>
        <w:t xml:space="preserve">Esta función del amparo constitucional podemos verla plasmada en el artículo 5.1 LOPJ al señalar que </w:t>
      </w:r>
      <w:r w:rsidRPr="00CA2317">
        <w:rPr>
          <w:i/>
        </w:rPr>
        <w:t>«La Constitución es la norma suprema del ordenamiento jurídico, y vincula a todos los Jueces y Tribunales, quienes interpretarán y aplicarán las leyes y los reglamentos según los preceptos y principios constitucionales, conforme a la interpretación de los mismos que resulte de las resoluciones dictadas por el Tribunal Constitucional en todo tipo de procesos»</w:t>
      </w:r>
      <w:r w:rsidRPr="000B6FEE">
        <w:t>.</w:t>
      </w:r>
    </w:p>
  </w:footnote>
  <w:footnote w:id="53">
    <w:p w14:paraId="20A981D9" w14:textId="77777777" w:rsidR="007B7556" w:rsidRDefault="007B7556" w:rsidP="00C73E10">
      <w:pPr>
        <w:pStyle w:val="nota"/>
      </w:pPr>
      <w:r>
        <w:rPr>
          <w:rStyle w:val="Refdenotaalpie"/>
        </w:rPr>
        <w:footnoteRef/>
      </w:r>
      <w:r>
        <w:t xml:space="preserve"> Además de la invocación de un derecho fundamental, la LOTC exigen en sus artículos 41 a 44 una serie de requisitos para que el amparo constitucional sea admitido.</w:t>
      </w:r>
    </w:p>
  </w:footnote>
  <w:footnote w:id="54">
    <w:p w14:paraId="7D7C459F" w14:textId="7A264E67" w:rsidR="007B7556" w:rsidRDefault="007B7556" w:rsidP="00A853FD">
      <w:pPr>
        <w:pStyle w:val="nota"/>
      </w:pPr>
      <w:r>
        <w:rPr>
          <w:rStyle w:val="Refdenotaalpie"/>
        </w:rPr>
        <w:footnoteRef/>
      </w:r>
      <w:r>
        <w:t xml:space="preserve"> </w:t>
      </w:r>
      <w:r w:rsidRPr="00C82D1B">
        <w:t xml:space="preserve">CORDÓN MORENO, F., </w:t>
      </w:r>
      <w:r w:rsidRPr="00A853FD">
        <w:rPr>
          <w:i/>
        </w:rPr>
        <w:t>El proceso de amparo constitucional</w:t>
      </w:r>
      <w:r w:rsidRPr="00C82D1B">
        <w:t>, Madrid, 1987</w:t>
      </w:r>
      <w:r>
        <w:t xml:space="preserve">, pág. 22. En la nota 21 de esta obra podemos ver una serie de resoluciones del TC que apoyan </w:t>
      </w:r>
      <w:r w:rsidR="004B058B">
        <w:t>esta afirmación</w:t>
      </w:r>
      <w:r>
        <w:t>.</w:t>
      </w:r>
    </w:p>
  </w:footnote>
  <w:footnote w:id="55">
    <w:p w14:paraId="21E712B0" w14:textId="77777777" w:rsidR="007B7556" w:rsidRPr="0081740F" w:rsidRDefault="007B7556" w:rsidP="0081740F">
      <w:pPr>
        <w:pStyle w:val="nota"/>
      </w:pPr>
      <w:r>
        <w:rPr>
          <w:rStyle w:val="Refdenotaalpie"/>
        </w:rPr>
        <w:footnoteRef/>
      </w:r>
      <w:r>
        <w:t xml:space="preserve"> BORRAJO INIESTA, I., «</w:t>
      </w:r>
      <w:r w:rsidRPr="0081740F">
        <w:t>Reflexiones acerca de las reformas que necesita el amparo judicial. Sencillez y celeridad como criterios determin</w:t>
      </w:r>
      <w:r>
        <w:t>antes»</w:t>
      </w:r>
      <w:r w:rsidRPr="0081740F">
        <w:t xml:space="preserve">, </w:t>
      </w:r>
      <w:r w:rsidRPr="00945668">
        <w:rPr>
          <w:i/>
        </w:rPr>
        <w:t>Revista Española de Derecho constitucional</w:t>
      </w:r>
      <w:r>
        <w:t xml:space="preserve">, 1995, </w:t>
      </w:r>
      <w:proofErr w:type="spellStart"/>
      <w:r>
        <w:t>nº</w:t>
      </w:r>
      <w:proofErr w:type="spellEnd"/>
      <w:r>
        <w:t>. 43, págs</w:t>
      </w:r>
      <w:r w:rsidRPr="0081740F">
        <w:t>. 25-49.</w:t>
      </w:r>
    </w:p>
  </w:footnote>
  <w:footnote w:id="56">
    <w:p w14:paraId="41F40F0B" w14:textId="269A0276" w:rsidR="007B7556" w:rsidRDefault="007B7556" w:rsidP="007116C6">
      <w:pPr>
        <w:pStyle w:val="nota"/>
      </w:pPr>
      <w:r>
        <w:rPr>
          <w:rStyle w:val="Refdenotaalpie"/>
        </w:rPr>
        <w:footnoteRef/>
      </w:r>
      <w:r>
        <w:t xml:space="preserve"> Vid. VILLAVERDE, I., “</w:t>
      </w:r>
      <w:r w:rsidRPr="007116C6">
        <w:t>Decidir qué no decidir o qué hacer con los amparos. El trámite de adm</w:t>
      </w:r>
      <w:r>
        <w:t>isión de los recursos de amparo”</w:t>
      </w:r>
      <w:r w:rsidRPr="007116C6">
        <w:t xml:space="preserve">, </w:t>
      </w:r>
      <w:r w:rsidRPr="007116C6">
        <w:rPr>
          <w:i/>
        </w:rPr>
        <w:t>Teoría y realidad Constitucional</w:t>
      </w:r>
      <w:r w:rsidRPr="007116C6">
        <w:t xml:space="preserve">, 2002-2003, </w:t>
      </w:r>
      <w:proofErr w:type="spellStart"/>
      <w:r w:rsidRPr="007116C6">
        <w:t>nº</w:t>
      </w:r>
      <w:proofErr w:type="spellEnd"/>
      <w:r w:rsidRPr="007116C6">
        <w:t xml:space="preserve"> 10-11, pág. 326.</w:t>
      </w:r>
    </w:p>
  </w:footnote>
  <w:footnote w:id="57">
    <w:p w14:paraId="5904670C" w14:textId="619D307A" w:rsidR="007B7556" w:rsidRDefault="007B7556" w:rsidP="00E53146">
      <w:pPr>
        <w:pStyle w:val="nota"/>
      </w:pPr>
      <w:r>
        <w:rPr>
          <w:rStyle w:val="Refdenotaalpie"/>
        </w:rPr>
        <w:footnoteRef/>
      </w:r>
      <w:r>
        <w:t xml:space="preserve"> Para más información sobre el procedimiento del amparo anterior a la reforma de 2007 consultar: </w:t>
      </w:r>
    </w:p>
    <w:p w14:paraId="1A992EF5" w14:textId="02B67156" w:rsidR="007B7556" w:rsidRDefault="007B7556" w:rsidP="00E53146">
      <w:pPr>
        <w:pStyle w:val="nota"/>
      </w:pPr>
      <w:r w:rsidRPr="00A13BE8">
        <w:t xml:space="preserve">OLIVER ARAUJO, J., </w:t>
      </w:r>
      <w:r w:rsidRPr="00A13BE8">
        <w:rPr>
          <w:i/>
        </w:rPr>
        <w:t>El recurso de amparo</w:t>
      </w:r>
      <w:r>
        <w:t>, Palma de Mallorca, 1988, págs.317-375.</w:t>
      </w:r>
    </w:p>
  </w:footnote>
  <w:footnote w:id="58">
    <w:p w14:paraId="0A697311" w14:textId="27608771" w:rsidR="007B7556" w:rsidRDefault="007B7556" w:rsidP="0055120D">
      <w:pPr>
        <w:pStyle w:val="nota"/>
      </w:pPr>
      <w:r>
        <w:rPr>
          <w:rStyle w:val="Refdenotaalpie"/>
        </w:rPr>
        <w:footnoteRef/>
      </w:r>
      <w:r>
        <w:t xml:space="preserve"> </w:t>
      </w:r>
      <w:r w:rsidRPr="0055120D">
        <w:t>GENEROSO HERMOSO, F.,</w:t>
      </w:r>
      <w:r>
        <w:t xml:space="preserve"> DE BERNARDO BUSTOS, M. T., GÓMEZ SOBRINO, E.,  </w:t>
      </w:r>
      <w:r w:rsidRPr="0055120D">
        <w:t xml:space="preserve"> </w:t>
      </w:r>
      <w:r w:rsidRPr="00A13BE8">
        <w:rPr>
          <w:i/>
        </w:rPr>
        <w:t>Práctica del recurso de amparo constitucional,</w:t>
      </w:r>
      <w:r>
        <w:t xml:space="preserve"> Madrid, 1998, págs. 95 – 103.</w:t>
      </w:r>
    </w:p>
  </w:footnote>
  <w:footnote w:id="59">
    <w:p w14:paraId="567C06C6" w14:textId="77777777" w:rsidR="007B7556" w:rsidRDefault="007B7556" w:rsidP="00272445">
      <w:pPr>
        <w:pStyle w:val="nota"/>
      </w:pPr>
      <w:r>
        <w:rPr>
          <w:rStyle w:val="Refdenotaalpie"/>
        </w:rPr>
        <w:footnoteRef/>
      </w:r>
      <w:r>
        <w:t xml:space="preserve"> </w:t>
      </w:r>
      <w:r w:rsidRPr="00ED7912">
        <w:t>FERNANDEZ FARRERES, G</w:t>
      </w:r>
      <w:r w:rsidRPr="00ED7912">
        <w:rPr>
          <w:i/>
        </w:rPr>
        <w:t>., El recurso de amparo según la jurisprudencia constitucional: Comentarios al Título III de la LOTC</w:t>
      </w:r>
      <w:r w:rsidRPr="00ED7912">
        <w:t>, Madrid: Marcial Pons, 1994</w:t>
      </w:r>
      <w:r>
        <w:t>, pág. 266.</w:t>
      </w:r>
    </w:p>
  </w:footnote>
  <w:footnote w:id="60">
    <w:p w14:paraId="70242439" w14:textId="0E2D3A00" w:rsidR="007B7556" w:rsidRDefault="007B7556" w:rsidP="00701280">
      <w:pPr>
        <w:pStyle w:val="nota"/>
      </w:pPr>
      <w:r>
        <w:rPr>
          <w:rStyle w:val="Refdenotaalpie"/>
        </w:rPr>
        <w:footnoteRef/>
      </w:r>
      <w:r>
        <w:t xml:space="preserve"> Sobre la sentencia estimatoria del amparo: </w:t>
      </w:r>
      <w:r w:rsidRPr="00701280">
        <w:t xml:space="preserve">GÓMEZ AMIGO, L., </w:t>
      </w:r>
      <w:r w:rsidRPr="00701280">
        <w:rPr>
          <w:i/>
        </w:rPr>
        <w:t>La sentencia estimatoria del recurso de amparo,</w:t>
      </w:r>
      <w:r w:rsidRPr="00701280">
        <w:t xml:space="preserve"> 1998</w:t>
      </w:r>
    </w:p>
  </w:footnote>
  <w:footnote w:id="61">
    <w:p w14:paraId="4D085451" w14:textId="77777777" w:rsidR="007B7556" w:rsidRPr="00357A28" w:rsidRDefault="007B7556" w:rsidP="00F23D4F">
      <w:pPr>
        <w:pStyle w:val="nota"/>
      </w:pPr>
      <w:r>
        <w:rPr>
          <w:rStyle w:val="Refdenotaalpie"/>
        </w:rPr>
        <w:footnoteRef/>
      </w:r>
      <w:r>
        <w:t xml:space="preserve"> HERNÁNDEZ RAMOS, M.,</w:t>
      </w:r>
      <w:r>
        <w:rPr>
          <w:color w:val="C00000"/>
        </w:rPr>
        <w:t xml:space="preserve"> </w:t>
      </w:r>
      <w:r w:rsidRPr="00357A28">
        <w:rPr>
          <w:i/>
        </w:rPr>
        <w:t>El nuevo trámite de admisión del recurso de amparo constitucional,</w:t>
      </w:r>
      <w:r w:rsidRPr="00357A28">
        <w:t xml:space="preserve"> Madrid, 2009, págs. 5-19.</w:t>
      </w:r>
    </w:p>
  </w:footnote>
  <w:footnote w:id="62">
    <w:p w14:paraId="0FDFD0F3" w14:textId="3DEE9ECB" w:rsidR="007B7556" w:rsidRDefault="007B7556" w:rsidP="00BE0796">
      <w:pPr>
        <w:pStyle w:val="nota"/>
      </w:pPr>
      <w:r>
        <w:rPr>
          <w:rStyle w:val="Refdenotaalpie"/>
        </w:rPr>
        <w:footnoteRef/>
      </w:r>
      <w:r>
        <w:t xml:space="preserve"> </w:t>
      </w:r>
      <w:r w:rsidRPr="00BE0796">
        <w:t>CRUZ VILLALÓN</w:t>
      </w:r>
      <w:r>
        <w:t>, P.</w:t>
      </w:r>
      <w:r w:rsidR="004B058B">
        <w:t xml:space="preserve">, </w:t>
      </w:r>
      <w:r w:rsidR="004B058B" w:rsidRPr="00BE0796">
        <w:t>“</w:t>
      </w:r>
      <w:r w:rsidRPr="00BE0796">
        <w:t>El recurso de amparo constitucion</w:t>
      </w:r>
      <w:r>
        <w:t xml:space="preserve">al. I. El juez y el legislador”, AAVV., </w:t>
      </w:r>
      <w:r w:rsidRPr="00BE0796">
        <w:rPr>
          <w:i/>
        </w:rPr>
        <w:t>Los procesos constitucionales</w:t>
      </w:r>
      <w:r>
        <w:t>, Madrid: CEC, 1992, pág.</w:t>
      </w:r>
      <w:r w:rsidRPr="00BE0796">
        <w:t xml:space="preserve"> 118.</w:t>
      </w:r>
    </w:p>
  </w:footnote>
  <w:footnote w:id="63">
    <w:p w14:paraId="55F2436A" w14:textId="697A2FDF" w:rsidR="007B7556" w:rsidRDefault="007B7556" w:rsidP="008907DD">
      <w:pPr>
        <w:pStyle w:val="nota"/>
      </w:pPr>
      <w:r>
        <w:rPr>
          <w:rStyle w:val="Refdenotaalpie"/>
        </w:rPr>
        <w:footnoteRef/>
      </w:r>
      <w:r>
        <w:t xml:space="preserve"> SÁNCHEZ MORÓN</w:t>
      </w:r>
      <w:r w:rsidRPr="008907DD">
        <w:t xml:space="preserve"> ya preveía esta crisis funcional de nuestro TC en el año 1987. En el texto de la conferencia que, en el marco de un seminario dedic</w:t>
      </w:r>
      <w:r>
        <w:t>ado al recurso de amparo, pronunció</w:t>
      </w:r>
      <w:r w:rsidRPr="008907DD">
        <w:t xml:space="preserve"> en el Centro de Estudios Constitucionales podemos ver cómo expone la crisis que ya por entonces sufría el recurso de amparo. Destacaba que la utilización masiva de este recurso producía disfunciones reales en la actividad del TC, hecho que se traducía en una mayor duración de los procesos que este órgano tramita</w:t>
      </w:r>
      <w:r>
        <w:t>ba.</w:t>
      </w:r>
    </w:p>
    <w:p w14:paraId="6B7DDA44" w14:textId="4A111658" w:rsidR="007B7556" w:rsidRDefault="007B7556" w:rsidP="008907DD">
      <w:pPr>
        <w:pStyle w:val="nota"/>
      </w:pPr>
      <w:r w:rsidRPr="003F5924">
        <w:t xml:space="preserve">SÁNCHEZ MORÓN, M., </w:t>
      </w:r>
      <w:r w:rsidRPr="003F5924">
        <w:rPr>
          <w:i/>
        </w:rPr>
        <w:t>El recurso de amparo constitucional: naturaleza jurídica, características actuales y crisis</w:t>
      </w:r>
      <w:r w:rsidRPr="003F5924">
        <w:t>, Centro de Estudios</w:t>
      </w:r>
      <w:r>
        <w:t xml:space="preserve"> Constitucionales, Madrid, 1987, págs. 75 y ss.</w:t>
      </w:r>
    </w:p>
    <w:p w14:paraId="09DDF677" w14:textId="07DE9F85" w:rsidR="007B7556" w:rsidRDefault="007B7556" w:rsidP="006344C1">
      <w:pPr>
        <w:pStyle w:val="nota"/>
      </w:pPr>
      <w:r>
        <w:t xml:space="preserve">CRUZ VILLALÓN, en el año 1991, también destacó esta crisis funcional.  En el Segundo Simposio de Derecho Constitucional el autor expuso que la multiplicación del número de recursos de amparo incidía muy negativamente sobre tres </w:t>
      </w:r>
      <w:r w:rsidR="004B058B">
        <w:t>elementos:</w:t>
      </w:r>
    </w:p>
    <w:p w14:paraId="2344E582" w14:textId="03348482" w:rsidR="007B7556" w:rsidRDefault="007B7556" w:rsidP="00EA7FC6">
      <w:pPr>
        <w:pStyle w:val="nota"/>
        <w:numPr>
          <w:ilvl w:val="0"/>
          <w:numId w:val="5"/>
        </w:numPr>
      </w:pPr>
      <w:r>
        <w:t>El propio recurso de amparo constitucional, cuya tramitación se dilata hasta hacerlo irreconocible (una media de dos años ya por aquel entonces).</w:t>
      </w:r>
    </w:p>
    <w:p w14:paraId="2525817F" w14:textId="4AF1ABBC" w:rsidR="007B7556" w:rsidRDefault="007B7556" w:rsidP="00EA7FC6">
      <w:pPr>
        <w:pStyle w:val="nota"/>
        <w:numPr>
          <w:ilvl w:val="0"/>
          <w:numId w:val="5"/>
        </w:numPr>
      </w:pPr>
      <w:r>
        <w:t xml:space="preserve">Los restantes procesos constitucionales, que constituyen la razón de ser de la justicia constitucional, comenzaban a sufrir </w:t>
      </w:r>
      <w:r w:rsidR="004B058B">
        <w:t>un retraso</w:t>
      </w:r>
      <w:r>
        <w:t xml:space="preserve"> de hasta seis años.</w:t>
      </w:r>
    </w:p>
    <w:p w14:paraId="5BFF9EF0" w14:textId="190F6D0B" w:rsidR="007B7556" w:rsidRDefault="007B7556" w:rsidP="00EA7FC6">
      <w:pPr>
        <w:pStyle w:val="nota"/>
        <w:numPr>
          <w:ilvl w:val="0"/>
          <w:numId w:val="5"/>
        </w:numPr>
      </w:pPr>
      <w:r>
        <w:t>La propia justicia ordinaria, en cuyas dilaciones indebidas colabora el recurso de amparo.</w:t>
      </w:r>
    </w:p>
    <w:p w14:paraId="7FD6F8B0" w14:textId="556C5FC6" w:rsidR="007B7556" w:rsidRDefault="007B7556" w:rsidP="006344C1">
      <w:pPr>
        <w:pStyle w:val="nota"/>
      </w:pPr>
      <w:r>
        <w:t>CRUZ VILLALÓN, P., “</w:t>
      </w:r>
      <w:r w:rsidRPr="006344C1">
        <w:t>El recurso de amparo constituciona</w:t>
      </w:r>
      <w:r>
        <w:t xml:space="preserve">l: el juez y el legislador”, </w:t>
      </w:r>
      <w:r w:rsidRPr="006344C1">
        <w:t xml:space="preserve">AA.VV.: </w:t>
      </w:r>
      <w:r w:rsidRPr="006344C1">
        <w:rPr>
          <w:i/>
        </w:rPr>
        <w:t>Los procesos constitucionales (Segundo Simposio de Derecho Constitucional),</w:t>
      </w:r>
      <w:r w:rsidRPr="006344C1">
        <w:t xml:space="preserve"> Centro de Estudios Constitucionales, Madrid, 1992, pág. 118.</w:t>
      </w:r>
    </w:p>
    <w:p w14:paraId="66799114" w14:textId="762F00B6" w:rsidR="007B7556" w:rsidRDefault="007B7556" w:rsidP="006344C1">
      <w:pPr>
        <w:pStyle w:val="nota"/>
      </w:pPr>
      <w:r>
        <w:t>DÍEZ-PICAZO defendió también en este mismo Simposio del año 1991, que estaba fuera de discusión el hecho de que la principal causa de preocupación radicaba en el excesivo uso y, a veces, en el abuso que se había venido haciendo del recurso de amparo. Afirmó, además, que éste se había convertido en una especie de “última instancia”, a veces incluso en asuntos que, por su naturaleza o cuantía, no tendrían acceso siquiera al recurso de casación ante el TS.</w:t>
      </w:r>
    </w:p>
    <w:p w14:paraId="0DA18009" w14:textId="16A0B45F" w:rsidR="007B7556" w:rsidRDefault="007B7556" w:rsidP="006344C1">
      <w:pPr>
        <w:pStyle w:val="nota"/>
      </w:pPr>
      <w:r>
        <w:t xml:space="preserve">DIEZ-PICAZO, L- M., “Dificultades prácticas y significado constitucional del recurso de amparo”, </w:t>
      </w:r>
      <w:r w:rsidRPr="006344C1">
        <w:rPr>
          <w:i/>
        </w:rPr>
        <w:t>Revista Española de Derecho Constitucional</w:t>
      </w:r>
      <w:r>
        <w:t>, año 14. Núm. 40. Enero-</w:t>
      </w:r>
      <w:r w:rsidR="004B058B">
        <w:t>abril</w:t>
      </w:r>
      <w:r>
        <w:t xml:space="preserve"> 1994, pág. 11.</w:t>
      </w:r>
    </w:p>
    <w:p w14:paraId="2D843F29" w14:textId="0B1B7D42" w:rsidR="007B7556" w:rsidRDefault="007B7556" w:rsidP="006344C1">
      <w:pPr>
        <w:pStyle w:val="nota"/>
      </w:pPr>
      <w:r>
        <w:t>En el citado Simposio intervino también PÉREZ TREMPS, afirmando que los mayores problemas presentes en aquella época con el amparo eran básicamente dos: el excesivo número de recursos y la relativa complejidad del procedimiento. Añadió que el punto de arranque para afrontarlos debía ser la configuración constitucional de esta figura.</w:t>
      </w:r>
    </w:p>
    <w:p w14:paraId="73AB45B0" w14:textId="4577CFAD" w:rsidR="007B7556" w:rsidRDefault="007B7556" w:rsidP="006344C1">
      <w:pPr>
        <w:pStyle w:val="nota"/>
      </w:pPr>
      <w:r>
        <w:t>PÉREZ TREMPS, P., “El recurso de Amparo Constitucional: Aspectos procesales”, AA.VV</w:t>
      </w:r>
      <w:r w:rsidRPr="006344C1">
        <w:rPr>
          <w:i/>
        </w:rPr>
        <w:t>.: Los procesos constitucionales (Segundo Simposio de Derecho Constitucional), Centro de Estudios Constitucionales, Madrid, 1992, pág</w:t>
      </w:r>
      <w:r>
        <w:t>. 124.</w:t>
      </w:r>
    </w:p>
  </w:footnote>
  <w:footnote w:id="64">
    <w:p w14:paraId="6E82AFC8" w14:textId="2168826A" w:rsidR="007B7556" w:rsidRDefault="007B7556" w:rsidP="006F3544">
      <w:pPr>
        <w:pStyle w:val="nota"/>
      </w:pPr>
      <w:r>
        <w:rPr>
          <w:rStyle w:val="Refdenotaalpie"/>
        </w:rPr>
        <w:footnoteRef/>
      </w:r>
      <w:r>
        <w:t xml:space="preserve"> MATIA PORTILLA, F. J., “L</w:t>
      </w:r>
      <w:r w:rsidRPr="006F3544">
        <w:t>a "especial trascendencia constitucional" y la inadmisión del recurso de amparo</w:t>
      </w:r>
      <w:r>
        <w:t xml:space="preserve">”, </w:t>
      </w:r>
      <w:r w:rsidRPr="006F3544">
        <w:rPr>
          <w:i/>
        </w:rPr>
        <w:t>Revista Española de Derecho Constitucional</w:t>
      </w:r>
      <w:r>
        <w:rPr>
          <w:i/>
        </w:rPr>
        <w:t xml:space="preserve">, </w:t>
      </w:r>
      <w:r>
        <w:t>núm. 86, mayo-agosto, 2009, pág. 356.</w:t>
      </w:r>
    </w:p>
  </w:footnote>
  <w:footnote w:id="65">
    <w:p w14:paraId="001FF9C9" w14:textId="77777777" w:rsidR="007B7556" w:rsidRDefault="007B7556" w:rsidP="00873B5E">
      <w:pPr>
        <w:pStyle w:val="nota"/>
      </w:pPr>
      <w:r>
        <w:rPr>
          <w:rStyle w:val="Refdenotaalpie"/>
        </w:rPr>
        <w:footnoteRef/>
      </w:r>
      <w:r>
        <w:t xml:space="preserve"> RUBIO LLORENTE destaca lo siguiente: </w:t>
      </w:r>
      <w:r w:rsidRPr="00B65EDB">
        <w:rPr>
          <w:i/>
        </w:rPr>
        <w:t>«En Europa, a diferencia de lo que sucede en los Estados Unidos, jurisdicción constitucional y jurisdicción que aplica la Constitución (</w:t>
      </w:r>
      <w:proofErr w:type="spellStart"/>
      <w:r w:rsidRPr="00B65EDB">
        <w:rPr>
          <w:i/>
        </w:rPr>
        <w:t>constitutional</w:t>
      </w:r>
      <w:proofErr w:type="spellEnd"/>
      <w:r w:rsidRPr="00B65EDB">
        <w:rPr>
          <w:i/>
        </w:rPr>
        <w:t xml:space="preserve"> </w:t>
      </w:r>
      <w:proofErr w:type="spellStart"/>
      <w:r w:rsidRPr="00B65EDB">
        <w:rPr>
          <w:i/>
        </w:rPr>
        <w:t>adjudication</w:t>
      </w:r>
      <w:proofErr w:type="spellEnd"/>
      <w:r w:rsidRPr="00B65EDB">
        <w:rPr>
          <w:i/>
        </w:rPr>
        <w:t xml:space="preserve">) no son términos equivalentes. Aunque todos los jueces y tribunales del Estado deban aplicar su Constitución para resolver sobre la validez de los actos de la Administración o de las normas </w:t>
      </w:r>
      <w:proofErr w:type="spellStart"/>
      <w:r w:rsidRPr="00B65EDB">
        <w:rPr>
          <w:i/>
        </w:rPr>
        <w:t>infralegales</w:t>
      </w:r>
      <w:proofErr w:type="spellEnd"/>
      <w:r w:rsidRPr="00B65EDB">
        <w:rPr>
          <w:i/>
        </w:rPr>
        <w:t>, como generalmente es el caso, se reserva a un Tribunal único, denominado Constitucional, la potestad de enjuiciar las leyes desde el punto de vista de su constitucionalidad. Por jurisdicción constitucional en sentido lato, o funcional, se entiende entonces la actuación total de estos órganos constitucionales, a los que, por la fuerza de las cosas, se les atribuyen otras muchas competencias»</w:t>
      </w:r>
      <w:r>
        <w:t xml:space="preserve">. Vid.  </w:t>
      </w:r>
      <w:r w:rsidRPr="00873B5E">
        <w:t xml:space="preserve">RUBIO LLORENTE, F., «Seis tesis sobre la jurisdicción constitucional en Europa», </w:t>
      </w:r>
      <w:r w:rsidRPr="00873B5E">
        <w:rPr>
          <w:i/>
        </w:rPr>
        <w:t>Revista Española de Derecho Constitucional,</w:t>
      </w:r>
      <w:r>
        <w:t xml:space="preserve"> 1992, núm.35, pág</w:t>
      </w:r>
      <w:r w:rsidRPr="00873B5E">
        <w:t>.</w:t>
      </w:r>
      <w:r>
        <w:t xml:space="preserve"> 10.</w:t>
      </w:r>
    </w:p>
  </w:footnote>
  <w:footnote w:id="66">
    <w:p w14:paraId="29ED0B3F" w14:textId="4603FF7A" w:rsidR="007B7556" w:rsidRDefault="007B7556" w:rsidP="004B2775">
      <w:pPr>
        <w:pStyle w:val="nota"/>
      </w:pPr>
      <w:r>
        <w:rPr>
          <w:rStyle w:val="Refdenotaalpie"/>
        </w:rPr>
        <w:footnoteRef/>
      </w:r>
      <w:r>
        <w:t xml:space="preserve"> Información extraída de los siguientes enlaces:</w:t>
      </w:r>
    </w:p>
    <w:p w14:paraId="62F5F9DB" w14:textId="05D54AEE" w:rsidR="007B7556" w:rsidRDefault="00271BCE" w:rsidP="004B2775">
      <w:pPr>
        <w:pStyle w:val="nota"/>
      </w:pPr>
      <w:hyperlink r:id="rId3" w:history="1">
        <w:r w:rsidR="007B7556" w:rsidRPr="0059470A">
          <w:rPr>
            <w:rStyle w:val="Hipervnculo"/>
          </w:rPr>
          <w:t>https://www.tribunalconstitucional.es/es/memorias/Paginas/Cuadros-estadisticos.aspx</w:t>
        </w:r>
      </w:hyperlink>
    </w:p>
    <w:p w14:paraId="4C06C474" w14:textId="226CCB75" w:rsidR="007B7556" w:rsidRDefault="00271BCE" w:rsidP="004B2775">
      <w:pPr>
        <w:pStyle w:val="nota"/>
      </w:pPr>
      <w:hyperlink r:id="rId4" w:history="1">
        <w:r w:rsidR="007B7556" w:rsidRPr="0059470A">
          <w:rPr>
            <w:rStyle w:val="Hipervnculo"/>
          </w:rPr>
          <w:t>https://www.tribunalconstitucional.es/es/memorias/Paginas/default.aspx</w:t>
        </w:r>
      </w:hyperlink>
    </w:p>
  </w:footnote>
  <w:footnote w:id="67">
    <w:p w14:paraId="6782C9CF" w14:textId="402178E9" w:rsidR="007B7556" w:rsidRDefault="007B7556" w:rsidP="00AE07D6">
      <w:pPr>
        <w:pStyle w:val="nota"/>
      </w:pPr>
      <w:r>
        <w:rPr>
          <w:rStyle w:val="Refdenotaalpie"/>
        </w:rPr>
        <w:footnoteRef/>
      </w:r>
      <w:r>
        <w:t xml:space="preserve"> TOMÁS Y VALIENTE, F., </w:t>
      </w:r>
      <w:r w:rsidRPr="00AE07D6">
        <w:t>“El Tribunal Constitucional español: diez años de funcionamiento</w:t>
      </w:r>
      <w:r w:rsidRPr="00AE07D6">
        <w:rPr>
          <w:i/>
        </w:rPr>
        <w:t>”</w:t>
      </w:r>
      <w:r>
        <w:rPr>
          <w:i/>
        </w:rPr>
        <w:t xml:space="preserve">, </w:t>
      </w:r>
      <w:r w:rsidRPr="00AE07D6">
        <w:rPr>
          <w:i/>
        </w:rPr>
        <w:t>Revista Vasca de</w:t>
      </w:r>
      <w:r>
        <w:rPr>
          <w:i/>
        </w:rPr>
        <w:t xml:space="preserve"> </w:t>
      </w:r>
      <w:r w:rsidRPr="00AE07D6">
        <w:rPr>
          <w:i/>
        </w:rPr>
        <w:t>Administración Pública,</w:t>
      </w:r>
      <w:r>
        <w:t xml:space="preserve"> núm. 31, 1991, pág. 32.</w:t>
      </w:r>
    </w:p>
  </w:footnote>
  <w:footnote w:id="68">
    <w:p w14:paraId="6B10E33F" w14:textId="5EBDC36D" w:rsidR="007B7556" w:rsidRDefault="007B7556" w:rsidP="00623107">
      <w:pPr>
        <w:pStyle w:val="nota"/>
      </w:pPr>
      <w:r>
        <w:rPr>
          <w:rStyle w:val="Refdenotaalpie"/>
        </w:rPr>
        <w:footnoteRef/>
      </w:r>
      <w:r>
        <w:t xml:space="preserve"> </w:t>
      </w:r>
      <w:r w:rsidRPr="00623107">
        <w:t>REVENG</w:t>
      </w:r>
      <w:r>
        <w:t>A SÁNCHEZ, M., “</w:t>
      </w:r>
      <w:r w:rsidRPr="00623107">
        <w:t>Las paradojas del recurso de amparo tras la primera década de jurisprude</w:t>
      </w:r>
      <w:r>
        <w:t>ncia constitucional (1981-1991)”</w:t>
      </w:r>
      <w:r w:rsidRPr="00623107">
        <w:t xml:space="preserve">, </w:t>
      </w:r>
      <w:r w:rsidRPr="00AE07D6">
        <w:rPr>
          <w:i/>
        </w:rPr>
        <w:t>Revista Española de Derecho Constitucional</w:t>
      </w:r>
      <w:r w:rsidRPr="00623107">
        <w:t>, año 14, núm. 4</w:t>
      </w:r>
      <w:r>
        <w:t>1, mayo-agosto 1994, págs. 28-29.</w:t>
      </w:r>
    </w:p>
  </w:footnote>
  <w:footnote w:id="69">
    <w:p w14:paraId="12864934" w14:textId="77777777" w:rsidR="007B7556" w:rsidRDefault="007B7556" w:rsidP="00E90A03">
      <w:pPr>
        <w:pStyle w:val="nota"/>
      </w:pPr>
      <w:r>
        <w:rPr>
          <w:rStyle w:val="Refdenotaalpie"/>
        </w:rPr>
        <w:footnoteRef/>
      </w:r>
      <w:r>
        <w:t xml:space="preserve"> Resulta interesante en este punto el trabajo realizado por Hernández Ramos: </w:t>
      </w:r>
    </w:p>
    <w:p w14:paraId="2AF12AEE" w14:textId="37661EAD" w:rsidR="007B7556" w:rsidRDefault="007B7556" w:rsidP="00E90A03">
      <w:pPr>
        <w:pStyle w:val="nota"/>
      </w:pPr>
      <w:r>
        <w:t xml:space="preserve">HERNÁNDEZ RAMOS, M., </w:t>
      </w:r>
      <w:r w:rsidRPr="00E90A03">
        <w:rPr>
          <w:i/>
        </w:rPr>
        <w:t>El nuevo trámite de admisión del recurso de amparo constitucional</w:t>
      </w:r>
      <w:r>
        <w:t>, Madrid, 2009.</w:t>
      </w:r>
    </w:p>
  </w:footnote>
  <w:footnote w:id="70">
    <w:p w14:paraId="1CAAD44E" w14:textId="5B012F7E" w:rsidR="007B7556" w:rsidRDefault="007B7556" w:rsidP="004707F7">
      <w:pPr>
        <w:pStyle w:val="nota"/>
      </w:pPr>
      <w:r>
        <w:rPr>
          <w:rStyle w:val="Refdenotaalpie"/>
        </w:rPr>
        <w:footnoteRef/>
      </w:r>
      <w:r>
        <w:t xml:space="preserve"> CABAÑAS GARCÍA, J. C., “El recurso de amparo que </w:t>
      </w:r>
      <w:r w:rsidR="004B058B">
        <w:t>queremos (</w:t>
      </w:r>
      <w:r>
        <w:t xml:space="preserve">reflexiones a propósito de la Ley Orgánica 6/2007, de 24 de mayo, de reforma parcial de la Ley Orgánica del Tribunal Constitucional)”, </w:t>
      </w:r>
      <w:r w:rsidRPr="004707F7">
        <w:rPr>
          <w:i/>
        </w:rPr>
        <w:t>Revista Española de Derecho Constitucional</w:t>
      </w:r>
      <w:r>
        <w:rPr>
          <w:i/>
        </w:rPr>
        <w:t xml:space="preserve">, </w:t>
      </w:r>
      <w:r>
        <w:t>núm. 88, enero-abril, 2010, pág. 40.</w:t>
      </w:r>
    </w:p>
  </w:footnote>
  <w:footnote w:id="71">
    <w:p w14:paraId="1768F44F" w14:textId="4AD373A1" w:rsidR="007B7556" w:rsidRDefault="007B7556" w:rsidP="0009462B">
      <w:pPr>
        <w:pStyle w:val="nota"/>
      </w:pPr>
      <w:r>
        <w:rPr>
          <w:rStyle w:val="Refdenotaalpie"/>
        </w:rPr>
        <w:footnoteRef/>
      </w:r>
      <w:r>
        <w:t xml:space="preserve"> Resulta muy interesante en este punto el análisis realizado por De la Oliva Santos: DE LA OLIVA SANTOS, A., “La perversión jurídica del amparo constitucional en España”, </w:t>
      </w:r>
      <w:r w:rsidRPr="00ED32A9">
        <w:rPr>
          <w:i/>
        </w:rPr>
        <w:t>Actualidad Jurídica Aranzadi</w:t>
      </w:r>
      <w:r w:rsidRPr="00ED32A9">
        <w:t>, núm. 751, mayo de 2008,</w:t>
      </w:r>
      <w:r>
        <w:t xml:space="preserve"> págs. 1-13.</w:t>
      </w:r>
    </w:p>
  </w:footnote>
  <w:footnote w:id="72">
    <w:p w14:paraId="00FB8AC3" w14:textId="77777777" w:rsidR="007B7556" w:rsidRDefault="007B7556" w:rsidP="00424948">
      <w:pPr>
        <w:pStyle w:val="nota"/>
      </w:pPr>
      <w:r>
        <w:rPr>
          <w:rStyle w:val="Refdenotaalpie"/>
        </w:rPr>
        <w:footnoteRef/>
      </w:r>
      <w:r>
        <w:t xml:space="preserve"> </w:t>
      </w:r>
      <w:r w:rsidRPr="00424948">
        <w:t xml:space="preserve">ARAGÓN REYES, M., </w:t>
      </w:r>
      <w:r>
        <w:t>«</w:t>
      </w:r>
      <w:r w:rsidRPr="00424948">
        <w:t>La reforma de la Ley Orgánica del Tribunal Constitucional</w:t>
      </w:r>
      <w:r>
        <w:t>»</w:t>
      </w:r>
      <w:r w:rsidRPr="00424948">
        <w:t xml:space="preserve">, </w:t>
      </w:r>
      <w:r w:rsidRPr="00424948">
        <w:rPr>
          <w:i/>
        </w:rPr>
        <w:t>Revista Española de Derecho constitucional</w:t>
      </w:r>
      <w:r>
        <w:t xml:space="preserve">, 2009, </w:t>
      </w:r>
      <w:proofErr w:type="spellStart"/>
      <w:r>
        <w:t>nº</w:t>
      </w:r>
      <w:proofErr w:type="spellEnd"/>
      <w:r>
        <w:t xml:space="preserve"> 85, pág. 21.</w:t>
      </w:r>
    </w:p>
  </w:footnote>
  <w:footnote w:id="73">
    <w:p w14:paraId="4D070446" w14:textId="77777777" w:rsidR="007B7556" w:rsidRDefault="007B7556" w:rsidP="00F00DE1">
      <w:pPr>
        <w:pStyle w:val="nota"/>
      </w:pPr>
      <w:r>
        <w:rPr>
          <w:rStyle w:val="Refdenotaalpie"/>
        </w:rPr>
        <w:footnoteRef/>
      </w:r>
      <w:r>
        <w:t xml:space="preserve"> CARRASCO DURÁN, M., «</w:t>
      </w:r>
      <w:r w:rsidRPr="00F00DE1">
        <w:t>El concepto constitucional de recurso de amparo: Examen de posibilidades para una reforma de la regulación y la</w:t>
      </w:r>
      <w:r>
        <w:t xml:space="preserve"> práctica del recurso de amparo»</w:t>
      </w:r>
      <w:r w:rsidRPr="00F00DE1">
        <w:t xml:space="preserve">, </w:t>
      </w:r>
      <w:r w:rsidRPr="00F00DE1">
        <w:rPr>
          <w:i/>
        </w:rPr>
        <w:t xml:space="preserve">Revista Española de Derecho </w:t>
      </w:r>
      <w:r>
        <w:rPr>
          <w:i/>
        </w:rPr>
        <w:t>C</w:t>
      </w:r>
      <w:r w:rsidRPr="00F00DE1">
        <w:rPr>
          <w:i/>
        </w:rPr>
        <w:t>onstitucional</w:t>
      </w:r>
      <w:r>
        <w:t xml:space="preserve">, 2001, </w:t>
      </w:r>
      <w:proofErr w:type="spellStart"/>
      <w:r>
        <w:t>nº</w:t>
      </w:r>
      <w:proofErr w:type="spellEnd"/>
      <w:r>
        <w:t xml:space="preserve"> 63, pág</w:t>
      </w:r>
      <w:r w:rsidRPr="00F00DE1">
        <w:t>.</w:t>
      </w:r>
      <w:r>
        <w:t xml:space="preserve"> 125.</w:t>
      </w:r>
    </w:p>
  </w:footnote>
  <w:footnote w:id="74">
    <w:p w14:paraId="213BDC6E" w14:textId="77777777" w:rsidR="007B7556" w:rsidRDefault="007B7556" w:rsidP="0055143B">
      <w:pPr>
        <w:pStyle w:val="nota"/>
      </w:pPr>
      <w:r>
        <w:rPr>
          <w:rStyle w:val="Refdenotaalpie"/>
        </w:rPr>
        <w:footnoteRef/>
      </w:r>
      <w:r>
        <w:t xml:space="preserve"> FERNÁNDEZ FARRERES, G., «</w:t>
      </w:r>
      <w:r w:rsidRPr="00F12ADB">
        <w:t>El recurso de amparo constituc</w:t>
      </w:r>
      <w:r>
        <w:t>ional: una propuesta de reforma»</w:t>
      </w:r>
      <w:r w:rsidRPr="00F12ADB">
        <w:t xml:space="preserve">, en </w:t>
      </w:r>
      <w:hyperlink r:id="rId5" w:history="1">
        <w:r w:rsidRPr="0055143B">
          <w:rPr>
            <w:rStyle w:val="Hipervnculo"/>
            <w:color w:val="auto"/>
            <w:u w:val="none"/>
          </w:rPr>
          <w:t>http://www.falternativas.org/en/laboratorio/documentos/documentos-de-trabajo/el-recurso-de-amparo-constitucional-una-propuesta-de-reforma</w:t>
        </w:r>
      </w:hyperlink>
      <w:r>
        <w:t>, págs. 25-26.</w:t>
      </w:r>
    </w:p>
  </w:footnote>
  <w:footnote w:id="75">
    <w:p w14:paraId="2E054D78" w14:textId="7A39FEBC" w:rsidR="007B7556" w:rsidRDefault="007B7556" w:rsidP="00496029">
      <w:pPr>
        <w:pStyle w:val="nota"/>
      </w:pPr>
      <w:r>
        <w:rPr>
          <w:rStyle w:val="Refdenotaalpie"/>
        </w:rPr>
        <w:footnoteRef/>
      </w:r>
      <w:r>
        <w:t xml:space="preserve"> DE LA OLIVA SANTOS, A., “La perversión jurídica del amparo constitucional en España”, </w:t>
      </w:r>
      <w:r w:rsidRPr="00ED32A9">
        <w:rPr>
          <w:i/>
        </w:rPr>
        <w:t>Actualidad Jurídica Aranzadi</w:t>
      </w:r>
      <w:r w:rsidRPr="00ED32A9">
        <w:t>, núm. 751, mayo de 2008,</w:t>
      </w:r>
      <w:r>
        <w:t xml:space="preserve"> págs. 1-13.</w:t>
      </w:r>
    </w:p>
    <w:p w14:paraId="2B177C2C" w14:textId="7FFF875C" w:rsidR="007B7556" w:rsidRDefault="007B7556" w:rsidP="00496029">
      <w:pPr>
        <w:pStyle w:val="nota"/>
      </w:pPr>
    </w:p>
  </w:footnote>
  <w:footnote w:id="76">
    <w:p w14:paraId="72285303" w14:textId="39D68816" w:rsidR="007B7556" w:rsidRDefault="007B7556" w:rsidP="0097072F">
      <w:pPr>
        <w:pStyle w:val="nota"/>
      </w:pPr>
      <w:r>
        <w:rPr>
          <w:rStyle w:val="Refdenotaalpie"/>
        </w:rPr>
        <w:footnoteRef/>
      </w:r>
      <w:r>
        <w:t xml:space="preserve"> DE LA OLIVA SANTOS, A., “La perversión jurídica del amparo constitucional en España”, </w:t>
      </w:r>
      <w:r w:rsidRPr="00ED32A9">
        <w:rPr>
          <w:i/>
        </w:rPr>
        <w:t>Actualidad Jurídica Aranzadi</w:t>
      </w:r>
      <w:r w:rsidRPr="00ED32A9">
        <w:t>, núm. 751, mayo de 2008,</w:t>
      </w:r>
      <w:r>
        <w:t xml:space="preserve"> pág. 13.</w:t>
      </w:r>
    </w:p>
  </w:footnote>
  <w:footnote w:id="77">
    <w:p w14:paraId="34D8BA7B" w14:textId="77777777" w:rsidR="007B7556" w:rsidRDefault="007B7556" w:rsidP="008A2FC2">
      <w:pPr>
        <w:pStyle w:val="nota"/>
      </w:pPr>
      <w:r>
        <w:rPr>
          <w:rStyle w:val="Refdenotaalpie"/>
        </w:rPr>
        <w:footnoteRef/>
      </w:r>
      <w:r>
        <w:t xml:space="preserve"> GARRO VARGAS, A., «</w:t>
      </w:r>
      <w:r w:rsidRPr="00907D27">
        <w:t>El debate sobre la reforma del recurso de amparo en España: Análisis de las propues</w:t>
      </w:r>
      <w:r>
        <w:t>tas a la luz de la Constitución»</w:t>
      </w:r>
      <w:r w:rsidRPr="00907D27">
        <w:t xml:space="preserve">, </w:t>
      </w:r>
      <w:r w:rsidRPr="00907D27">
        <w:rPr>
          <w:i/>
        </w:rPr>
        <w:t>Revista Española de Derecho constitucional</w:t>
      </w:r>
      <w:r>
        <w:t>, 2006, núm. 76, pág. 119</w:t>
      </w:r>
      <w:r w:rsidRPr="00907D27">
        <w:t>.</w:t>
      </w:r>
    </w:p>
  </w:footnote>
  <w:footnote w:id="78">
    <w:p w14:paraId="10843597" w14:textId="372DD45A" w:rsidR="007B7556" w:rsidRPr="00547B77" w:rsidRDefault="007B7556" w:rsidP="00547B77">
      <w:pPr>
        <w:pStyle w:val="nota"/>
      </w:pPr>
      <w:r>
        <w:rPr>
          <w:rStyle w:val="Refdenotaalpie"/>
        </w:rPr>
        <w:footnoteRef/>
      </w:r>
      <w:r>
        <w:t xml:space="preserve"> BUSTOS GISBERT, R., </w:t>
      </w:r>
      <w:r w:rsidR="004B058B">
        <w:t>«¿</w:t>
      </w:r>
      <w:r>
        <w:t xml:space="preserve">Está agotado el modelo de recurso de amparo diseñado en la Constitución Española?», </w:t>
      </w:r>
      <w:r>
        <w:rPr>
          <w:i/>
        </w:rPr>
        <w:t xml:space="preserve">Teoría y Realidad Constitucional, </w:t>
      </w:r>
      <w:r>
        <w:t>núm. 4, 2º semestre 1999, pág. 278.</w:t>
      </w:r>
    </w:p>
  </w:footnote>
  <w:footnote w:id="79">
    <w:p w14:paraId="3B089C3A" w14:textId="77777777" w:rsidR="007B7556" w:rsidRDefault="007B7556" w:rsidP="00A50610">
      <w:pPr>
        <w:pStyle w:val="nota"/>
      </w:pPr>
      <w:r>
        <w:rPr>
          <w:rStyle w:val="Refdenotaalpie"/>
        </w:rPr>
        <w:footnoteRef/>
      </w:r>
      <w:r>
        <w:t xml:space="preserve"> </w:t>
      </w:r>
      <w:r w:rsidRPr="00A50610">
        <w:t xml:space="preserve">ESPINOSA DÍAZ, A., «El recurso de amparo: Problemas antes y después de la reforma», </w:t>
      </w:r>
      <w:proofErr w:type="spellStart"/>
      <w:r w:rsidRPr="009C1CAF">
        <w:rPr>
          <w:i/>
        </w:rPr>
        <w:t>InDret</w:t>
      </w:r>
      <w:proofErr w:type="spellEnd"/>
      <w:r w:rsidRPr="009C1CAF">
        <w:rPr>
          <w:i/>
        </w:rPr>
        <w:t>: Revista para el Análisis del Derecho</w:t>
      </w:r>
      <w:r>
        <w:t>, 2010, núm. 2, pág. 4</w:t>
      </w:r>
      <w:r w:rsidRPr="00A50610">
        <w:t>.</w:t>
      </w:r>
    </w:p>
  </w:footnote>
  <w:footnote w:id="80">
    <w:p w14:paraId="545E23A7" w14:textId="7D31A225" w:rsidR="007B7556" w:rsidRDefault="007B7556" w:rsidP="009C1CAF">
      <w:pPr>
        <w:pStyle w:val="nota"/>
      </w:pPr>
      <w:r>
        <w:rPr>
          <w:rStyle w:val="Refdenotaalpie"/>
        </w:rPr>
        <w:footnoteRef/>
      </w:r>
      <w:r>
        <w:t xml:space="preserve"> </w:t>
      </w:r>
      <w:r w:rsidRPr="009C1CAF">
        <w:t>PÉREZ TREMPS, P., «Tribunal Constitucional, juez ordinario y una deuda pendiente del legislador», en AA.VV. (Coord. Manuel Aragón Reyes</w:t>
      </w:r>
      <w:r w:rsidR="004B058B" w:rsidRPr="009C1CAF">
        <w:t>), La</w:t>
      </w:r>
      <w:r w:rsidRPr="009C1CAF">
        <w:rPr>
          <w:i/>
        </w:rPr>
        <w:t xml:space="preserve"> democracia constitucional: estudios en homenaje al profesor Francisco Rubio Llorente</w:t>
      </w:r>
      <w:r w:rsidRPr="009C1CAF">
        <w:t>, Vol. 2, Madrid, 2002, pág. 134.</w:t>
      </w:r>
    </w:p>
  </w:footnote>
  <w:footnote w:id="81">
    <w:p w14:paraId="3A8A9B8E" w14:textId="77777777" w:rsidR="007B7556" w:rsidRPr="00CB0C59" w:rsidRDefault="007B7556" w:rsidP="00907D27">
      <w:pPr>
        <w:pStyle w:val="nota"/>
      </w:pPr>
      <w:r w:rsidRPr="00CB0C59">
        <w:rPr>
          <w:rStyle w:val="Refdenotaalpie"/>
        </w:rPr>
        <w:footnoteRef/>
      </w:r>
      <w:r>
        <w:t xml:space="preserve"> Vid. FERNÁNDEZ FARRERES, G., «</w:t>
      </w:r>
      <w:r w:rsidRPr="00F12ADB">
        <w:t>El recurso de amparo constituc</w:t>
      </w:r>
      <w:r>
        <w:t>ional: una propuesta de reforma»</w:t>
      </w:r>
      <w:r w:rsidRPr="00F12ADB">
        <w:t xml:space="preserve">, en </w:t>
      </w:r>
      <w:hyperlink r:id="rId6" w:history="1">
        <w:r w:rsidRPr="0055143B">
          <w:rPr>
            <w:rStyle w:val="Hipervnculo"/>
            <w:color w:val="auto"/>
            <w:u w:val="none"/>
          </w:rPr>
          <w:t>http://www.falternativas.org/en/laboratorio/documentos/documentos-de-trabajo/el-recurso-de-amparo-constitucional-una-propuesta-de-reforma</w:t>
        </w:r>
      </w:hyperlink>
      <w:r>
        <w:t>, págs. 25-26.</w:t>
      </w:r>
    </w:p>
  </w:footnote>
  <w:footnote w:id="82">
    <w:p w14:paraId="727E60E9" w14:textId="77777777" w:rsidR="007B7556" w:rsidRDefault="007B7556" w:rsidP="00CB0C59">
      <w:pPr>
        <w:pStyle w:val="nota"/>
      </w:pPr>
      <w:r>
        <w:rPr>
          <w:rStyle w:val="Refdenotaalpie"/>
        </w:rPr>
        <w:footnoteRef/>
      </w:r>
      <w:r>
        <w:t xml:space="preserve"> GARRO VARGAS, A., «</w:t>
      </w:r>
      <w:r w:rsidRPr="00907D27">
        <w:t>El debate sobre la reforma del recurso de amparo en España: Análisis de las propues</w:t>
      </w:r>
      <w:r>
        <w:t>tas a la luz de la Constitución»</w:t>
      </w:r>
      <w:r w:rsidRPr="00907D27">
        <w:t xml:space="preserve">, </w:t>
      </w:r>
      <w:r w:rsidRPr="00907D27">
        <w:rPr>
          <w:i/>
        </w:rPr>
        <w:t>Revista Española de Derecho constitucional</w:t>
      </w:r>
      <w:r>
        <w:t>, 2006, núm. 76, págs. 100-101</w:t>
      </w:r>
      <w:r w:rsidRPr="00907D27">
        <w:t>.</w:t>
      </w:r>
    </w:p>
  </w:footnote>
  <w:footnote w:id="83">
    <w:p w14:paraId="7558D209" w14:textId="03E69A55" w:rsidR="007B7556" w:rsidRDefault="007B7556" w:rsidP="00CB0C59">
      <w:pPr>
        <w:pStyle w:val="nota"/>
      </w:pPr>
      <w:r>
        <w:rPr>
          <w:rStyle w:val="Refdenotaalpie"/>
        </w:rPr>
        <w:footnoteRef/>
      </w:r>
      <w:r>
        <w:t xml:space="preserve"> </w:t>
      </w:r>
      <w:r w:rsidRPr="00E91C70">
        <w:t xml:space="preserve">Algunos autores opinan que esta medida no estaría exenta de problemas, como podría ser la relación, jerárquica o no, entre las Salas del Tribunal Supremo, el modo de distribución de asuntos o la relación entre esta “Sala Sexta” y el propio Tribunal Constitucional. </w:t>
      </w:r>
    </w:p>
  </w:footnote>
  <w:footnote w:id="84">
    <w:p w14:paraId="759F9BB3" w14:textId="77777777" w:rsidR="007B7556" w:rsidRPr="00FD2977" w:rsidRDefault="007B7556" w:rsidP="002D4142">
      <w:pPr>
        <w:pStyle w:val="nota"/>
      </w:pPr>
      <w:r>
        <w:rPr>
          <w:rStyle w:val="Refdenotaalpie"/>
        </w:rPr>
        <w:footnoteRef/>
      </w:r>
      <w:r>
        <w:t xml:space="preserve"> DÍEZ-PICAZO, L.M., «</w:t>
      </w:r>
      <w:r w:rsidRPr="00FD2977">
        <w:t>Encuesta sobre la reforma de la Ley Orgánica del Tribunal Constitucional</w:t>
      </w:r>
      <w:r>
        <w:t>»</w:t>
      </w:r>
      <w:r>
        <w:rPr>
          <w:i/>
        </w:rPr>
        <w:t xml:space="preserve">, </w:t>
      </w:r>
      <w:r w:rsidRPr="00FD2977">
        <w:rPr>
          <w:i/>
        </w:rPr>
        <w:t>Teoría y Realidad Constitucional</w:t>
      </w:r>
      <w:r w:rsidRPr="00FD2977">
        <w:t xml:space="preserve">, </w:t>
      </w:r>
      <w:r>
        <w:t xml:space="preserve">2006, </w:t>
      </w:r>
      <w:r w:rsidRPr="00FD2977">
        <w:t xml:space="preserve">núm. 18, </w:t>
      </w:r>
      <w:r>
        <w:t>pág</w:t>
      </w:r>
      <w:r w:rsidRPr="00FD2977">
        <w:t>.</w:t>
      </w:r>
      <w:r>
        <w:t xml:space="preserve"> 40.</w:t>
      </w:r>
    </w:p>
  </w:footnote>
  <w:footnote w:id="85">
    <w:p w14:paraId="5583C61A" w14:textId="31212F4D" w:rsidR="007B7556" w:rsidRDefault="007B7556" w:rsidP="00203A5A">
      <w:pPr>
        <w:pStyle w:val="nota"/>
      </w:pPr>
      <w:r>
        <w:rPr>
          <w:rStyle w:val="Refdenotaalpie"/>
        </w:rPr>
        <w:footnoteRef/>
      </w:r>
      <w:r>
        <w:t xml:space="preserve"> </w:t>
      </w:r>
      <w:r w:rsidRPr="00203A5A">
        <w:t xml:space="preserve">ESPINOSA DÍAZ, A., “El recurso de amparo: problemas antes, y después, de la reforma”, </w:t>
      </w:r>
      <w:proofErr w:type="spellStart"/>
      <w:r w:rsidRPr="00203A5A">
        <w:rPr>
          <w:i/>
        </w:rPr>
        <w:t>Indret</w:t>
      </w:r>
      <w:proofErr w:type="spellEnd"/>
      <w:r w:rsidRPr="00203A5A">
        <w:rPr>
          <w:i/>
        </w:rPr>
        <w:t>. Revista para el análisis del derecho. Facultad de Ciencias Sociales y Jurídicas Universidad Carlos III de Madrid</w:t>
      </w:r>
      <w:r>
        <w:t>, núm. 2, marzo 2010, págs. 1-22.</w:t>
      </w:r>
    </w:p>
  </w:footnote>
  <w:footnote w:id="86">
    <w:p w14:paraId="361CA6FE" w14:textId="6F186D04" w:rsidR="007B7556" w:rsidRPr="00D34C58" w:rsidRDefault="007B7556" w:rsidP="00203A5A">
      <w:pPr>
        <w:pStyle w:val="nota"/>
      </w:pPr>
      <w:r>
        <w:rPr>
          <w:rStyle w:val="Refdenotaalpie"/>
        </w:rPr>
        <w:footnoteRef/>
      </w:r>
      <w:r>
        <w:t xml:space="preserve"> </w:t>
      </w:r>
      <w:r w:rsidRPr="00D34C58">
        <w:t>PÉREZ TREMPS, P., «Tribunal Constitucional, juez ordinario y una deuda pendiente del legislador», en AA.VV. (Coord. Manuel Aragón Reyes</w:t>
      </w:r>
      <w:r w:rsidR="004B058B" w:rsidRPr="00D34C58">
        <w:t>), La</w:t>
      </w:r>
      <w:r w:rsidRPr="00D34C58">
        <w:rPr>
          <w:i/>
        </w:rPr>
        <w:t xml:space="preserve"> democracia constitucional: estudios en homenaje al profesor Francisco Rubio Llorente, Vol. 2, Madrid</w:t>
      </w:r>
      <w:r w:rsidRPr="00D34C58">
        <w:t>, 2002, pág. 139.</w:t>
      </w:r>
    </w:p>
    <w:p w14:paraId="6E800DA2" w14:textId="7A70027E" w:rsidR="007B7556" w:rsidRDefault="007B7556" w:rsidP="00203A5A">
      <w:pPr>
        <w:pStyle w:val="nota"/>
      </w:pPr>
    </w:p>
  </w:footnote>
  <w:footnote w:id="87">
    <w:p w14:paraId="6D195A07" w14:textId="1D239285" w:rsidR="007B7556" w:rsidRDefault="007B7556" w:rsidP="00A53D40">
      <w:pPr>
        <w:pStyle w:val="nota"/>
      </w:pPr>
      <w:r>
        <w:rPr>
          <w:rStyle w:val="Refdenotaalpie"/>
        </w:rPr>
        <w:footnoteRef/>
      </w:r>
      <w:r>
        <w:t xml:space="preserve"> TENORIO, P., “</w:t>
      </w:r>
      <w:r w:rsidRPr="00D34C58">
        <w:t>Derechos en serio, recurso de amparo, reordenación de la garantía judicial y reforma de la Ley Orgánica del Poder Judicial</w:t>
      </w:r>
      <w:r>
        <w:t>”</w:t>
      </w:r>
      <w:r w:rsidRPr="00D34C58">
        <w:t xml:space="preserve">, </w:t>
      </w:r>
      <w:r w:rsidRPr="00D34C58">
        <w:rPr>
          <w:i/>
        </w:rPr>
        <w:t>Revista de Derecho Político</w:t>
      </w:r>
      <w:r w:rsidRPr="00D34C58">
        <w:t>, 2013, núm. 88, pág. 141.</w:t>
      </w:r>
    </w:p>
  </w:footnote>
  <w:footnote w:id="88">
    <w:p w14:paraId="66A18358" w14:textId="74393FF0" w:rsidR="007B7556" w:rsidRDefault="007B7556" w:rsidP="00BC489B">
      <w:pPr>
        <w:pStyle w:val="nota"/>
      </w:pPr>
      <w:r>
        <w:rPr>
          <w:rStyle w:val="Refdenotaalpie"/>
        </w:rPr>
        <w:footnoteRef/>
      </w:r>
      <w:r>
        <w:t xml:space="preserve"> </w:t>
      </w:r>
      <w:r w:rsidRPr="00203A5A">
        <w:t xml:space="preserve">ESPINOSA DÍAZ, A., “El recurso de amparo: problemas antes, y después, de la reforma”, </w:t>
      </w:r>
      <w:proofErr w:type="spellStart"/>
      <w:r w:rsidRPr="00203A5A">
        <w:rPr>
          <w:i/>
        </w:rPr>
        <w:t>Indret</w:t>
      </w:r>
      <w:proofErr w:type="spellEnd"/>
      <w:r w:rsidRPr="00203A5A">
        <w:rPr>
          <w:i/>
        </w:rPr>
        <w:t>. Revista para el análisis del derecho. Facultad de Ciencias Sociales y Jurídicas Universidad Carlos III de Madrid</w:t>
      </w:r>
      <w:r>
        <w:t>, núm. 2, marzo 2010, págs. 10-11.</w:t>
      </w:r>
    </w:p>
  </w:footnote>
  <w:footnote w:id="89">
    <w:p w14:paraId="7D6E0AA1" w14:textId="77777777" w:rsidR="007B7556" w:rsidRDefault="007B7556" w:rsidP="002D4142">
      <w:pPr>
        <w:pStyle w:val="nota"/>
      </w:pPr>
      <w:r>
        <w:rPr>
          <w:rStyle w:val="Refdenotaalpie"/>
        </w:rPr>
        <w:footnoteRef/>
      </w:r>
      <w:r>
        <w:t xml:space="preserve"> </w:t>
      </w:r>
      <w:r w:rsidRPr="00A50610">
        <w:t xml:space="preserve">ESPINOSA DÍAZ, A., «El recurso de amparo: Problemas antes y después de la reforma», </w:t>
      </w:r>
      <w:proofErr w:type="spellStart"/>
      <w:r w:rsidRPr="009C1CAF">
        <w:rPr>
          <w:i/>
        </w:rPr>
        <w:t>InDret</w:t>
      </w:r>
      <w:proofErr w:type="spellEnd"/>
      <w:r w:rsidRPr="009C1CAF">
        <w:rPr>
          <w:i/>
        </w:rPr>
        <w:t>: Revista para el Análisis del Derecho</w:t>
      </w:r>
      <w:r>
        <w:t>, 2010, núm. 2, pág. 11.</w:t>
      </w:r>
    </w:p>
  </w:footnote>
  <w:footnote w:id="90">
    <w:p w14:paraId="4A90C98C" w14:textId="2AB93FB9" w:rsidR="007B7556" w:rsidRDefault="007B7556" w:rsidP="003C1804">
      <w:pPr>
        <w:pStyle w:val="nota"/>
      </w:pPr>
      <w:r>
        <w:rPr>
          <w:rStyle w:val="Refdenotaalpie"/>
        </w:rPr>
        <w:footnoteRef/>
      </w:r>
      <w:r>
        <w:t xml:space="preserve"> La Corte Suprema o Tribunal Supremo de Justicia de los Estados Unidos es el tribunal de mayor rango dentro del ordenamiento jurídico estadounidense. Está compuesto por un presidente y ocho jueces asociados. Los jueces asociados son nombrados por el presidente de los Estados Unidos y posteriormente confirmados por el Senado. Éstos sólo pueden ser destituidos por el Congreso mediante un proceso de impugnación. Este tribunal tiene la facultad de revisión judicial y la de declarar la inconstitucionalidad de leyes federales o estatales y actos de los poderes ejecutivos federal y estatales. Sus decisiones no pueden ser apeladas y, además, constituyen precedente por lo que obliga a todas las demás cortes a respetarlas. </w:t>
      </w:r>
    </w:p>
    <w:p w14:paraId="260DA567" w14:textId="2F90CA6A" w:rsidR="007B7556" w:rsidRDefault="007B7556" w:rsidP="003C1804">
      <w:pPr>
        <w:pStyle w:val="nota"/>
      </w:pPr>
      <w:r>
        <w:t>El Tribunal Supremo es la única corte que establece la Constitución estadounidense. Los demás tribunales o cortes, como las de apelación o distrito, han sido creadas por el Congreso.</w:t>
      </w:r>
    </w:p>
  </w:footnote>
  <w:footnote w:id="91">
    <w:p w14:paraId="6B8E45A3" w14:textId="77777777" w:rsidR="007B7556" w:rsidRDefault="007B7556" w:rsidP="003C1804">
      <w:pPr>
        <w:pStyle w:val="nota"/>
      </w:pPr>
      <w:r>
        <w:rPr>
          <w:rStyle w:val="Refdenotaalpie"/>
        </w:rPr>
        <w:footnoteRef/>
      </w:r>
      <w:r>
        <w:t xml:space="preserve">   AHUMADA RUÍZ, M. A., “El «</w:t>
      </w:r>
      <w:proofErr w:type="spellStart"/>
      <w:r>
        <w:t>certiorari</w:t>
      </w:r>
      <w:proofErr w:type="spellEnd"/>
      <w:r>
        <w:t>». Ejercicio discrecional de la jurisdicción de apelación</w:t>
      </w:r>
    </w:p>
    <w:p w14:paraId="3C262F33" w14:textId="4B9F1F31" w:rsidR="007B7556" w:rsidRDefault="007B7556" w:rsidP="003C1804">
      <w:pPr>
        <w:pStyle w:val="nota"/>
      </w:pPr>
      <w:r>
        <w:t xml:space="preserve">por el Tribunal Supremo de los Estados Unidos”, </w:t>
      </w:r>
      <w:r w:rsidRPr="003C1804">
        <w:rPr>
          <w:i/>
        </w:rPr>
        <w:t>Revista Española de Derecho Constitucional</w:t>
      </w:r>
      <w:r>
        <w:t xml:space="preserve">, núm. 41, </w:t>
      </w:r>
      <w:r w:rsidR="004B058B">
        <w:t>mayo</w:t>
      </w:r>
      <w:r>
        <w:t>-</w:t>
      </w:r>
      <w:r w:rsidR="004B058B">
        <w:t>agosto</w:t>
      </w:r>
      <w:r>
        <w:t>, 1994, págs. 93-94.</w:t>
      </w:r>
    </w:p>
  </w:footnote>
  <w:footnote w:id="92">
    <w:p w14:paraId="41DAB961" w14:textId="001F6AE0" w:rsidR="007B7556" w:rsidRDefault="007B7556" w:rsidP="00323F1F">
      <w:pPr>
        <w:pStyle w:val="nota"/>
      </w:pPr>
      <w:r>
        <w:rPr>
          <w:rStyle w:val="Refdenotaalpie"/>
        </w:rPr>
        <w:footnoteRef/>
      </w:r>
      <w:r>
        <w:t xml:space="preserve"> Para más información sobre el Tribunal Supremo de Estados Unidos puede consultarse:</w:t>
      </w:r>
    </w:p>
    <w:p w14:paraId="6A43D903" w14:textId="7B658FC7" w:rsidR="007B7556" w:rsidRDefault="007B7556" w:rsidP="00323F1F">
      <w:pPr>
        <w:pStyle w:val="nota"/>
      </w:pPr>
      <w:r>
        <w:t xml:space="preserve">GARRO, A. M., “Algunas reflexiones sobre la Corte Suprema de los Estados Unidos en su actual composición y el rol institucional de la Corte”, </w:t>
      </w:r>
      <w:r w:rsidRPr="00323F1F">
        <w:rPr>
          <w:i/>
        </w:rPr>
        <w:t>Revista Española de Derecho Constitucional</w:t>
      </w:r>
      <w:r>
        <w:t>, a</w:t>
      </w:r>
      <w:r w:rsidRPr="00323F1F">
        <w:t>ño 12.</w:t>
      </w:r>
      <w:r>
        <w:t>,</w:t>
      </w:r>
      <w:r w:rsidRPr="00323F1F">
        <w:t xml:space="preserve"> </w:t>
      </w:r>
      <w:r>
        <w:t>núm. 35,</w:t>
      </w:r>
      <w:r w:rsidRPr="00323F1F">
        <w:t xml:space="preserve"> </w:t>
      </w:r>
      <w:r w:rsidR="004B058B" w:rsidRPr="00323F1F">
        <w:t>mayo</w:t>
      </w:r>
      <w:r w:rsidRPr="00323F1F">
        <w:t>-</w:t>
      </w:r>
      <w:r w:rsidR="004B058B" w:rsidRPr="00323F1F">
        <w:t>agosto</w:t>
      </w:r>
      <w:r w:rsidRPr="00323F1F">
        <w:t xml:space="preserve"> 1992</w:t>
      </w:r>
      <w:r>
        <w:t>, págs. 85-95.</w:t>
      </w:r>
    </w:p>
    <w:p w14:paraId="57068AC7" w14:textId="77386437" w:rsidR="007B7556" w:rsidRDefault="007B7556" w:rsidP="00323F1F">
      <w:pPr>
        <w:pStyle w:val="nota"/>
      </w:pPr>
      <w:r>
        <w:t xml:space="preserve">VÍRGALA FORURIA, E., “Control abstracto y recurso directo de inconstitucionalidad en los Estados Unidos”, </w:t>
      </w:r>
      <w:r w:rsidRPr="00323F1F">
        <w:rPr>
          <w:i/>
        </w:rPr>
        <w:t>Revista Española de Derecho</w:t>
      </w:r>
      <w:r>
        <w:t xml:space="preserve"> </w:t>
      </w:r>
      <w:r w:rsidRPr="00323F1F">
        <w:rPr>
          <w:i/>
        </w:rPr>
        <w:t>Constitucional</w:t>
      </w:r>
      <w:r>
        <w:rPr>
          <w:i/>
        </w:rPr>
        <w:t xml:space="preserve">, </w:t>
      </w:r>
      <w:r>
        <w:t>año 21,</w:t>
      </w:r>
      <w:r w:rsidRPr="00323F1F">
        <w:t xml:space="preserve"> </w:t>
      </w:r>
      <w:r>
        <w:t>núm. 62,</w:t>
      </w:r>
      <w:r w:rsidRPr="00323F1F">
        <w:t xml:space="preserve"> </w:t>
      </w:r>
      <w:r w:rsidR="004B058B" w:rsidRPr="00323F1F">
        <w:t>mayo</w:t>
      </w:r>
      <w:r w:rsidRPr="00323F1F">
        <w:t>-</w:t>
      </w:r>
      <w:r w:rsidR="004B058B" w:rsidRPr="00323F1F">
        <w:t>agosto</w:t>
      </w:r>
      <w:r w:rsidRPr="00323F1F">
        <w:t xml:space="preserve"> 2001</w:t>
      </w:r>
      <w:r>
        <w:t>, págs. 77-124.</w:t>
      </w:r>
    </w:p>
    <w:p w14:paraId="5A801E83" w14:textId="1C53523B" w:rsidR="007B7556" w:rsidRDefault="007B7556" w:rsidP="00323F1F">
      <w:pPr>
        <w:pStyle w:val="nota"/>
      </w:pPr>
      <w:r w:rsidRPr="00323F1F">
        <w:t>BELTRÁN DE FELIPE</w:t>
      </w:r>
      <w:r>
        <w:t xml:space="preserve">, M., </w:t>
      </w:r>
      <w:r w:rsidRPr="00323F1F">
        <w:t>GONZÁLEZ GARCÍA</w:t>
      </w:r>
      <w:r>
        <w:t xml:space="preserve">, J. V., </w:t>
      </w:r>
      <w:r w:rsidRPr="00323F1F">
        <w:rPr>
          <w:i/>
        </w:rPr>
        <w:t>Las sentencias básicas del Tribunal Supremo de los Estados Unidos de América</w:t>
      </w:r>
      <w:r>
        <w:rPr>
          <w:i/>
        </w:rPr>
        <w:t xml:space="preserve">, </w:t>
      </w:r>
      <w:r>
        <w:t>Madrid,</w:t>
      </w:r>
      <w:r w:rsidRPr="00323F1F">
        <w:t xml:space="preserve"> </w:t>
      </w:r>
      <w:r>
        <w:t>Centro de Estudios Políticos y Constitucionales, 2006.</w:t>
      </w:r>
    </w:p>
  </w:footnote>
  <w:footnote w:id="93">
    <w:p w14:paraId="35B0197E" w14:textId="77777777" w:rsidR="007B7556" w:rsidRDefault="007B7556" w:rsidP="008A2FC2">
      <w:pPr>
        <w:pStyle w:val="nota"/>
      </w:pPr>
      <w:r>
        <w:rPr>
          <w:rStyle w:val="Refdenotaalpie"/>
        </w:rPr>
        <w:footnoteRef/>
      </w:r>
      <w:r>
        <w:t xml:space="preserve"> </w:t>
      </w:r>
      <w:r w:rsidRPr="00A031DB">
        <w:t>CABAÑAS G</w:t>
      </w:r>
      <w:r>
        <w:t>ARCÍA, J.C., «</w:t>
      </w:r>
      <w:r w:rsidRPr="00A031DB">
        <w:t>El recurso de amparo que queremos (reflexiones a propósito de la Ley Orgánica 6/2007, de 24 de mayo, de reforma parcial de la Ley Orgáni</w:t>
      </w:r>
      <w:r>
        <w:t>ca del Tribunal Constitucional)»</w:t>
      </w:r>
      <w:r w:rsidRPr="00A031DB">
        <w:t xml:space="preserve">, </w:t>
      </w:r>
      <w:r w:rsidRPr="00A031DB">
        <w:rPr>
          <w:i/>
        </w:rPr>
        <w:t>Revista Española de Derecho constitucional</w:t>
      </w:r>
      <w:r>
        <w:t>, 2010, núm. 88, págs. 45-47.</w:t>
      </w:r>
    </w:p>
  </w:footnote>
  <w:footnote w:id="94">
    <w:p w14:paraId="36CD0807" w14:textId="5BF6055E" w:rsidR="007B7556" w:rsidRDefault="007B7556" w:rsidP="00236CCD">
      <w:pPr>
        <w:pStyle w:val="nota"/>
      </w:pPr>
      <w:r>
        <w:rPr>
          <w:rStyle w:val="Refdenotaalpie"/>
        </w:rPr>
        <w:footnoteRef/>
      </w:r>
      <w:r>
        <w:t xml:space="preserve"> </w:t>
      </w:r>
      <w:r w:rsidRPr="002B670B">
        <w:t xml:space="preserve">HESSE, CONRADO, «Estadios en la historia de la jurisdicción constitucional alemana», </w:t>
      </w:r>
      <w:r w:rsidRPr="00236CCD">
        <w:rPr>
          <w:i/>
        </w:rPr>
        <w:t>UNED. Teoría y realidad Constitucional,</w:t>
      </w:r>
      <w:r w:rsidRPr="002B670B">
        <w:t xml:space="preserve"> núm. 1</w:t>
      </w:r>
      <w:r>
        <w:t>, 1º semestre 1998, págs. 99 y ss.</w:t>
      </w:r>
    </w:p>
  </w:footnote>
  <w:footnote w:id="95">
    <w:p w14:paraId="6597CFAA" w14:textId="09DCF920" w:rsidR="007B7556" w:rsidRDefault="007B7556" w:rsidP="00236CCD">
      <w:pPr>
        <w:pStyle w:val="nota"/>
      </w:pPr>
      <w:r>
        <w:rPr>
          <w:rStyle w:val="Refdenotaalpie"/>
        </w:rPr>
        <w:footnoteRef/>
      </w:r>
      <w:r>
        <w:t xml:space="preserve"> </w:t>
      </w:r>
      <w:r w:rsidRPr="00236CCD">
        <w:t xml:space="preserve">JOACHIM FALLER, H., </w:t>
      </w:r>
      <w:r w:rsidR="004B058B" w:rsidRPr="00236CCD">
        <w:t>«Cuarenta</w:t>
      </w:r>
      <w:r w:rsidRPr="00236CCD">
        <w:t xml:space="preserve"> años del Tribunal Constitucional Federal Alemán», [Traducción: JAIME NICOLÁS]</w:t>
      </w:r>
      <w:r>
        <w:t xml:space="preserve">, </w:t>
      </w:r>
      <w:r w:rsidRPr="00236CCD">
        <w:rPr>
          <w:i/>
        </w:rPr>
        <w:t>Revista Española de Derecho Constitucional</w:t>
      </w:r>
      <w:r w:rsidRPr="00236CCD">
        <w:t>, Año 12. Núm. 34.</w:t>
      </w:r>
      <w:r>
        <w:t xml:space="preserve"> Enero-</w:t>
      </w:r>
      <w:r w:rsidR="004B058B">
        <w:t>abril</w:t>
      </w:r>
      <w:r>
        <w:t xml:space="preserve"> 1992, pág. 127.</w:t>
      </w:r>
      <w:r w:rsidRPr="00236CCD">
        <w:t xml:space="preserve"> </w:t>
      </w:r>
    </w:p>
  </w:footnote>
  <w:footnote w:id="96">
    <w:p w14:paraId="69FAECBD" w14:textId="64B70E1C" w:rsidR="007B7556" w:rsidRDefault="007B7556" w:rsidP="00062ED7">
      <w:pPr>
        <w:pStyle w:val="nota"/>
      </w:pPr>
      <w:r>
        <w:rPr>
          <w:rStyle w:val="Refdenotaalpie"/>
        </w:rPr>
        <w:footnoteRef/>
      </w:r>
      <w:r>
        <w:t xml:space="preserve"> </w:t>
      </w:r>
      <w:proofErr w:type="spellStart"/>
      <w:r>
        <w:t>Ibídem</w:t>
      </w:r>
      <w:proofErr w:type="spellEnd"/>
      <w:r>
        <w:t xml:space="preserve"> pág. 134.</w:t>
      </w:r>
    </w:p>
  </w:footnote>
  <w:footnote w:id="97">
    <w:p w14:paraId="019ACB76" w14:textId="01FD8599" w:rsidR="007B7556" w:rsidRDefault="007B7556" w:rsidP="00F870F7">
      <w:pPr>
        <w:pStyle w:val="nota"/>
      </w:pPr>
      <w:r>
        <w:rPr>
          <w:rStyle w:val="Refdenotaalpie"/>
        </w:rPr>
        <w:footnoteRef/>
      </w:r>
      <w:r>
        <w:t xml:space="preserve"> LÓPEZ PIETSCH, P., «</w:t>
      </w:r>
      <w:r w:rsidRPr="00F870F7">
        <w:t>Objetivar el recurso de amparo: Las recomendaciones de la Com</w:t>
      </w:r>
      <w:r>
        <w:t xml:space="preserve">isión </w:t>
      </w:r>
      <w:proofErr w:type="spellStart"/>
      <w:r>
        <w:t>Benda</w:t>
      </w:r>
      <w:proofErr w:type="spellEnd"/>
      <w:r>
        <w:t xml:space="preserve"> y el debate español</w:t>
      </w:r>
      <w:r w:rsidR="004B058B">
        <w:t>»</w:t>
      </w:r>
      <w:r w:rsidR="004B058B" w:rsidRPr="00F870F7">
        <w:t>, Revista</w:t>
      </w:r>
      <w:r w:rsidRPr="00F870F7">
        <w:rPr>
          <w:i/>
        </w:rPr>
        <w:t xml:space="preserve"> Española de Derecho constitucional</w:t>
      </w:r>
      <w:r>
        <w:t>, 1998, núm. 53, pág. 130</w:t>
      </w:r>
      <w:r w:rsidRPr="00F870F7">
        <w:t>.</w:t>
      </w:r>
    </w:p>
  </w:footnote>
  <w:footnote w:id="98">
    <w:p w14:paraId="2A7C22D8" w14:textId="491913A1" w:rsidR="007B7556" w:rsidRDefault="007B7556" w:rsidP="00F04A4E">
      <w:pPr>
        <w:pStyle w:val="nota"/>
      </w:pPr>
      <w:r>
        <w:rPr>
          <w:rStyle w:val="Refdenotaalpie"/>
        </w:rPr>
        <w:footnoteRef/>
      </w:r>
      <w:r>
        <w:t xml:space="preserve"> LÓPEZ PIETSCH, P., «</w:t>
      </w:r>
      <w:r w:rsidRPr="00F870F7">
        <w:t>Objetivar el recurso de amparo: Las recomendaciones de la Com</w:t>
      </w:r>
      <w:r>
        <w:t xml:space="preserve">isión </w:t>
      </w:r>
      <w:proofErr w:type="spellStart"/>
      <w:r>
        <w:t>Benda</w:t>
      </w:r>
      <w:proofErr w:type="spellEnd"/>
      <w:r>
        <w:t xml:space="preserve"> y el debate español</w:t>
      </w:r>
      <w:r w:rsidR="004B058B">
        <w:t>»</w:t>
      </w:r>
      <w:r w:rsidR="004B058B" w:rsidRPr="00F870F7">
        <w:t>, Revista</w:t>
      </w:r>
      <w:r w:rsidRPr="00F870F7">
        <w:rPr>
          <w:i/>
        </w:rPr>
        <w:t xml:space="preserve"> Española de Derecho constitucional</w:t>
      </w:r>
      <w:r>
        <w:t>, 1998, núm. 53, pág. 132</w:t>
      </w:r>
      <w:r w:rsidRPr="00F870F7">
        <w:t>.</w:t>
      </w:r>
    </w:p>
    <w:p w14:paraId="77517C0D" w14:textId="77777777" w:rsidR="007B7556" w:rsidRDefault="007B7556" w:rsidP="00F04A4E">
      <w:pPr>
        <w:pStyle w:val="nota"/>
      </w:pPr>
    </w:p>
  </w:footnote>
  <w:footnote w:id="99">
    <w:p w14:paraId="5E642A19" w14:textId="77777777" w:rsidR="007B7556" w:rsidRPr="007043C1" w:rsidRDefault="007B7556" w:rsidP="004B3B15">
      <w:pPr>
        <w:pStyle w:val="nota"/>
      </w:pPr>
      <w:r>
        <w:rPr>
          <w:rStyle w:val="Refdenotaalpie"/>
        </w:rPr>
        <w:footnoteRef/>
      </w:r>
      <w:r w:rsidRPr="007043C1">
        <w:t xml:space="preserve"> Hasta la fecha, el artículo 50 de la LOTC rezaba lo siguiente:</w:t>
      </w:r>
    </w:p>
    <w:p w14:paraId="43AFE5A3" w14:textId="77777777" w:rsidR="007B7556" w:rsidRPr="007043C1" w:rsidRDefault="007B7556" w:rsidP="004B3B15">
      <w:pPr>
        <w:pStyle w:val="nota"/>
        <w:rPr>
          <w:i/>
        </w:rPr>
      </w:pPr>
      <w:r w:rsidRPr="007043C1">
        <w:rPr>
          <w:i/>
        </w:rPr>
        <w:t>“Artículo cincuenta</w:t>
      </w:r>
    </w:p>
    <w:p w14:paraId="4E096EE9" w14:textId="77777777" w:rsidR="007B7556" w:rsidRPr="007043C1" w:rsidRDefault="007B7556" w:rsidP="004B3B15">
      <w:pPr>
        <w:pStyle w:val="nota"/>
        <w:rPr>
          <w:i/>
        </w:rPr>
      </w:pPr>
      <w:r w:rsidRPr="007043C1">
        <w:rPr>
          <w:i/>
        </w:rPr>
        <w:t>Uno. La Sala, previa audiencia del solicitante de amparo y del Ministerio Fiscal, por plazo común que no excederá de diez días, podrá acordar motivadamente la inadmisibilidad del recurso si concurre alguno de los siguientes supuestos:</w:t>
      </w:r>
    </w:p>
    <w:p w14:paraId="5AF0D289" w14:textId="77777777" w:rsidR="007B7556" w:rsidRPr="007043C1" w:rsidRDefault="007B7556" w:rsidP="004B3B15">
      <w:pPr>
        <w:pStyle w:val="nota"/>
        <w:rPr>
          <w:i/>
        </w:rPr>
      </w:pPr>
      <w:r w:rsidRPr="007043C1">
        <w:rPr>
          <w:i/>
        </w:rPr>
        <w:t>a) Que la demanda se haya presentado fuera de plazo.</w:t>
      </w:r>
    </w:p>
    <w:p w14:paraId="63C9AF34" w14:textId="77777777" w:rsidR="007B7556" w:rsidRPr="007043C1" w:rsidRDefault="007B7556" w:rsidP="004B3B15">
      <w:pPr>
        <w:pStyle w:val="nota"/>
        <w:rPr>
          <w:i/>
        </w:rPr>
      </w:pPr>
      <w:r w:rsidRPr="007043C1">
        <w:rPr>
          <w:i/>
        </w:rPr>
        <w:t>b) Que la demanda presentada sea defectuosa por carecer de los requisitos legales o no ir acompañada de los documentos preceptivos, sin perjuicio de lo establecido en el artículo ochenta y cinco, dos.</w:t>
      </w:r>
    </w:p>
    <w:p w14:paraId="4B534B23" w14:textId="77777777" w:rsidR="007B7556" w:rsidRPr="007043C1" w:rsidRDefault="007B7556" w:rsidP="004B3B15">
      <w:pPr>
        <w:pStyle w:val="nota"/>
        <w:rPr>
          <w:i/>
        </w:rPr>
      </w:pPr>
      <w:r w:rsidRPr="007043C1">
        <w:rPr>
          <w:i/>
        </w:rPr>
        <w:t>Dos. También podrá acordarse la inadmisibilidad, con los requisitos de audiencia señalados en el número anterior, en los siguientes supuestos:</w:t>
      </w:r>
    </w:p>
    <w:p w14:paraId="5576511C" w14:textId="77777777" w:rsidR="007B7556" w:rsidRPr="007043C1" w:rsidRDefault="007B7556" w:rsidP="004B3B15">
      <w:pPr>
        <w:pStyle w:val="nota"/>
        <w:rPr>
          <w:i/>
        </w:rPr>
      </w:pPr>
      <w:r w:rsidRPr="007043C1">
        <w:rPr>
          <w:i/>
        </w:rPr>
        <w:t>a) Si la demanda se deduce respecto de derechos o libertades no susceptibles de amparo constitucional.</w:t>
      </w:r>
    </w:p>
    <w:p w14:paraId="37127F61" w14:textId="77777777" w:rsidR="007B7556" w:rsidRPr="007043C1" w:rsidRDefault="007B7556" w:rsidP="004B3B15">
      <w:pPr>
        <w:pStyle w:val="nota"/>
        <w:rPr>
          <w:i/>
        </w:rPr>
      </w:pPr>
      <w:r w:rsidRPr="007043C1">
        <w:rPr>
          <w:i/>
        </w:rPr>
        <w:t>b) Si la demanda carece manifiestamente de contenido que justifique una decisión por parte del Tribunal Constitucional.</w:t>
      </w:r>
    </w:p>
    <w:p w14:paraId="5BAD8EC5" w14:textId="77777777" w:rsidR="007B7556" w:rsidRPr="007043C1" w:rsidRDefault="007B7556" w:rsidP="004B3B15">
      <w:pPr>
        <w:pStyle w:val="nota"/>
        <w:rPr>
          <w:i/>
        </w:rPr>
      </w:pPr>
      <w:r w:rsidRPr="007043C1">
        <w:rPr>
          <w:i/>
        </w:rPr>
        <w:t>c) Si el Tribunal Constitucional hubiera ya desestimado en el fondo un recurso o cuestión de inconstitucionalidad o un recurso de amparo en supuesto sustancialmente igual.</w:t>
      </w:r>
    </w:p>
    <w:p w14:paraId="2C4AEFF0" w14:textId="77777777" w:rsidR="007B7556" w:rsidRPr="007043C1" w:rsidRDefault="007B7556" w:rsidP="004B3B15">
      <w:pPr>
        <w:pStyle w:val="nota"/>
        <w:rPr>
          <w:i/>
        </w:rPr>
      </w:pPr>
      <w:r w:rsidRPr="007043C1">
        <w:rPr>
          <w:i/>
        </w:rPr>
        <w:t>Tres. Contra el acuerdo de inadmisión de una demanda de amparo constitucional no cabrá recurso alguno.”</w:t>
      </w:r>
    </w:p>
  </w:footnote>
  <w:footnote w:id="100">
    <w:p w14:paraId="51E391E5" w14:textId="77777777" w:rsidR="007B7556" w:rsidRPr="007043C1" w:rsidRDefault="007B7556" w:rsidP="004B3B15">
      <w:pPr>
        <w:pStyle w:val="nota"/>
      </w:pPr>
      <w:r>
        <w:rPr>
          <w:rStyle w:val="Refdenotaalpie"/>
        </w:rPr>
        <w:footnoteRef/>
      </w:r>
      <w:r w:rsidRPr="007043C1">
        <w:t xml:space="preserve"> El nuevo artículo 50 de la LOTC quedó redactado como sigue:</w:t>
      </w:r>
    </w:p>
    <w:p w14:paraId="2260D184" w14:textId="77777777" w:rsidR="007B7556" w:rsidRPr="007043C1" w:rsidRDefault="007B7556" w:rsidP="004B3B15">
      <w:pPr>
        <w:pStyle w:val="nota"/>
        <w:rPr>
          <w:i/>
        </w:rPr>
      </w:pPr>
      <w:r w:rsidRPr="007043C1">
        <w:rPr>
          <w:i/>
        </w:rPr>
        <w:t xml:space="preserve"> “Artículo 50.</w:t>
      </w:r>
    </w:p>
    <w:p w14:paraId="775267D4" w14:textId="77777777" w:rsidR="007B7556" w:rsidRPr="007043C1" w:rsidRDefault="007B7556" w:rsidP="004B3B15">
      <w:pPr>
        <w:pStyle w:val="nota"/>
        <w:rPr>
          <w:i/>
        </w:rPr>
      </w:pPr>
      <w:r w:rsidRPr="007043C1">
        <w:rPr>
          <w:i/>
        </w:rPr>
        <w:t>1. La Sección, por unanimidad de sus miembros, podrá acordar</w:t>
      </w:r>
      <w:r>
        <w:rPr>
          <w:i/>
        </w:rPr>
        <w:t xml:space="preserve"> </w:t>
      </w:r>
      <w:r w:rsidRPr="007043C1">
        <w:rPr>
          <w:i/>
        </w:rPr>
        <w:t>mediante providencia la inadmisión del recurso cuando concurra</w:t>
      </w:r>
      <w:r>
        <w:rPr>
          <w:i/>
        </w:rPr>
        <w:t xml:space="preserve"> </w:t>
      </w:r>
      <w:r w:rsidRPr="007043C1">
        <w:rPr>
          <w:i/>
        </w:rPr>
        <w:t>alguno de los siguientes supuestos:</w:t>
      </w:r>
    </w:p>
    <w:p w14:paraId="2F6616AB" w14:textId="77777777" w:rsidR="007B7556" w:rsidRPr="007043C1" w:rsidRDefault="007B7556" w:rsidP="004B3B15">
      <w:pPr>
        <w:pStyle w:val="nota"/>
        <w:rPr>
          <w:i/>
        </w:rPr>
      </w:pPr>
      <w:r w:rsidRPr="007043C1">
        <w:rPr>
          <w:i/>
        </w:rPr>
        <w:t>a) Que la demanda incumpla de manera manifiesta e</w:t>
      </w:r>
      <w:r>
        <w:rPr>
          <w:i/>
        </w:rPr>
        <w:t xml:space="preserve"> </w:t>
      </w:r>
      <w:r w:rsidRPr="007043C1">
        <w:rPr>
          <w:i/>
        </w:rPr>
        <w:t>insubsanable alguno de los requisitos contenidos en los artículos</w:t>
      </w:r>
      <w:r>
        <w:rPr>
          <w:i/>
        </w:rPr>
        <w:t xml:space="preserve"> </w:t>
      </w:r>
      <w:r w:rsidRPr="007043C1">
        <w:rPr>
          <w:i/>
        </w:rPr>
        <w:t>41 a 46 o concurra en la misma el caso al que se refiere el artículo</w:t>
      </w:r>
      <w:r>
        <w:rPr>
          <w:i/>
        </w:rPr>
        <w:t xml:space="preserve"> </w:t>
      </w:r>
      <w:r w:rsidRPr="007043C1">
        <w:rPr>
          <w:i/>
        </w:rPr>
        <w:t>4.2.</w:t>
      </w:r>
    </w:p>
    <w:p w14:paraId="7A807243" w14:textId="77777777" w:rsidR="007B7556" w:rsidRPr="007043C1" w:rsidRDefault="007B7556" w:rsidP="004B3B15">
      <w:pPr>
        <w:pStyle w:val="nota"/>
        <w:rPr>
          <w:i/>
        </w:rPr>
      </w:pPr>
      <w:r w:rsidRPr="007043C1">
        <w:rPr>
          <w:i/>
        </w:rPr>
        <w:t>b) Que la demanda se deduzca respecto de derechos o</w:t>
      </w:r>
      <w:r>
        <w:rPr>
          <w:i/>
        </w:rPr>
        <w:t xml:space="preserve"> </w:t>
      </w:r>
      <w:r w:rsidRPr="007043C1">
        <w:rPr>
          <w:i/>
        </w:rPr>
        <w:t>libertades no susceptibles de amparo constitucional.</w:t>
      </w:r>
    </w:p>
    <w:p w14:paraId="2CAC73DF" w14:textId="77777777" w:rsidR="007B7556" w:rsidRPr="007043C1" w:rsidRDefault="007B7556" w:rsidP="004B3B15">
      <w:pPr>
        <w:pStyle w:val="nota"/>
        <w:rPr>
          <w:i/>
        </w:rPr>
      </w:pPr>
      <w:r w:rsidRPr="007043C1">
        <w:rPr>
          <w:i/>
        </w:rPr>
        <w:t>c) Que la demanda carezca manifiestamente de contenido que</w:t>
      </w:r>
      <w:r>
        <w:rPr>
          <w:i/>
        </w:rPr>
        <w:t xml:space="preserve"> </w:t>
      </w:r>
      <w:r w:rsidRPr="007043C1">
        <w:rPr>
          <w:i/>
        </w:rPr>
        <w:t>justifique una decisión sobre el fondo de la misma por parte del</w:t>
      </w:r>
      <w:r>
        <w:rPr>
          <w:i/>
        </w:rPr>
        <w:t xml:space="preserve"> </w:t>
      </w:r>
      <w:r w:rsidRPr="007043C1">
        <w:rPr>
          <w:i/>
        </w:rPr>
        <w:t>Tribunal Constitucional.</w:t>
      </w:r>
    </w:p>
    <w:p w14:paraId="6EE5EB7B" w14:textId="77777777" w:rsidR="007B7556" w:rsidRPr="007043C1" w:rsidRDefault="007B7556" w:rsidP="004B3B15">
      <w:pPr>
        <w:pStyle w:val="nota"/>
        <w:rPr>
          <w:i/>
        </w:rPr>
      </w:pPr>
      <w:r w:rsidRPr="007043C1">
        <w:rPr>
          <w:i/>
        </w:rPr>
        <w:t>d) Que el Tribunal Constitucional hubiera ya desestimado en el</w:t>
      </w:r>
      <w:r>
        <w:rPr>
          <w:i/>
        </w:rPr>
        <w:t xml:space="preserve"> </w:t>
      </w:r>
      <w:r w:rsidRPr="007043C1">
        <w:rPr>
          <w:i/>
        </w:rPr>
        <w:t>fondo un recurso o cuestión de inconstitucionalidad o un recurso</w:t>
      </w:r>
      <w:r>
        <w:rPr>
          <w:i/>
        </w:rPr>
        <w:t xml:space="preserve"> </w:t>
      </w:r>
      <w:r w:rsidRPr="007043C1">
        <w:rPr>
          <w:i/>
        </w:rPr>
        <w:t>de amparo en supuesto substancialmente igual, señalando</w:t>
      </w:r>
      <w:r>
        <w:rPr>
          <w:i/>
        </w:rPr>
        <w:t xml:space="preserve"> </w:t>
      </w:r>
      <w:r w:rsidRPr="007043C1">
        <w:rPr>
          <w:i/>
        </w:rPr>
        <w:t>expresamente en la providencia la resolución o resoluciones</w:t>
      </w:r>
      <w:r>
        <w:rPr>
          <w:i/>
        </w:rPr>
        <w:t xml:space="preserve"> </w:t>
      </w:r>
      <w:r w:rsidRPr="007043C1">
        <w:rPr>
          <w:i/>
        </w:rPr>
        <w:t>desestimatorias.</w:t>
      </w:r>
    </w:p>
    <w:p w14:paraId="0587B3BD" w14:textId="77777777" w:rsidR="007B7556" w:rsidRPr="007043C1" w:rsidRDefault="007B7556" w:rsidP="004B3B15">
      <w:pPr>
        <w:pStyle w:val="nota"/>
        <w:rPr>
          <w:i/>
        </w:rPr>
      </w:pPr>
      <w:r w:rsidRPr="007043C1">
        <w:rPr>
          <w:i/>
        </w:rPr>
        <w:t>2. La providencia a que se refiere el apartado anterior, que</w:t>
      </w:r>
      <w:r>
        <w:rPr>
          <w:i/>
        </w:rPr>
        <w:t xml:space="preserve"> </w:t>
      </w:r>
      <w:r w:rsidRPr="007043C1">
        <w:rPr>
          <w:i/>
        </w:rPr>
        <w:t>indicará el supuesto en el que se encuentra el recurso, se</w:t>
      </w:r>
      <w:r>
        <w:rPr>
          <w:i/>
        </w:rPr>
        <w:t xml:space="preserve"> </w:t>
      </w:r>
      <w:r w:rsidRPr="007043C1">
        <w:rPr>
          <w:i/>
        </w:rPr>
        <w:t>notificará al demandante y al Ministerio Fiscal. Contra dicha</w:t>
      </w:r>
      <w:r>
        <w:rPr>
          <w:i/>
        </w:rPr>
        <w:t xml:space="preserve"> </w:t>
      </w:r>
      <w:r w:rsidRPr="007043C1">
        <w:rPr>
          <w:i/>
        </w:rPr>
        <w:t>providencia solamente podrá recurrir el Ministerio Fiscal, en</w:t>
      </w:r>
      <w:r>
        <w:rPr>
          <w:i/>
        </w:rPr>
        <w:t xml:space="preserve"> </w:t>
      </w:r>
      <w:r w:rsidRPr="007043C1">
        <w:rPr>
          <w:i/>
        </w:rPr>
        <w:t>súplica, en el plazo de tres días. El recurso se resolverá mediante</w:t>
      </w:r>
      <w:r>
        <w:rPr>
          <w:i/>
        </w:rPr>
        <w:t xml:space="preserve"> </w:t>
      </w:r>
      <w:r w:rsidRPr="007043C1">
        <w:rPr>
          <w:i/>
        </w:rPr>
        <w:t>auto.</w:t>
      </w:r>
    </w:p>
    <w:p w14:paraId="42071C6C" w14:textId="77777777" w:rsidR="007B7556" w:rsidRPr="007043C1" w:rsidRDefault="007B7556" w:rsidP="004B3B15">
      <w:pPr>
        <w:pStyle w:val="nota"/>
        <w:rPr>
          <w:i/>
        </w:rPr>
      </w:pPr>
      <w:r w:rsidRPr="007043C1">
        <w:rPr>
          <w:i/>
        </w:rPr>
        <w:t>3. Cuando en los supuestos a que alude el apartado primero no</w:t>
      </w:r>
      <w:r>
        <w:rPr>
          <w:i/>
        </w:rPr>
        <w:t xml:space="preserve"> </w:t>
      </w:r>
      <w:r w:rsidRPr="007043C1">
        <w:rPr>
          <w:i/>
        </w:rPr>
        <w:t>hubiere unanimidad, la Sección, previa audiencia del solicitante de</w:t>
      </w:r>
      <w:r>
        <w:rPr>
          <w:i/>
        </w:rPr>
        <w:t xml:space="preserve"> </w:t>
      </w:r>
      <w:r w:rsidRPr="007043C1">
        <w:rPr>
          <w:i/>
        </w:rPr>
        <w:t>amparo y del Ministerio Fiscal, por plazo común que no excederá</w:t>
      </w:r>
      <w:r>
        <w:rPr>
          <w:i/>
        </w:rPr>
        <w:t xml:space="preserve"> </w:t>
      </w:r>
      <w:r w:rsidRPr="007043C1">
        <w:rPr>
          <w:i/>
        </w:rPr>
        <w:t>de diez días, podrá acordar mediante auto la inadmisión del</w:t>
      </w:r>
      <w:r>
        <w:rPr>
          <w:i/>
        </w:rPr>
        <w:t xml:space="preserve"> </w:t>
      </w:r>
      <w:r w:rsidRPr="007043C1">
        <w:rPr>
          <w:i/>
        </w:rPr>
        <w:t>recurso.</w:t>
      </w:r>
    </w:p>
    <w:p w14:paraId="25DA2F02" w14:textId="77777777" w:rsidR="007B7556" w:rsidRPr="007043C1" w:rsidRDefault="007B7556" w:rsidP="004B3B15">
      <w:pPr>
        <w:pStyle w:val="nota"/>
        <w:rPr>
          <w:i/>
        </w:rPr>
      </w:pPr>
      <w:r w:rsidRPr="007043C1">
        <w:rPr>
          <w:i/>
        </w:rPr>
        <w:t>4. Contra los autos a los que se refieren los apartados 2 y 3</w:t>
      </w:r>
      <w:r>
        <w:rPr>
          <w:i/>
        </w:rPr>
        <w:t xml:space="preserve"> </w:t>
      </w:r>
      <w:r w:rsidRPr="007043C1">
        <w:rPr>
          <w:i/>
        </w:rPr>
        <w:t>anteriores no cabrá recurso alguno.</w:t>
      </w:r>
    </w:p>
    <w:p w14:paraId="3E4A160D" w14:textId="77777777" w:rsidR="007B7556" w:rsidRPr="007043C1" w:rsidRDefault="007B7556" w:rsidP="004B3B15">
      <w:pPr>
        <w:pStyle w:val="nota"/>
      </w:pPr>
      <w:r w:rsidRPr="007043C1">
        <w:rPr>
          <w:i/>
        </w:rPr>
        <w:t>5. Cuando en la demanda de amparo concurran uno o varios</w:t>
      </w:r>
      <w:r>
        <w:rPr>
          <w:i/>
        </w:rPr>
        <w:t xml:space="preserve"> </w:t>
      </w:r>
      <w:r w:rsidRPr="007043C1">
        <w:rPr>
          <w:i/>
        </w:rPr>
        <w:t>defectos de naturaleza subsanable, la Sección procederá en la</w:t>
      </w:r>
      <w:r>
        <w:rPr>
          <w:i/>
        </w:rPr>
        <w:t xml:space="preserve"> </w:t>
      </w:r>
      <w:r w:rsidRPr="007043C1">
        <w:rPr>
          <w:i/>
        </w:rPr>
        <w:t>forma prevista en el artículo 85.2; de no producirse la subsanación dentro del plazo fijado en dicho precepto, la Sección acordará la</w:t>
      </w:r>
      <w:r>
        <w:rPr>
          <w:i/>
        </w:rPr>
        <w:t xml:space="preserve"> </w:t>
      </w:r>
      <w:r w:rsidRPr="007043C1">
        <w:rPr>
          <w:i/>
        </w:rPr>
        <w:t>inadmisión mediante providencia, contra la cual no cabrá recurso</w:t>
      </w:r>
      <w:r>
        <w:rPr>
          <w:i/>
        </w:rPr>
        <w:t xml:space="preserve"> </w:t>
      </w:r>
      <w:r w:rsidRPr="007043C1">
        <w:rPr>
          <w:i/>
        </w:rPr>
        <w:t>alguno.”</w:t>
      </w:r>
    </w:p>
  </w:footnote>
  <w:footnote w:id="101">
    <w:p w14:paraId="3B3CBEA6" w14:textId="77777777" w:rsidR="007B7556" w:rsidRPr="007043C1" w:rsidRDefault="007B7556" w:rsidP="004B3B15">
      <w:pPr>
        <w:pStyle w:val="nota"/>
      </w:pPr>
      <w:r w:rsidRPr="00726DDC">
        <w:rPr>
          <w:rStyle w:val="Refdenotaalpie"/>
        </w:rPr>
        <w:footnoteRef/>
      </w:r>
      <w:r w:rsidRPr="007043C1">
        <w:t xml:space="preserve"> Son muy pocos los casos en los que el TC hizo uso de este caso de inadmisión, entre otros podemos apreciar los siguientes: AATC 139/1990, de 26 de marzo; 83/1992, de 23 de marzo; 2/1993, de 11 de enero y 49/1993, de 8 de febrero.</w:t>
      </w:r>
    </w:p>
  </w:footnote>
  <w:footnote w:id="102">
    <w:p w14:paraId="246ABC8D" w14:textId="39165756" w:rsidR="007B7556" w:rsidRPr="007043C1" w:rsidRDefault="007B7556" w:rsidP="004B3B15">
      <w:pPr>
        <w:pStyle w:val="nota"/>
      </w:pPr>
      <w:r>
        <w:rPr>
          <w:rStyle w:val="Refdenotaalpie"/>
        </w:rPr>
        <w:footnoteRef/>
      </w:r>
      <w:r w:rsidRPr="007D562F">
        <w:rPr>
          <w:lang w:val="en-US"/>
        </w:rPr>
        <w:t xml:space="preserve"> LOPJ, arts. 245.1</w:t>
      </w:r>
      <w:r w:rsidR="004B058B" w:rsidRPr="007D562F">
        <w:rPr>
          <w:lang w:val="en-US"/>
        </w:rPr>
        <w:t>. A</w:t>
      </w:r>
      <w:r w:rsidRPr="007D562F">
        <w:rPr>
          <w:lang w:val="en-US"/>
        </w:rPr>
        <w:t xml:space="preserve">), 248.1; </w:t>
      </w:r>
      <w:proofErr w:type="spellStart"/>
      <w:r w:rsidRPr="007D562F">
        <w:rPr>
          <w:lang w:val="en-US"/>
        </w:rPr>
        <w:t>LECiv</w:t>
      </w:r>
      <w:proofErr w:type="spellEnd"/>
      <w:r w:rsidRPr="007D562F">
        <w:rPr>
          <w:lang w:val="en-US"/>
        </w:rPr>
        <w:t xml:space="preserve">, art. 206.2.1. </w:t>
      </w:r>
      <w:r w:rsidRPr="007043C1">
        <w:t>°</w:t>
      </w:r>
    </w:p>
  </w:footnote>
  <w:footnote w:id="103">
    <w:p w14:paraId="2DD02353" w14:textId="77777777" w:rsidR="007B7556" w:rsidRPr="000C6F43" w:rsidRDefault="007B7556" w:rsidP="004B3B15">
      <w:pPr>
        <w:pStyle w:val="nota"/>
      </w:pPr>
      <w:r>
        <w:rPr>
          <w:rStyle w:val="Refdenotaalpie"/>
        </w:rPr>
        <w:footnoteRef/>
      </w:r>
      <w:r w:rsidRPr="000C6F43">
        <w:t xml:space="preserve"> </w:t>
      </w:r>
      <w:r>
        <w:t xml:space="preserve">TENORIO, P., «Derechos en serio, recurso de amparo, reordenación de la garantía judicial, y reforma de la Ley Orgánica del Poder Judicial», UNED. </w:t>
      </w:r>
      <w:r>
        <w:rPr>
          <w:i/>
        </w:rPr>
        <w:t xml:space="preserve">Revista de Derecho Político, </w:t>
      </w:r>
      <w:r>
        <w:t>núm. 88, septiembre-diciembre 2013, pág. 140.</w:t>
      </w:r>
    </w:p>
  </w:footnote>
  <w:footnote w:id="104">
    <w:p w14:paraId="24E7E02D" w14:textId="77777777" w:rsidR="007B7556" w:rsidRPr="008F0D95" w:rsidRDefault="007B7556" w:rsidP="004B3B15">
      <w:pPr>
        <w:pStyle w:val="nota"/>
      </w:pPr>
      <w:r>
        <w:rPr>
          <w:rStyle w:val="Refdenotaalpie"/>
        </w:rPr>
        <w:footnoteRef/>
      </w:r>
      <w:r w:rsidRPr="008F0D95">
        <w:t xml:space="preserve"> </w:t>
      </w:r>
      <w:proofErr w:type="spellStart"/>
      <w:r>
        <w:t>Ibídem</w:t>
      </w:r>
      <w:proofErr w:type="spellEnd"/>
      <w:r>
        <w:t>.</w:t>
      </w:r>
    </w:p>
  </w:footnote>
  <w:footnote w:id="105">
    <w:p w14:paraId="6E8FDA96" w14:textId="77777777" w:rsidR="007B7556" w:rsidRPr="0062549E" w:rsidRDefault="007B7556" w:rsidP="004B3B15">
      <w:pPr>
        <w:pStyle w:val="nota"/>
      </w:pPr>
      <w:r>
        <w:rPr>
          <w:rStyle w:val="Refdenotaalpie"/>
        </w:rPr>
        <w:footnoteRef/>
      </w:r>
      <w:r w:rsidRPr="0062549E">
        <w:t xml:space="preserve"> FOSSAS ESPADALER, E., «El proyecto de reforma de la ley orgánica del Tribunal Constitucional.», </w:t>
      </w:r>
      <w:r w:rsidRPr="0062549E">
        <w:rPr>
          <w:i/>
        </w:rPr>
        <w:t>Revista General de Derecho Constitucional,</w:t>
      </w:r>
      <w:r w:rsidRPr="0062549E">
        <w:t xml:space="preserve"> núm.1, 2006, pág. 4.</w:t>
      </w:r>
    </w:p>
  </w:footnote>
  <w:footnote w:id="106">
    <w:p w14:paraId="1FC1AE32" w14:textId="77777777" w:rsidR="007B7556" w:rsidRPr="0062549E" w:rsidRDefault="007B7556" w:rsidP="004B3B15">
      <w:pPr>
        <w:pStyle w:val="nota"/>
      </w:pPr>
      <w:r>
        <w:rPr>
          <w:rStyle w:val="Refdenotaalpie"/>
        </w:rPr>
        <w:footnoteRef/>
      </w:r>
      <w:r w:rsidRPr="0062549E">
        <w:t xml:space="preserve"> FOSSAS ESPADALER, E., «El proyecto de reforma de la ley orgánica del Tribunal Constitucional.», </w:t>
      </w:r>
      <w:r w:rsidRPr="0062549E">
        <w:rPr>
          <w:i/>
        </w:rPr>
        <w:t>Revista General de Derecho Constitucional,</w:t>
      </w:r>
      <w:r w:rsidRPr="0062549E">
        <w:t xml:space="preserve"> núm.1, 2006, pág. 3.</w:t>
      </w:r>
    </w:p>
  </w:footnote>
  <w:footnote w:id="107">
    <w:p w14:paraId="644477D3" w14:textId="77777777" w:rsidR="007B7556" w:rsidRPr="00D50B48" w:rsidRDefault="007B7556" w:rsidP="004B3B15">
      <w:pPr>
        <w:pStyle w:val="nota"/>
      </w:pPr>
      <w:r>
        <w:rPr>
          <w:rStyle w:val="Refdenotaalpie"/>
        </w:rPr>
        <w:footnoteRef/>
      </w:r>
      <w:r w:rsidRPr="00166570">
        <w:t xml:space="preserve"> </w:t>
      </w:r>
      <w:r>
        <w:t xml:space="preserve">JIMÉNEZ DE PARGA, CABRERA, M., «Veintitrés años de jurisprudencia del Tribunal Constitucional sobre derechos fundamentales», UNED. </w:t>
      </w:r>
      <w:r>
        <w:rPr>
          <w:i/>
        </w:rPr>
        <w:t xml:space="preserve">Revista de Derecho Político, </w:t>
      </w:r>
      <w:r>
        <w:t xml:space="preserve">Número monográfico. Balance de la Constitución en su XXV aniversario, núm. 58-59, pág. 171. </w:t>
      </w:r>
    </w:p>
  </w:footnote>
  <w:footnote w:id="108">
    <w:p w14:paraId="31B5B451" w14:textId="77777777" w:rsidR="007B7556" w:rsidRPr="00166570" w:rsidRDefault="007B7556" w:rsidP="004B3B15">
      <w:pPr>
        <w:pStyle w:val="nota"/>
      </w:pPr>
      <w:r>
        <w:rPr>
          <w:rStyle w:val="Refdenotaalpie"/>
        </w:rPr>
        <w:footnoteRef/>
      </w:r>
      <w:r w:rsidRPr="00166570">
        <w:t xml:space="preserve"> </w:t>
      </w:r>
      <w:r>
        <w:t xml:space="preserve">TENORIO, P., «Derechos en serio, recurso de amparo, reordenación de la garantía judicial, y reforma de la Ley Orgánica del Poder Judicial», UNED. </w:t>
      </w:r>
      <w:r>
        <w:rPr>
          <w:i/>
        </w:rPr>
        <w:t xml:space="preserve">Revista de Derecho Político, </w:t>
      </w:r>
      <w:r>
        <w:t>núm. 88, septiembre-diciembre 2013, pág. 134.</w:t>
      </w:r>
    </w:p>
  </w:footnote>
  <w:footnote w:id="109">
    <w:p w14:paraId="22D35906" w14:textId="77777777" w:rsidR="007B7556" w:rsidRPr="0062549E" w:rsidRDefault="007B7556" w:rsidP="004B3B15">
      <w:pPr>
        <w:pStyle w:val="nota"/>
      </w:pPr>
      <w:r>
        <w:rPr>
          <w:rStyle w:val="Refdenotaalpie"/>
        </w:rPr>
        <w:footnoteRef/>
      </w:r>
      <w:r w:rsidRPr="0062549E">
        <w:t xml:space="preserve"> BOCG. Congreso de los Diputados. 25 de noviembre de 2005.-Serie A. Núm. 60-1. Pág. 7.</w:t>
      </w:r>
    </w:p>
  </w:footnote>
  <w:footnote w:id="110">
    <w:p w14:paraId="210B0D9A" w14:textId="77777777" w:rsidR="007B7556" w:rsidRPr="0062549E" w:rsidRDefault="007B7556" w:rsidP="004B3B15">
      <w:pPr>
        <w:pStyle w:val="nota"/>
      </w:pPr>
      <w:r>
        <w:rPr>
          <w:rStyle w:val="Refdenotaalpie"/>
        </w:rPr>
        <w:footnoteRef/>
      </w:r>
      <w:r w:rsidRPr="0064152A">
        <w:t xml:space="preserve"> </w:t>
      </w:r>
      <w:r w:rsidRPr="0062549E">
        <w:t>Redacción de</w:t>
      </w:r>
      <w:r>
        <w:t>l</w:t>
      </w:r>
      <w:r w:rsidRPr="0062549E">
        <w:t xml:space="preserve"> artículo </w:t>
      </w:r>
      <w:r>
        <w:t xml:space="preserve">49 </w:t>
      </w:r>
      <w:r w:rsidRPr="0062549E">
        <w:t>vigente desde el 26 octubre de 1979 hasta el 25 mayo de 2007.</w:t>
      </w:r>
    </w:p>
    <w:p w14:paraId="40159F4B" w14:textId="77777777" w:rsidR="007B7556" w:rsidRPr="0062549E" w:rsidRDefault="007B7556" w:rsidP="004B3B15">
      <w:pPr>
        <w:pStyle w:val="nota"/>
      </w:pPr>
      <w:r w:rsidRPr="0062549E">
        <w:t xml:space="preserve"> Artículo 49. [Demanda de amparo]</w:t>
      </w:r>
    </w:p>
    <w:p w14:paraId="188CCBA0" w14:textId="77777777" w:rsidR="007B7556" w:rsidRPr="0062549E" w:rsidRDefault="007B7556" w:rsidP="004B3B15">
      <w:pPr>
        <w:pStyle w:val="nota"/>
        <w:rPr>
          <w:i/>
        </w:rPr>
      </w:pPr>
      <w:r w:rsidRPr="0062549E">
        <w:rPr>
          <w:i/>
        </w:rPr>
        <w:t>«1. El recurso de amparo constitucional se iniciará mediante demanda en la que se expondrán con claridad y concisión los hechos que la fundamenten, se citarán los preceptos constitucionales que se estimen infringidos y se fijará con precisión el amparo que se solicita para preservar o restablecer el derecho o libertad que se considere vulnerado.</w:t>
      </w:r>
    </w:p>
    <w:p w14:paraId="6C6C889F" w14:textId="77777777" w:rsidR="007B7556" w:rsidRPr="0062549E" w:rsidRDefault="007B7556" w:rsidP="004B3B15">
      <w:pPr>
        <w:pStyle w:val="nota"/>
        <w:rPr>
          <w:i/>
        </w:rPr>
      </w:pPr>
      <w:r w:rsidRPr="0062549E">
        <w:rPr>
          <w:i/>
        </w:rPr>
        <w:t>2. Con la demanda se acompañarán:</w:t>
      </w:r>
    </w:p>
    <w:p w14:paraId="1AC23140" w14:textId="77777777" w:rsidR="007B7556" w:rsidRPr="0062549E" w:rsidRDefault="007B7556" w:rsidP="004B3B15">
      <w:pPr>
        <w:pStyle w:val="nota"/>
        <w:rPr>
          <w:i/>
        </w:rPr>
      </w:pPr>
      <w:r w:rsidRPr="0062549E">
        <w:rPr>
          <w:i/>
        </w:rPr>
        <w:t>a) El documento que acredite la representación del solicitante del amparo.</w:t>
      </w:r>
    </w:p>
    <w:p w14:paraId="26E836E6" w14:textId="77777777" w:rsidR="007B7556" w:rsidRPr="0062549E" w:rsidRDefault="007B7556" w:rsidP="004B3B15">
      <w:pPr>
        <w:pStyle w:val="nota"/>
        <w:rPr>
          <w:i/>
        </w:rPr>
      </w:pPr>
      <w:r w:rsidRPr="0062549E">
        <w:rPr>
          <w:i/>
        </w:rPr>
        <w:t>b) En su caso, la copia, traslado o certificación de la resolución recaída en el procedimiento judicial o administrativo.</w:t>
      </w:r>
    </w:p>
    <w:p w14:paraId="358ED672" w14:textId="32A4E3D0" w:rsidR="007B7556" w:rsidRPr="0064152A" w:rsidRDefault="007B7556" w:rsidP="004B3B15">
      <w:pPr>
        <w:pStyle w:val="nota"/>
      </w:pPr>
      <w:r w:rsidRPr="0062549E">
        <w:rPr>
          <w:i/>
        </w:rPr>
        <w:t xml:space="preserve">3. A la demanda se acompañarán también tantas copias literales de la misma y de los documentos presentados como partes en el previo proceso, si </w:t>
      </w:r>
      <w:r w:rsidR="004B058B" w:rsidRPr="0062549E">
        <w:rPr>
          <w:i/>
        </w:rPr>
        <w:t>los</w:t>
      </w:r>
      <w:r w:rsidRPr="0062549E">
        <w:rPr>
          <w:i/>
        </w:rPr>
        <w:t xml:space="preserve"> hubiere, y una más para el Ministerio Fiscal.»</w:t>
      </w:r>
    </w:p>
  </w:footnote>
  <w:footnote w:id="111">
    <w:p w14:paraId="43C5926E" w14:textId="77777777" w:rsidR="007B7556" w:rsidRPr="0064152A" w:rsidRDefault="007B7556" w:rsidP="004B3B15">
      <w:pPr>
        <w:pStyle w:val="nota"/>
      </w:pPr>
      <w:r>
        <w:rPr>
          <w:rStyle w:val="Refdenotaalpie"/>
        </w:rPr>
        <w:footnoteRef/>
      </w:r>
      <w:r w:rsidRPr="0062549E">
        <w:t xml:space="preserve">  </w:t>
      </w:r>
      <w:r>
        <w:t>La propuesta para la nueva redacción de l</w:t>
      </w:r>
      <w:r w:rsidRPr="0064152A">
        <w:t xml:space="preserve">os apartados 1 y 4 del artículo 49 </w:t>
      </w:r>
      <w:r>
        <w:t>establecía lo siguiente</w:t>
      </w:r>
      <w:r w:rsidRPr="0064152A">
        <w:t>:</w:t>
      </w:r>
    </w:p>
    <w:p w14:paraId="0D8F5696" w14:textId="77777777" w:rsidR="007B7556" w:rsidRPr="0064152A" w:rsidRDefault="007B7556" w:rsidP="004B3B15">
      <w:pPr>
        <w:pStyle w:val="nota"/>
        <w:rPr>
          <w:i/>
        </w:rPr>
      </w:pPr>
      <w:r w:rsidRPr="0064152A">
        <w:rPr>
          <w:i/>
        </w:rPr>
        <w:t>«1. El recurso de amparo constitucional se iniciará</w:t>
      </w:r>
      <w:r>
        <w:rPr>
          <w:i/>
        </w:rPr>
        <w:t xml:space="preserve"> </w:t>
      </w:r>
      <w:r w:rsidRPr="0064152A">
        <w:rPr>
          <w:i/>
        </w:rPr>
        <w:t>mediante demanda en la que se expondrán con claridad</w:t>
      </w:r>
    </w:p>
    <w:p w14:paraId="4EF97D0D" w14:textId="77777777" w:rsidR="007B7556" w:rsidRPr="0064152A" w:rsidRDefault="007B7556" w:rsidP="004B3B15">
      <w:pPr>
        <w:pStyle w:val="nota"/>
        <w:rPr>
          <w:i/>
        </w:rPr>
      </w:pPr>
      <w:r w:rsidRPr="0064152A">
        <w:rPr>
          <w:i/>
        </w:rPr>
        <w:t>y concisión los hechos que la fundamenten, se citarán</w:t>
      </w:r>
      <w:r>
        <w:rPr>
          <w:i/>
        </w:rPr>
        <w:t xml:space="preserve"> </w:t>
      </w:r>
      <w:r w:rsidRPr="0064152A">
        <w:rPr>
          <w:i/>
        </w:rPr>
        <w:t>los preceptos constitucionales que se estimen infringidos</w:t>
      </w:r>
      <w:r>
        <w:rPr>
          <w:i/>
        </w:rPr>
        <w:t xml:space="preserve"> </w:t>
      </w:r>
      <w:r w:rsidRPr="0064152A">
        <w:rPr>
          <w:i/>
        </w:rPr>
        <w:t>y se fijará con precisión el amparo que se solicita</w:t>
      </w:r>
      <w:r>
        <w:rPr>
          <w:i/>
        </w:rPr>
        <w:t xml:space="preserve"> </w:t>
      </w:r>
      <w:r w:rsidRPr="0064152A">
        <w:rPr>
          <w:i/>
        </w:rPr>
        <w:t>para preservar o restablecer el derecho o libertad que se</w:t>
      </w:r>
      <w:r>
        <w:rPr>
          <w:i/>
        </w:rPr>
        <w:t xml:space="preserve"> </w:t>
      </w:r>
      <w:r w:rsidRPr="0064152A">
        <w:rPr>
          <w:i/>
        </w:rPr>
        <w:t>considere vulnerado. En todo caso, la demanda justificará</w:t>
      </w:r>
      <w:r>
        <w:rPr>
          <w:i/>
        </w:rPr>
        <w:t xml:space="preserve"> </w:t>
      </w:r>
      <w:r w:rsidRPr="0064152A">
        <w:rPr>
          <w:i/>
        </w:rPr>
        <w:t>la especial trascendencia constitucional del recurso.»</w:t>
      </w:r>
    </w:p>
    <w:p w14:paraId="543F3D47" w14:textId="77777777" w:rsidR="007B7556" w:rsidRPr="0062549E" w:rsidRDefault="007B7556" w:rsidP="004B3B15">
      <w:pPr>
        <w:pStyle w:val="nota"/>
        <w:rPr>
          <w:i/>
        </w:rPr>
      </w:pPr>
      <w:r w:rsidRPr="0064152A">
        <w:rPr>
          <w:i/>
        </w:rPr>
        <w:t>«4. De incumplirse cualquiera de los requisitos</w:t>
      </w:r>
      <w:r>
        <w:rPr>
          <w:i/>
        </w:rPr>
        <w:t xml:space="preserve"> </w:t>
      </w:r>
      <w:r w:rsidRPr="0064152A">
        <w:rPr>
          <w:i/>
        </w:rPr>
        <w:t>establecidos en los apartados que anteceden, las Secretarías</w:t>
      </w:r>
      <w:r>
        <w:rPr>
          <w:i/>
        </w:rPr>
        <w:t xml:space="preserve"> </w:t>
      </w:r>
      <w:r w:rsidRPr="0064152A">
        <w:rPr>
          <w:i/>
        </w:rPr>
        <w:t>de Justicia lo pondrán de manifiesto al interesado</w:t>
      </w:r>
      <w:r>
        <w:rPr>
          <w:i/>
        </w:rPr>
        <w:t xml:space="preserve"> </w:t>
      </w:r>
      <w:r w:rsidRPr="0064152A">
        <w:rPr>
          <w:i/>
        </w:rPr>
        <w:t>en el plazo de 10 días, con el apercibimiento de que, de</w:t>
      </w:r>
      <w:r>
        <w:rPr>
          <w:i/>
        </w:rPr>
        <w:t xml:space="preserve"> </w:t>
      </w:r>
      <w:r w:rsidRPr="0064152A">
        <w:rPr>
          <w:i/>
        </w:rPr>
        <w:t>no subsanarse el defecto, se acordará la inadmisión del</w:t>
      </w:r>
      <w:r>
        <w:rPr>
          <w:i/>
        </w:rPr>
        <w:t xml:space="preserve"> </w:t>
      </w:r>
      <w:r w:rsidRPr="00E50553">
        <w:rPr>
          <w:i/>
        </w:rPr>
        <w:t>recurso.»</w:t>
      </w:r>
    </w:p>
  </w:footnote>
  <w:footnote w:id="112">
    <w:p w14:paraId="191EB9AB" w14:textId="77777777" w:rsidR="007B7556" w:rsidRPr="0062549E" w:rsidRDefault="007B7556" w:rsidP="004B3B15">
      <w:pPr>
        <w:pStyle w:val="nota"/>
      </w:pPr>
      <w:r>
        <w:rPr>
          <w:rStyle w:val="Refdenotaalpie"/>
        </w:rPr>
        <w:footnoteRef/>
      </w:r>
      <w:r w:rsidRPr="0062549E">
        <w:t xml:space="preserve"> Redacción de este artículo vigente desde el 12 de junio de 1988 hasta el 25 de mayo de 2007.</w:t>
      </w:r>
    </w:p>
    <w:p w14:paraId="4AC585AD" w14:textId="77777777" w:rsidR="007B7556" w:rsidRPr="0062549E" w:rsidRDefault="007B7556" w:rsidP="004B3B15">
      <w:pPr>
        <w:pStyle w:val="nota"/>
      </w:pPr>
      <w:r w:rsidRPr="0062549E">
        <w:t>Artículo 50. [Admisión del recurso de amparo]</w:t>
      </w:r>
    </w:p>
    <w:p w14:paraId="16A60C4D" w14:textId="77777777" w:rsidR="007B7556" w:rsidRPr="0062549E" w:rsidRDefault="007B7556" w:rsidP="004B3B15">
      <w:pPr>
        <w:pStyle w:val="nota"/>
        <w:rPr>
          <w:i/>
        </w:rPr>
      </w:pPr>
      <w:r w:rsidRPr="0062549E">
        <w:rPr>
          <w:i/>
        </w:rPr>
        <w:t>«1. La Sección, por unanimidad de sus miembros, podrá acordar mediante providencia la inadmisión del recurso cuando concurra alguno de los siguientes supuestos:</w:t>
      </w:r>
    </w:p>
    <w:p w14:paraId="7B32A043" w14:textId="77777777" w:rsidR="007B7556" w:rsidRPr="0062549E" w:rsidRDefault="007B7556" w:rsidP="004B3B15">
      <w:pPr>
        <w:pStyle w:val="nota"/>
        <w:rPr>
          <w:i/>
        </w:rPr>
      </w:pPr>
      <w:r w:rsidRPr="0062549E">
        <w:rPr>
          <w:i/>
        </w:rPr>
        <w:t>a) Que la demanda incumpla de manera manifiesta e insubsanable alguno de los requisitos contenidos en los artículos 41 a 46 o concurra en la misma el caso a que se refiere el artículo 4.2.</w:t>
      </w:r>
    </w:p>
    <w:p w14:paraId="603B36AE" w14:textId="77777777" w:rsidR="007B7556" w:rsidRPr="0062549E" w:rsidRDefault="007B7556" w:rsidP="004B3B15">
      <w:pPr>
        <w:pStyle w:val="nota"/>
        <w:rPr>
          <w:i/>
        </w:rPr>
      </w:pPr>
      <w:r w:rsidRPr="0062549E">
        <w:rPr>
          <w:i/>
        </w:rPr>
        <w:t>b) Que la demanda se deduzca respecto de derechos o libertades no susceptibles de amparo constitucional.</w:t>
      </w:r>
    </w:p>
    <w:p w14:paraId="5AAD934A" w14:textId="77777777" w:rsidR="007B7556" w:rsidRPr="0062549E" w:rsidRDefault="007B7556" w:rsidP="004B3B15">
      <w:pPr>
        <w:pStyle w:val="nota"/>
        <w:rPr>
          <w:i/>
        </w:rPr>
      </w:pPr>
      <w:r w:rsidRPr="0062549E">
        <w:rPr>
          <w:i/>
        </w:rPr>
        <w:t>c) Que la demanda carezca manifiestamente de contenido que justifique una decisión sobre el fondo de la misma por parte del Tribunal Constitucional.</w:t>
      </w:r>
    </w:p>
    <w:p w14:paraId="4FF8752B" w14:textId="77777777" w:rsidR="007B7556" w:rsidRPr="0062549E" w:rsidRDefault="007B7556" w:rsidP="004B3B15">
      <w:pPr>
        <w:pStyle w:val="nota"/>
        <w:rPr>
          <w:i/>
        </w:rPr>
      </w:pPr>
      <w:r w:rsidRPr="0062549E">
        <w:rPr>
          <w:i/>
        </w:rPr>
        <w:t>d) Que el Tribunal Constitucional hubiera ya desestimado en el fondo un recurso o cuestión de inconstitucionalidad o un recurso de amparo en supuesto sustancialmente igual, señalando expresamente en la providencia la resolución o resoluciones desestimatorias.</w:t>
      </w:r>
    </w:p>
    <w:p w14:paraId="09B3D30F" w14:textId="77777777" w:rsidR="007B7556" w:rsidRPr="0062549E" w:rsidRDefault="007B7556" w:rsidP="004B3B15">
      <w:pPr>
        <w:pStyle w:val="nota"/>
        <w:rPr>
          <w:i/>
        </w:rPr>
      </w:pPr>
      <w:r w:rsidRPr="0062549E">
        <w:rPr>
          <w:i/>
        </w:rPr>
        <w:t>2. La providencia a que se refiere el apartado anterior, que indicará el supuesto en el que se encuentra el recurso, se notificará al demandante y al Ministerio Fiscal. Contra dicha providencia solamente podrá recurrir el Ministerio Fiscal, en súplica, en el plazo de tres días. El recurso se resolverá mediante auto.</w:t>
      </w:r>
    </w:p>
    <w:p w14:paraId="52B49128" w14:textId="77777777" w:rsidR="007B7556" w:rsidRPr="0062549E" w:rsidRDefault="007B7556" w:rsidP="004B3B15">
      <w:pPr>
        <w:pStyle w:val="nota"/>
      </w:pPr>
      <w:r w:rsidRPr="0062549E">
        <w:t>3. Cuando en los supuestos a que alude el apartado primero no hubiere unanimidad, la Sección, previa audiencia del solicitante de amparo y del Ministerio Fiscal, por plazo común que no excederá de diez días, podrá acordar mediante auto la inadmisión del recurso.</w:t>
      </w:r>
    </w:p>
    <w:p w14:paraId="743199E6" w14:textId="77777777" w:rsidR="007B7556" w:rsidRPr="0062549E" w:rsidRDefault="007B7556" w:rsidP="004B3B15">
      <w:pPr>
        <w:pStyle w:val="nota"/>
      </w:pPr>
      <w:r w:rsidRPr="0062549E">
        <w:t>4. Contra los autos a los que se refieren los apartados 2 y 3 anteriores no cabrá recurso alguno.</w:t>
      </w:r>
    </w:p>
    <w:p w14:paraId="2DE9FBC0" w14:textId="77777777" w:rsidR="007B7556" w:rsidRPr="0062549E" w:rsidRDefault="007B7556" w:rsidP="004B3B15">
      <w:pPr>
        <w:pStyle w:val="nota"/>
      </w:pPr>
      <w:r w:rsidRPr="0062549E">
        <w:t>5. Cuando en la demanda de amparo concurran uno o varios defectos de naturaleza subsanable, la Sección procederá en la forma prevista en el artículo 85.2; de no producirse la subsanación dentro del plazo fijado en dicho precepto, la Sección acordará la inadmisión mediante providencia, contra la cual no cabrá recurso alguno».</w:t>
      </w:r>
    </w:p>
  </w:footnote>
  <w:footnote w:id="113">
    <w:p w14:paraId="046BBD82" w14:textId="7241AA98" w:rsidR="007B7556" w:rsidRPr="00E50553" w:rsidRDefault="007B7556" w:rsidP="004B3B15">
      <w:pPr>
        <w:pStyle w:val="nota"/>
      </w:pPr>
      <w:r>
        <w:rPr>
          <w:rStyle w:val="Refdenotaalpie"/>
        </w:rPr>
        <w:footnoteRef/>
      </w:r>
      <w:r w:rsidRPr="00E50553">
        <w:t xml:space="preserve"> La nueva redacción </w:t>
      </w:r>
      <w:r>
        <w:t>propuesta para el artículo 50 f</w:t>
      </w:r>
      <w:r w:rsidRPr="00E50553">
        <w:t xml:space="preserve">ue la </w:t>
      </w:r>
      <w:r w:rsidR="004B058B" w:rsidRPr="00E50553">
        <w:t>siguiente:</w:t>
      </w:r>
    </w:p>
    <w:p w14:paraId="3451E604" w14:textId="77777777" w:rsidR="007B7556" w:rsidRPr="00E50553" w:rsidRDefault="007B7556" w:rsidP="004B3B15">
      <w:pPr>
        <w:pStyle w:val="nota"/>
      </w:pPr>
      <w:r w:rsidRPr="00E50553">
        <w:t>«1. El recurso de amparo debe ser objeto de una</w:t>
      </w:r>
      <w:r>
        <w:t xml:space="preserve"> </w:t>
      </w:r>
      <w:r w:rsidRPr="00E50553">
        <w:t>decisión de admisión a trámite. La Sección, por unanimidad</w:t>
      </w:r>
      <w:r>
        <w:t xml:space="preserve"> </w:t>
      </w:r>
      <w:r w:rsidRPr="00E50553">
        <w:t>de sus miembros, acordará mediante providencia</w:t>
      </w:r>
      <w:r>
        <w:t xml:space="preserve"> </w:t>
      </w:r>
      <w:r w:rsidRPr="00E50553">
        <w:t>la admisión, en todo o en parte, del recurso solamente</w:t>
      </w:r>
      <w:r>
        <w:t xml:space="preserve"> </w:t>
      </w:r>
      <w:r w:rsidRPr="00E50553">
        <w:t>cuando concurran todos los siguientes requisitos:</w:t>
      </w:r>
    </w:p>
    <w:p w14:paraId="44F1ED5C" w14:textId="77777777" w:rsidR="007B7556" w:rsidRPr="00E50553" w:rsidRDefault="007B7556" w:rsidP="004B3B15">
      <w:pPr>
        <w:pStyle w:val="nota"/>
      </w:pPr>
      <w:r w:rsidRPr="00E50553">
        <w:t>a) Que la demanda cumpla con lo dispuesto en los</w:t>
      </w:r>
      <w:r>
        <w:t xml:space="preserve"> </w:t>
      </w:r>
      <w:r w:rsidRPr="00E50553">
        <w:t>artículos 41 a 46 y 49.</w:t>
      </w:r>
    </w:p>
    <w:p w14:paraId="102BCE52" w14:textId="77777777" w:rsidR="007B7556" w:rsidRPr="00E50553" w:rsidRDefault="007B7556" w:rsidP="004B3B15">
      <w:pPr>
        <w:pStyle w:val="nota"/>
      </w:pPr>
      <w:r w:rsidRPr="00E50553">
        <w:t>b) Que el contenido del recurso justifique una</w:t>
      </w:r>
      <w:r>
        <w:t xml:space="preserve"> </w:t>
      </w:r>
      <w:r w:rsidRPr="00E50553">
        <w:t>decisión sobre el fondo por parte del Tribunal Constitucional</w:t>
      </w:r>
    </w:p>
    <w:p w14:paraId="7B96E8D7" w14:textId="77777777" w:rsidR="007B7556" w:rsidRPr="00E50553" w:rsidRDefault="007B7556" w:rsidP="004B3B15">
      <w:pPr>
        <w:pStyle w:val="nota"/>
      </w:pPr>
      <w:r w:rsidRPr="00E50553">
        <w:t>en razón de su especial trascendencia constitucional,</w:t>
      </w:r>
      <w:r>
        <w:t xml:space="preserve"> </w:t>
      </w:r>
      <w:r w:rsidRPr="00E50553">
        <w:t>que se apreciará atendiendo a su importancia</w:t>
      </w:r>
    </w:p>
    <w:p w14:paraId="676F8421" w14:textId="77777777" w:rsidR="007B7556" w:rsidRPr="00E50553" w:rsidRDefault="007B7556" w:rsidP="004B3B15">
      <w:pPr>
        <w:pStyle w:val="nota"/>
      </w:pPr>
      <w:r w:rsidRPr="00E50553">
        <w:t>para la interpretación de la Constitución, para su aplicación</w:t>
      </w:r>
      <w:r>
        <w:t xml:space="preserve"> </w:t>
      </w:r>
      <w:r w:rsidRPr="00E50553">
        <w:t>o para su general eficacia, y para la determinación</w:t>
      </w:r>
      <w:r>
        <w:t xml:space="preserve"> </w:t>
      </w:r>
      <w:r w:rsidRPr="00E50553">
        <w:t>del contenido y alcance de los derechos fundamentales.</w:t>
      </w:r>
    </w:p>
    <w:p w14:paraId="3C2CC1ED" w14:textId="77777777" w:rsidR="007B7556" w:rsidRPr="00E50553" w:rsidRDefault="007B7556" w:rsidP="004B3B15">
      <w:pPr>
        <w:pStyle w:val="nota"/>
      </w:pPr>
      <w:r w:rsidRPr="00E50553">
        <w:t>2. Cuando la admisión a trámite, aun habiendo</w:t>
      </w:r>
      <w:r>
        <w:t xml:space="preserve"> </w:t>
      </w:r>
      <w:r w:rsidRPr="00E50553">
        <w:t>obtenido la mayoría, no alcance la unanimidad, la Sección</w:t>
      </w:r>
    </w:p>
    <w:p w14:paraId="1C187612" w14:textId="77777777" w:rsidR="007B7556" w:rsidRPr="00E50553" w:rsidRDefault="007B7556" w:rsidP="004B3B15">
      <w:pPr>
        <w:pStyle w:val="nota"/>
      </w:pPr>
      <w:r w:rsidRPr="00E50553">
        <w:t>trasladará la decisión a la Sala respectiva, que</w:t>
      </w:r>
      <w:r>
        <w:t xml:space="preserve"> </w:t>
      </w:r>
      <w:r w:rsidRPr="00E50553">
        <w:t>resolverá mediante providencia.</w:t>
      </w:r>
    </w:p>
    <w:p w14:paraId="71764343" w14:textId="77777777" w:rsidR="007B7556" w:rsidRPr="00E50553" w:rsidRDefault="007B7556" w:rsidP="004B3B15">
      <w:pPr>
        <w:pStyle w:val="nota"/>
      </w:pPr>
      <w:r w:rsidRPr="00E50553">
        <w:t>3. Las providencias de inadmisión, adoptadas por</w:t>
      </w:r>
      <w:r>
        <w:t xml:space="preserve"> </w:t>
      </w:r>
      <w:r w:rsidRPr="00E50553">
        <w:t>las Secciones o las Salas, se limitarán a especificar el</w:t>
      </w:r>
    </w:p>
    <w:p w14:paraId="60FF606B" w14:textId="77777777" w:rsidR="007B7556" w:rsidRPr="00E50553" w:rsidRDefault="007B7556" w:rsidP="004B3B15">
      <w:pPr>
        <w:pStyle w:val="nota"/>
      </w:pPr>
      <w:r w:rsidRPr="00E50553">
        <w:t>requisito incumplido y se notificarán al demandante y</w:t>
      </w:r>
      <w:r>
        <w:t xml:space="preserve"> </w:t>
      </w:r>
      <w:r w:rsidRPr="00E50553">
        <w:t>al Ministerio Fiscal. Dichas providencias solamente</w:t>
      </w:r>
    </w:p>
    <w:p w14:paraId="4022C51C" w14:textId="77777777" w:rsidR="007B7556" w:rsidRPr="00E50553" w:rsidRDefault="007B7556" w:rsidP="004B3B15">
      <w:pPr>
        <w:pStyle w:val="nota"/>
      </w:pPr>
      <w:r w:rsidRPr="00E50553">
        <w:t>podrán ser recurridas en súplica por el Ministerio Fiscal</w:t>
      </w:r>
      <w:r>
        <w:t xml:space="preserve"> </w:t>
      </w:r>
      <w:r w:rsidRPr="00E50553">
        <w:t>en el plazo de tres días. Este recurso se resolverá</w:t>
      </w:r>
    </w:p>
    <w:p w14:paraId="10F08DA7" w14:textId="77777777" w:rsidR="007B7556" w:rsidRPr="00E50553" w:rsidRDefault="007B7556" w:rsidP="004B3B15">
      <w:pPr>
        <w:pStyle w:val="nota"/>
      </w:pPr>
      <w:r w:rsidRPr="00E50553">
        <w:t>mediante auto, que no será susceptible de impugnación</w:t>
      </w:r>
      <w:r>
        <w:t xml:space="preserve"> </w:t>
      </w:r>
      <w:r w:rsidRPr="00E50553">
        <w:t>alguna.</w:t>
      </w:r>
    </w:p>
    <w:p w14:paraId="77770845" w14:textId="77777777" w:rsidR="007B7556" w:rsidRPr="00E50553" w:rsidRDefault="007B7556" w:rsidP="004B3B15">
      <w:pPr>
        <w:pStyle w:val="nota"/>
      </w:pPr>
      <w:r w:rsidRPr="00E50553">
        <w:t>4. Cuando en la demanda de amparo concurran</w:t>
      </w:r>
      <w:r>
        <w:t xml:space="preserve"> </w:t>
      </w:r>
      <w:r w:rsidRPr="00E50553">
        <w:t>uno o varios defectos de naturaleza subsanable, se procederá</w:t>
      </w:r>
      <w:r>
        <w:t xml:space="preserve"> </w:t>
      </w:r>
      <w:r w:rsidRPr="00E50553">
        <w:t>en la forma prevista en el artículo 49.4; de no</w:t>
      </w:r>
      <w:r>
        <w:t xml:space="preserve"> </w:t>
      </w:r>
      <w:r w:rsidRPr="00E50553">
        <w:t>producirse la subsanación dentro del plazo fijado en</w:t>
      </w:r>
      <w:r>
        <w:t xml:space="preserve"> </w:t>
      </w:r>
      <w:r w:rsidRPr="00E50553">
        <w:t>dicho precepto, la Sección acordará la inadmisión</w:t>
      </w:r>
      <w:r>
        <w:t xml:space="preserve"> </w:t>
      </w:r>
      <w:r w:rsidRPr="00E50553">
        <w:t>mediante providencia, contra la cual no cabrá recurso</w:t>
      </w:r>
      <w:r>
        <w:t xml:space="preserve"> </w:t>
      </w:r>
      <w:r w:rsidRPr="00E50553">
        <w:t>alguno</w:t>
      </w:r>
      <w:r>
        <w:t>».</w:t>
      </w:r>
    </w:p>
  </w:footnote>
  <w:footnote w:id="114">
    <w:p w14:paraId="2C853FA5" w14:textId="39A59BDD" w:rsidR="007B7556" w:rsidRPr="003F434A" w:rsidRDefault="007B7556" w:rsidP="004B3B15">
      <w:pPr>
        <w:pStyle w:val="nota"/>
      </w:pPr>
      <w:r>
        <w:rPr>
          <w:rStyle w:val="Refdenotaalpie"/>
        </w:rPr>
        <w:footnoteRef/>
      </w:r>
      <w:r w:rsidRPr="003F434A">
        <w:t xml:space="preserve"> La nueva redacción</w:t>
      </w:r>
      <w:r>
        <w:t xml:space="preserve"> propuesta de este artículo establecía</w:t>
      </w:r>
      <w:r w:rsidRPr="003F434A">
        <w:t xml:space="preserve"> lo </w:t>
      </w:r>
      <w:r w:rsidR="004B058B" w:rsidRPr="003F434A">
        <w:t>siguiente:</w:t>
      </w:r>
    </w:p>
    <w:p w14:paraId="0EE76B18" w14:textId="77777777" w:rsidR="007B7556" w:rsidRPr="003F434A" w:rsidRDefault="007B7556" w:rsidP="004B3B15">
      <w:pPr>
        <w:pStyle w:val="nota"/>
      </w:pPr>
      <w:r w:rsidRPr="003F434A">
        <w:t>El párrafo primero del apartado 1 del artículo 241 de la Ley Orgánica 6/1985, de 1 de julio, del Poder Judicial, queda redactado en los siguientes términos:</w:t>
      </w:r>
    </w:p>
    <w:p w14:paraId="5F043C80" w14:textId="77777777" w:rsidR="007B7556" w:rsidRPr="003F434A" w:rsidRDefault="007B7556" w:rsidP="004B3B15">
      <w:pPr>
        <w:pStyle w:val="nota"/>
        <w:rPr>
          <w:i/>
        </w:rPr>
      </w:pPr>
      <w:r w:rsidRPr="003F434A">
        <w:rPr>
          <w:i/>
        </w:rPr>
        <w:t>«1. No se admitirán con carácter general incidentes de nulidad de actuaciones. Sin embargo, excepcionalmente, quienes sean parte legítima o hubieran debido serlo podrán pedir por escrito que se declare la nulidad de actuaciones fundada en cualquier vulneración de un derecho fundamental de los referidos en el artículo 53.2 de la Constitución, siempre que no haya podido denunciarse antes de recaer resolución que ponga fin al proceso y siempre que dicha resolución no sea susceptible de recurso ordinario ni extraordinario.»</w:t>
      </w:r>
    </w:p>
  </w:footnote>
  <w:footnote w:id="115">
    <w:p w14:paraId="4091F0F6" w14:textId="77777777" w:rsidR="007B7556" w:rsidRPr="0062549E" w:rsidRDefault="007B7556" w:rsidP="004B3B15">
      <w:pPr>
        <w:pStyle w:val="nota"/>
      </w:pPr>
      <w:r>
        <w:rPr>
          <w:rStyle w:val="Refdenotaalpie"/>
        </w:rPr>
        <w:footnoteRef/>
      </w:r>
      <w:r w:rsidRPr="0062549E">
        <w:t xml:space="preserve"> BOCG. 23 de febrero de 2006.-Serie A. Núm. 60-7.</w:t>
      </w:r>
    </w:p>
  </w:footnote>
  <w:footnote w:id="116">
    <w:p w14:paraId="39D5EDE0" w14:textId="77777777" w:rsidR="007B7556" w:rsidRPr="0062549E" w:rsidRDefault="007B7556" w:rsidP="004B3B15">
      <w:pPr>
        <w:pStyle w:val="nota"/>
      </w:pPr>
      <w:r>
        <w:rPr>
          <w:rStyle w:val="Refdenotaalpie"/>
        </w:rPr>
        <w:footnoteRef/>
      </w:r>
      <w:r w:rsidRPr="0062549E">
        <w:t xml:space="preserve"> BOCG. 15 de marzo de 2007 Núm. 60-12. Pág.22.</w:t>
      </w:r>
    </w:p>
  </w:footnote>
  <w:footnote w:id="117">
    <w:p w14:paraId="5F13826A" w14:textId="77777777" w:rsidR="007B7556" w:rsidRPr="000E0204" w:rsidRDefault="007B7556" w:rsidP="004B3B15">
      <w:pPr>
        <w:pStyle w:val="nota"/>
      </w:pPr>
      <w:r>
        <w:rPr>
          <w:rStyle w:val="Refdenotaalpie"/>
        </w:rPr>
        <w:footnoteRef/>
      </w:r>
      <w:r w:rsidRPr="000E0204">
        <w:t xml:space="preserve"> </w:t>
      </w:r>
      <w:r>
        <w:t xml:space="preserve">FERNÁNDEZ FARRERES, G., “La reforma de la Ley Orgánica del Tribunal Constitucional. </w:t>
      </w:r>
      <w:r w:rsidRPr="000E0204">
        <w:t>(Comentario a la Ley Orgánica 6/2007, de 24 de mayo)</w:t>
      </w:r>
      <w:r>
        <w:t xml:space="preserve">”, </w:t>
      </w:r>
      <w:r>
        <w:rPr>
          <w:i/>
        </w:rPr>
        <w:t xml:space="preserve">Revista Española de Derecho Constitucional, </w:t>
      </w:r>
      <w:r w:rsidRPr="000E0204">
        <w:t>núm. 81, septiemb</w:t>
      </w:r>
      <w:r>
        <w:t>re-diciembre (2007), pág. 12.</w:t>
      </w:r>
    </w:p>
  </w:footnote>
  <w:footnote w:id="118">
    <w:p w14:paraId="1732B471" w14:textId="70578E6D" w:rsidR="007B7556" w:rsidRDefault="007B7556" w:rsidP="00F84132">
      <w:pPr>
        <w:pStyle w:val="nota"/>
      </w:pPr>
      <w:r>
        <w:rPr>
          <w:rStyle w:val="Refdenotaalpie"/>
        </w:rPr>
        <w:footnoteRef/>
      </w:r>
      <w:r>
        <w:t xml:space="preserve"> Sobre la reforma de la LO 6/2007 puede consultarse: ARAGÓN REYES, M., “La reforma de la Ley Orgánica del Tribunal Constitucional”, </w:t>
      </w:r>
      <w:r w:rsidRPr="00F84132">
        <w:rPr>
          <w:i/>
          <w:iCs/>
        </w:rPr>
        <w:t>Revista Española de Derecho Constitucional</w:t>
      </w:r>
      <w:r>
        <w:rPr>
          <w:i/>
          <w:iCs/>
        </w:rPr>
        <w:t xml:space="preserve">, </w:t>
      </w:r>
      <w:r>
        <w:t xml:space="preserve">núm. 85, enero-abril 2009, págs. 11-43. BACHMAIER WINTER, L., “La reforma del recurso de amparo en la Ley Orgánica 6/2007, de 24 de mayo”, </w:t>
      </w:r>
      <w:r w:rsidRPr="00F84132">
        <w:rPr>
          <w:i/>
          <w:iCs/>
        </w:rPr>
        <w:t>Diario La Ley</w:t>
      </w:r>
      <w:r>
        <w:t xml:space="preserve">, núm. 6775, 2007, págs. 1-5. BIEDMA FERRER, J., "El recurso de amparo constitucional: la reforma de la ley orgánica del tribunal constitucional 6/2007 y el trámite de admisión", </w:t>
      </w:r>
      <w:r w:rsidRPr="00F84132">
        <w:rPr>
          <w:i/>
          <w:iCs/>
        </w:rPr>
        <w:t>Contribuciones a las Ciencias Sociales</w:t>
      </w:r>
      <w:r>
        <w:t xml:space="preserve">, 2012. FERNANDEZ FARRERES, G., “La reforma de la Ley Orgánica del Tribunal Constitucional. </w:t>
      </w:r>
      <w:r w:rsidRPr="000E0204">
        <w:t>(Comentario a la Ley Orgánica 6/2007, de 24 de mayo)</w:t>
      </w:r>
      <w:r>
        <w:t xml:space="preserve">”, </w:t>
      </w:r>
      <w:r>
        <w:rPr>
          <w:i/>
        </w:rPr>
        <w:t xml:space="preserve">Revista Española de Derecho Constitucional, </w:t>
      </w:r>
      <w:r w:rsidRPr="000E0204">
        <w:t>núm. 81, septiemb</w:t>
      </w:r>
      <w:r>
        <w:t xml:space="preserve">re-diciembre (2007), págs. 11-62. FERNÁNDEZ SEGADO, F., “La reforma del régimen jurídico-procesal del recurso de amparo en España”, </w:t>
      </w:r>
      <w:r w:rsidRPr="00F420AB">
        <w:rPr>
          <w:i/>
          <w:iCs/>
        </w:rPr>
        <w:t>Revista de Derecho</w:t>
      </w:r>
      <w:r>
        <w:t xml:space="preserve">, Uruguay, págs. 87-133. FOSSAS ESPADALER, E., “El proyecto de reforma de la Ley Orgánica del Tribunal Constitucional”, </w:t>
      </w:r>
      <w:r w:rsidRPr="00F420AB">
        <w:rPr>
          <w:i/>
          <w:iCs/>
        </w:rPr>
        <w:t>Revista General de Derecho Constitucional</w:t>
      </w:r>
      <w:r>
        <w:t>, núm. 1, junio 2006. GARBERÍ LLOBREGAT, J.</w:t>
      </w:r>
      <w:r w:rsidR="004B058B">
        <w:t>, “</w:t>
      </w:r>
      <w:r>
        <w:t>Doctrina sobre la proyectada reforma del Tribunal Constitucional y del recurso de amparo</w:t>
      </w:r>
      <w:r w:rsidR="004B058B">
        <w:t>”,</w:t>
      </w:r>
      <w:r>
        <w:t xml:space="preserve"> </w:t>
      </w:r>
      <w:r w:rsidRPr="00F420AB">
        <w:rPr>
          <w:i/>
          <w:iCs/>
        </w:rPr>
        <w:t>Diario La Ley</w:t>
      </w:r>
      <w:r>
        <w:t>, núm. 6413, 2006. GUI MORI, T.</w:t>
      </w:r>
      <w:r w:rsidR="004B058B">
        <w:t>, “</w:t>
      </w:r>
      <w:r>
        <w:t xml:space="preserve">La modificación de la Ley Orgánica del Tribunal Constitucional. Profunda reforma del recurso de amparo y de la nulidad de actuaciones”, </w:t>
      </w:r>
      <w:r w:rsidRPr="00F420AB">
        <w:rPr>
          <w:i/>
          <w:iCs/>
        </w:rPr>
        <w:t>Diario La Ley</w:t>
      </w:r>
      <w:r>
        <w:t>, núm. 6791, 2007. HERRERA GARCÍA, A., “La reforma del recurso de amparo en la Ley Orgánica del Tribunal Constitucional español: perspectivas de su funcionalidad frente a las leyes</w:t>
      </w:r>
      <w:r w:rsidRPr="00F420AB">
        <w:rPr>
          <w:i/>
          <w:iCs/>
        </w:rPr>
        <w:t>”, DR</w:t>
      </w:r>
      <w:r>
        <w:t xml:space="preserve">, 2013, págs. 301-340. PATRONI GRIFFI, P., “La reforma del recurso de amparo y la Ley Orgánica 6/2007 vistas desde Italia. El alcance expansivo del recurso individual directo (como acceso sustancialmente alternativo a la vía incidental)”, </w:t>
      </w:r>
      <w:r w:rsidRPr="00F420AB">
        <w:rPr>
          <w:i/>
          <w:iCs/>
        </w:rPr>
        <w:t xml:space="preserve">Revista </w:t>
      </w:r>
      <w:r>
        <w:rPr>
          <w:i/>
          <w:iCs/>
        </w:rPr>
        <w:t xml:space="preserve">de </w:t>
      </w:r>
      <w:r w:rsidRPr="00F420AB">
        <w:rPr>
          <w:i/>
          <w:iCs/>
        </w:rPr>
        <w:t>Derecho Constitucional</w:t>
      </w:r>
      <w:r>
        <w:rPr>
          <w:i/>
          <w:iCs/>
        </w:rPr>
        <w:t xml:space="preserve"> Europeo</w:t>
      </w:r>
      <w:r>
        <w:t xml:space="preserve">, núm. 19, </w:t>
      </w:r>
      <w:r w:rsidR="004B058B">
        <w:t>2013, págs.</w:t>
      </w:r>
      <w:r>
        <w:t xml:space="preserve"> 311-373. </w:t>
      </w:r>
      <w:r w:rsidR="004B058B">
        <w:t>ROMBOLI, R.</w:t>
      </w:r>
      <w:r>
        <w:t xml:space="preserve">, “La reforma del recurso de amparo ante el Tribunal Constitucional en España, y la introducción de un recurso individual y directo en Italia, </w:t>
      </w:r>
      <w:r w:rsidRPr="000344A3">
        <w:rPr>
          <w:i/>
          <w:iCs/>
        </w:rPr>
        <w:t>Revista de Derecho Constitucional Europeo,</w:t>
      </w:r>
      <w:r>
        <w:t xml:space="preserve"> n</w:t>
      </w:r>
      <w:r w:rsidRPr="00F420AB">
        <w:t xml:space="preserve">úm. </w:t>
      </w:r>
      <w:r w:rsidR="004B058B" w:rsidRPr="00F420AB">
        <w:t>11</w:t>
      </w:r>
      <w:r w:rsidR="004B058B">
        <w:t xml:space="preserve">, </w:t>
      </w:r>
      <w:r w:rsidR="004B058B" w:rsidRPr="00F420AB">
        <w:t>enero</w:t>
      </w:r>
      <w:r w:rsidRPr="00F420AB">
        <w:t>-junio</w:t>
      </w:r>
      <w:r>
        <w:t xml:space="preserve"> </w:t>
      </w:r>
      <w:r w:rsidRPr="00F420AB">
        <w:t>2009</w:t>
      </w:r>
      <w:r>
        <w:t>,</w:t>
      </w:r>
      <w:r w:rsidRPr="00F420AB">
        <w:t xml:space="preserve"> </w:t>
      </w:r>
      <w:r>
        <w:t>p</w:t>
      </w:r>
      <w:r w:rsidRPr="00F420AB">
        <w:t>ágs. 319-362</w:t>
      </w:r>
      <w:r>
        <w:t xml:space="preserve">. SEGÚ VILLUENDAS, E., “Tiro de gracia al recurso de amparo. La reforma introducida por la Ley Orgánica 6/2007”, </w:t>
      </w:r>
      <w:r w:rsidRPr="000344A3">
        <w:rPr>
          <w:i/>
          <w:iCs/>
        </w:rPr>
        <w:t>Diario La Ley</w:t>
      </w:r>
      <w:r>
        <w:t xml:space="preserve">, núm. 7041, Sección Tribuna, 2008. TENORIO, P., “Derechos en serio, recurso de amparo, reordenación de la garantía judicial y reforma de la Ley Orgánica del Poder Judicial”, </w:t>
      </w:r>
      <w:r w:rsidRPr="000344A3">
        <w:rPr>
          <w:i/>
          <w:iCs/>
        </w:rPr>
        <w:t>Revista de Derecho Político</w:t>
      </w:r>
      <w:r>
        <w:t>, núm. 88, septiembre-diciembre 2013, págs. 123-168. ULLOA RUBIO, I., “La reforma de la LOTC efectuada por la LO 6/2007, de 24 de mayo</w:t>
      </w:r>
      <w:r w:rsidR="004B058B">
        <w:t>”, Diario</w:t>
      </w:r>
      <w:r>
        <w:t xml:space="preserve"> La Ley, núm. 6753, 2007.</w:t>
      </w:r>
    </w:p>
  </w:footnote>
  <w:footnote w:id="119">
    <w:p w14:paraId="0A7F06C2" w14:textId="3EE4F7AA" w:rsidR="007B7556" w:rsidRPr="006462B2" w:rsidRDefault="007B7556" w:rsidP="004B3B15">
      <w:pPr>
        <w:pStyle w:val="nota"/>
      </w:pPr>
      <w:r>
        <w:rPr>
          <w:rStyle w:val="Refdenotaalpie"/>
        </w:rPr>
        <w:footnoteRef/>
      </w:r>
      <w:r w:rsidRPr="006462B2">
        <w:t xml:space="preserve"> CRUZ VILLALÓN</w:t>
      </w:r>
      <w:r>
        <w:t>, P</w:t>
      </w:r>
      <w:r w:rsidRPr="006462B2">
        <w:t>. “El recurso de amparo constitucion</w:t>
      </w:r>
      <w:r>
        <w:t>al. I. El juez y el legislador”, en AA.VV</w:t>
      </w:r>
      <w:r w:rsidRPr="006462B2">
        <w:rPr>
          <w:i/>
        </w:rPr>
        <w:t>.</w:t>
      </w:r>
      <w:r w:rsidR="004B058B" w:rsidRPr="006462B2">
        <w:rPr>
          <w:i/>
        </w:rPr>
        <w:t xml:space="preserve">, </w:t>
      </w:r>
      <w:r w:rsidR="004B058B">
        <w:rPr>
          <w:i/>
        </w:rPr>
        <w:t>Los</w:t>
      </w:r>
      <w:r>
        <w:rPr>
          <w:i/>
        </w:rPr>
        <w:t xml:space="preserve"> procesos </w:t>
      </w:r>
      <w:r w:rsidR="004B058B">
        <w:rPr>
          <w:i/>
        </w:rPr>
        <w:t xml:space="preserve">constitucionales, </w:t>
      </w:r>
      <w:r w:rsidR="004B058B" w:rsidRPr="006462B2">
        <w:t>Madrid</w:t>
      </w:r>
      <w:r w:rsidRPr="006462B2">
        <w:t>: CEC, 1992, p. 118.</w:t>
      </w:r>
    </w:p>
  </w:footnote>
  <w:footnote w:id="120">
    <w:p w14:paraId="463309AE" w14:textId="77777777" w:rsidR="007B7556" w:rsidRPr="005A1A4C" w:rsidRDefault="007B7556" w:rsidP="004B3B15">
      <w:pPr>
        <w:pStyle w:val="nota"/>
      </w:pPr>
      <w:r>
        <w:rPr>
          <w:rStyle w:val="Refdenotaalpie"/>
        </w:rPr>
        <w:footnoteRef/>
      </w:r>
      <w:r w:rsidRPr="005A1A4C">
        <w:t xml:space="preserve"> </w:t>
      </w:r>
      <w:r>
        <w:t>E</w:t>
      </w:r>
      <w:r w:rsidRPr="005A1A4C">
        <w:t xml:space="preserve">sta Ley introduce más novedades y modificaciones además de las relativas al recurso de amparo, pese a ser la reforma de éste su principal objetivo. </w:t>
      </w:r>
      <w:r>
        <w:t xml:space="preserve">En nuestro trabajo sólo nos centraremos en lo relativo al amparo y al incidente de nulidad de actuaciones, pero cabe destacar las siguientes: </w:t>
      </w:r>
    </w:p>
    <w:p w14:paraId="2F0743CF" w14:textId="77777777" w:rsidR="007B7556" w:rsidRPr="005A1A4C" w:rsidRDefault="007B7556" w:rsidP="004B3B15">
      <w:pPr>
        <w:pStyle w:val="nota"/>
      </w:pPr>
      <w:r w:rsidRPr="005A1A4C">
        <w:t>Se aumenta el papel de las partes litigantes en el proceso judicial. En el caso de que se plantee una cuestión de inconstitucionalidad, se les permite realizar alegaciones sobre la pertinencia de plantear la cuestión de inconstitucionalidad y, además, también se permiten alegaciones sobre el fondo de la cuestión.  Por otra parte, se introduce la posibilidad de personación de los litigantes del proceso judicial ante el Tribunal Constitucional en los 15 días siguientes a su publicación en el «Boletín Oficial del Estado» de la admisión a trámite de las cuestiones de inconstitucionalidad. De este modo se permite la contradicción en este procedimiento de constitucionalidad. Esto es una consecuencia de la condena a España por parte del Trib</w:t>
      </w:r>
      <w:r>
        <w:t>unal Europeo de Derecho Humanos</w:t>
      </w:r>
      <w:r w:rsidRPr="005A1A4C">
        <w:t>.</w:t>
      </w:r>
    </w:p>
    <w:p w14:paraId="44C12FBF" w14:textId="77777777" w:rsidR="007B7556" w:rsidRDefault="007B7556" w:rsidP="004B3B15">
      <w:pPr>
        <w:pStyle w:val="nota"/>
      </w:pPr>
      <w:r w:rsidRPr="005A1A4C">
        <w:t>Se regula la elección de los candidatos a Magistrados del Tribunal Constitucional. Atendiendo a la nueva regulación, “Los Magistrados propuestos por el Senado serán elegidos entre los candidatos presentados por las Asambleas Legislativas de las Comunidades Autónomas en los términos que determ</w:t>
      </w:r>
      <w:r>
        <w:t>ine el Reglamento de la Cámara</w:t>
      </w:r>
      <w:r w:rsidRPr="005A1A4C">
        <w:t>”</w:t>
      </w:r>
      <w:r>
        <w:t xml:space="preserve">. </w:t>
      </w:r>
      <w:r w:rsidRPr="005A1A4C">
        <w:t>Además, los candidatos propuestos por el Congreso y por el Senado deberán comparecer previamente ante las correspondientes Comisiones en los términos que dispongan los respectivos Reglamentos.</w:t>
      </w:r>
    </w:p>
    <w:p w14:paraId="42517A2B" w14:textId="77777777" w:rsidR="007B7556" w:rsidRPr="005A1A4C" w:rsidRDefault="007B7556" w:rsidP="004B3B15">
      <w:pPr>
        <w:pStyle w:val="nota"/>
      </w:pPr>
      <w:r>
        <w:t>Prórroga del mandato del Presidente y Vicepresidente.</w:t>
      </w:r>
    </w:p>
    <w:p w14:paraId="4AC89DE9" w14:textId="77777777" w:rsidR="007B7556" w:rsidRDefault="007B7556" w:rsidP="004B3B15">
      <w:pPr>
        <w:pStyle w:val="nota"/>
      </w:pPr>
      <w:r w:rsidRPr="005A1A4C">
        <w:t>Se refuerza el estatuto de los Magistrados del Tribunal Constitucional.</w:t>
      </w:r>
    </w:p>
    <w:p w14:paraId="0D5EC8C4" w14:textId="77777777" w:rsidR="007B7556" w:rsidRPr="005A1A4C" w:rsidRDefault="007B7556" w:rsidP="004B3B15">
      <w:pPr>
        <w:pStyle w:val="nota"/>
      </w:pPr>
      <w:r>
        <w:t>Se prevén multas por recurrir con temeridad o abuso de derecho.</w:t>
      </w:r>
    </w:p>
    <w:p w14:paraId="0848C7DF" w14:textId="77777777" w:rsidR="007B7556" w:rsidRPr="005A1A4C" w:rsidRDefault="007B7556" w:rsidP="004B3B15">
      <w:pPr>
        <w:pStyle w:val="Textonotapie"/>
      </w:pPr>
    </w:p>
  </w:footnote>
  <w:footnote w:id="121">
    <w:p w14:paraId="6B28601E" w14:textId="77777777" w:rsidR="007B7556" w:rsidRPr="0062549E" w:rsidRDefault="007B7556" w:rsidP="004B3B15">
      <w:pPr>
        <w:pStyle w:val="nota"/>
      </w:pPr>
      <w:r>
        <w:rPr>
          <w:rStyle w:val="Refdenotaalpie"/>
        </w:rPr>
        <w:footnoteRef/>
      </w:r>
      <w:r w:rsidRPr="0062549E">
        <w:t xml:space="preserve"> PATRONI GRIFFI, A., «La reforma del recurso de amparo y la Ley Orgánica 6/2007 vistas desde Italia. El alcance expansivo del recurso individual directo (como acceso sustancialmente alternativo a la vía incidental)», </w:t>
      </w:r>
      <w:r w:rsidRPr="0062549E">
        <w:rPr>
          <w:i/>
        </w:rPr>
        <w:t>Revista de Derecho Constitucional Europeo</w:t>
      </w:r>
      <w:r w:rsidRPr="0062549E">
        <w:t xml:space="preserve">, 2013, </w:t>
      </w:r>
      <w:proofErr w:type="spellStart"/>
      <w:r w:rsidRPr="0062549E">
        <w:t>nº</w:t>
      </w:r>
      <w:proofErr w:type="spellEnd"/>
      <w:r w:rsidRPr="0062549E">
        <w:t xml:space="preserve"> 19, pág. 336.</w:t>
      </w:r>
    </w:p>
  </w:footnote>
  <w:footnote w:id="122">
    <w:p w14:paraId="06FC6240" w14:textId="77777777" w:rsidR="007B7556" w:rsidRPr="0062549E" w:rsidRDefault="007B7556" w:rsidP="004B3B15">
      <w:pPr>
        <w:pStyle w:val="nota"/>
      </w:pPr>
      <w:r>
        <w:rPr>
          <w:rStyle w:val="Refdenotaalpie"/>
        </w:rPr>
        <w:footnoteRef/>
      </w:r>
      <w:r w:rsidRPr="0062549E">
        <w:t xml:space="preserve"> </w:t>
      </w:r>
      <w:proofErr w:type="spellStart"/>
      <w:r w:rsidRPr="0062549E">
        <w:t>Ibídem</w:t>
      </w:r>
      <w:proofErr w:type="spellEnd"/>
      <w:r w:rsidRPr="0062549E">
        <w:t>.</w:t>
      </w:r>
    </w:p>
  </w:footnote>
  <w:footnote w:id="123">
    <w:p w14:paraId="2C4A474E" w14:textId="3D51E3FA" w:rsidR="007B7556" w:rsidRDefault="007B7556" w:rsidP="00093B4B">
      <w:pPr>
        <w:pStyle w:val="nota"/>
      </w:pPr>
      <w:r>
        <w:rPr>
          <w:rStyle w:val="Refdenotaalpie"/>
        </w:rPr>
        <w:footnoteRef/>
      </w:r>
      <w:r>
        <w:t xml:space="preserve"> Sobre la regulación del recurso de amparo puede consultarse: BORRAJO INIESTA, I., “Mitos y realidades de la jurisdicción constitucional de amparo: hechos, derecho, pronunciamientos, admisión, costes”, </w:t>
      </w:r>
      <w:r w:rsidRPr="00093B4B">
        <w:rPr>
          <w:i/>
          <w:iCs/>
        </w:rPr>
        <w:t>Teoría del Derecho</w:t>
      </w:r>
      <w:r>
        <w:t xml:space="preserve">, núm. 3, 2008, págs. 158-204. CABALLERO SÁNCHEZ-IZQUIERDO, J. M., “Tribunal Constitucional, recurso de amparo y seguridad jurídica”, </w:t>
      </w:r>
      <w:r w:rsidRPr="00093B4B">
        <w:rPr>
          <w:i/>
          <w:iCs/>
        </w:rPr>
        <w:t>Diario La Ley</w:t>
      </w:r>
      <w:r>
        <w:t xml:space="preserve">, núm. 6883, Sección Doctrina, 2008. AA. VV., “Encuesta sobre la reforma de la Ley Orgánica del Tribunal Constitucional, </w:t>
      </w:r>
      <w:r w:rsidRPr="00093B4B">
        <w:rPr>
          <w:i/>
          <w:iCs/>
        </w:rPr>
        <w:t>Teoría y Realidad Constitucional</w:t>
      </w:r>
      <w:r>
        <w:t xml:space="preserve">, núm. 18, 2006, págs. 11-73. NOREÑA SALTO, J. R., “La legitimación en el recurso de amparo: reglas generales y supuestos especiales”, </w:t>
      </w:r>
      <w:r w:rsidRPr="00093B4B">
        <w:rPr>
          <w:i/>
          <w:iCs/>
        </w:rPr>
        <w:t>Diario La Ley</w:t>
      </w:r>
      <w:r>
        <w:t>, núm. 7838, Sección Tribuna, 2012. SÁNCHEZ GARRIDO, J. A.</w:t>
      </w:r>
      <w:r w:rsidR="004B058B">
        <w:t>, “</w:t>
      </w:r>
      <w:r>
        <w:t xml:space="preserve">Resoluciones recurribles en vía de amparo”, </w:t>
      </w:r>
      <w:r w:rsidRPr="00093B4B">
        <w:rPr>
          <w:i/>
          <w:iCs/>
        </w:rPr>
        <w:t>Diario La Ley</w:t>
      </w:r>
      <w:r>
        <w:t>, núm.7838, Sección Tribuna, 2012.</w:t>
      </w:r>
    </w:p>
  </w:footnote>
  <w:footnote w:id="124">
    <w:p w14:paraId="6AFA329D" w14:textId="0EBDAA76" w:rsidR="007B7556" w:rsidRPr="00D22924" w:rsidRDefault="007B7556" w:rsidP="007A6B28">
      <w:pPr>
        <w:pStyle w:val="nota"/>
      </w:pPr>
      <w:r>
        <w:rPr>
          <w:rStyle w:val="Refdenotaalpie"/>
        </w:rPr>
        <w:footnoteRef/>
      </w:r>
      <w:r w:rsidRPr="00D22924">
        <w:t xml:space="preserve"> La Ley también introdujo otras modificaciones en las que no centraremos nuestra atención como la </w:t>
      </w:r>
      <w:r w:rsidR="004B058B" w:rsidRPr="00D22924">
        <w:t>intensificación del</w:t>
      </w:r>
      <w:r w:rsidRPr="00D22924">
        <w:t xml:space="preserve"> papel de las partes litigantes del proceso judicial en el que se plantee una cuestión de inconstitucionalidad, la introducción de una nueva regulación de la cuestión interna de constitucionalidad, se reguló la figura del letrado de adscripción temporal, la apertura del Cuerpo de Letrados a especialistas de todas las ramas del derecho y algunas otras más.</w:t>
      </w:r>
    </w:p>
  </w:footnote>
  <w:footnote w:id="125">
    <w:p w14:paraId="1B749B5C" w14:textId="77777777" w:rsidR="007B7556" w:rsidRPr="0062549E" w:rsidRDefault="007B7556" w:rsidP="006F44C0">
      <w:pPr>
        <w:pStyle w:val="nota"/>
      </w:pPr>
      <w:r>
        <w:rPr>
          <w:rStyle w:val="Refdenotaalpie"/>
        </w:rPr>
        <w:footnoteRef/>
      </w:r>
      <w:r w:rsidRPr="0062549E">
        <w:t xml:space="preserve"> Este apartado establece lo siguiente:</w:t>
      </w:r>
    </w:p>
    <w:p w14:paraId="6378E8AB" w14:textId="77777777" w:rsidR="007B7556" w:rsidRPr="0062549E" w:rsidRDefault="007B7556" w:rsidP="006F44C0">
      <w:pPr>
        <w:pStyle w:val="nota"/>
        <w:rPr>
          <w:i/>
        </w:rPr>
      </w:pPr>
      <w:r w:rsidRPr="0062549E">
        <w:rPr>
          <w:i/>
        </w:rPr>
        <w:t>“Uno. Los derechos y libertades reconocidos en los artículos catorce a veintinueve de la Constitución serán susceptibles de amparo constitucional, en los casos y formas que esta Ley establece, sin perjuicio de su tutela general encomendada a los Tribunales de Justicia. Igual protección será aplicable a la objeción de conciencia reconocida en el artículo treinta de la Constitución”.</w:t>
      </w:r>
    </w:p>
  </w:footnote>
  <w:footnote w:id="126">
    <w:p w14:paraId="6FDF34F4" w14:textId="2EAD4AE8" w:rsidR="007B7556" w:rsidRPr="0062549E" w:rsidRDefault="007B7556" w:rsidP="006F44C0">
      <w:pPr>
        <w:pStyle w:val="nota"/>
      </w:pPr>
      <w:r>
        <w:rPr>
          <w:rStyle w:val="Refdenotaalpie"/>
        </w:rPr>
        <w:footnoteRef/>
      </w:r>
      <w:r w:rsidRPr="0062549E">
        <w:t xml:space="preserve"> DIEZ-PICAZO, L. M., «Dificultades prácticas y significado constitucional del recurso de amparo». </w:t>
      </w:r>
      <w:r w:rsidRPr="0062549E">
        <w:rPr>
          <w:i/>
        </w:rPr>
        <w:t>Revista Española de Derecho Constitucional</w:t>
      </w:r>
      <w:r w:rsidRPr="0062549E">
        <w:t>. Año 14. Núm. 40. Enero-</w:t>
      </w:r>
      <w:r w:rsidR="004B058B" w:rsidRPr="0062549E">
        <w:t>abril</w:t>
      </w:r>
      <w:r w:rsidRPr="0062549E">
        <w:t xml:space="preserve"> 1994. Pág. 12</w:t>
      </w:r>
      <w:r>
        <w:t xml:space="preserve">. </w:t>
      </w:r>
      <w:r w:rsidRPr="0062549E">
        <w:t xml:space="preserve">REVENGA SÁNCHEZ, M., «Las paradojas del recurso de amparo tras la primera década de jurisprudencia constitucional (1981-1991)». </w:t>
      </w:r>
      <w:r w:rsidRPr="0062549E">
        <w:rPr>
          <w:i/>
        </w:rPr>
        <w:t>Revista Española de Derecho Constitucional</w:t>
      </w:r>
      <w:r w:rsidRPr="0062549E">
        <w:t>. Año 14. Núm. 41. Mayo-</w:t>
      </w:r>
      <w:r w:rsidR="004B058B" w:rsidRPr="0062549E">
        <w:t>agosto</w:t>
      </w:r>
      <w:r w:rsidRPr="0062549E">
        <w:t xml:space="preserve"> 1994. Pág. 30</w:t>
      </w:r>
      <w:r>
        <w:t xml:space="preserve">. </w:t>
      </w:r>
      <w:r w:rsidRPr="0062549E">
        <w:t>BIEDMA FERRER, J.M., «El recurso de amparo constitucional: la reforma de la Ley Orgánica del Tribunal Constitucional 6/2007 y el trámite de admisión», en www.eumed.net/rev/cccss/17/, pág. 3.</w:t>
      </w:r>
      <w:r>
        <w:t xml:space="preserve"> </w:t>
      </w:r>
    </w:p>
  </w:footnote>
  <w:footnote w:id="127">
    <w:p w14:paraId="60FF5D2A" w14:textId="77777777" w:rsidR="007B7556" w:rsidRPr="0062549E" w:rsidRDefault="007B7556" w:rsidP="006F44C0">
      <w:pPr>
        <w:pStyle w:val="nota"/>
      </w:pPr>
      <w:r>
        <w:rPr>
          <w:rStyle w:val="Refdenotaalpie"/>
        </w:rPr>
        <w:footnoteRef/>
      </w:r>
      <w:r w:rsidRPr="0062549E">
        <w:t xml:space="preserve"> Entre los autores que propusieron la eliminación de los derechos contenidos en el artículo 24 CE destacan:</w:t>
      </w:r>
    </w:p>
    <w:p w14:paraId="3FA5FD15" w14:textId="77777777" w:rsidR="007B7556" w:rsidRPr="0062549E" w:rsidRDefault="007B7556" w:rsidP="006F44C0">
      <w:pPr>
        <w:pStyle w:val="nota"/>
      </w:pPr>
      <w:r w:rsidRPr="0062549E">
        <w:t xml:space="preserve">JIMÉNEZ CONDE, F., «Problemas actuales del recurso de amparo», VV. AA. </w:t>
      </w:r>
      <w:r w:rsidRPr="0062549E">
        <w:rPr>
          <w:i/>
        </w:rPr>
        <w:t>Anuario de Derecho Constitucional y Parlamentario</w:t>
      </w:r>
      <w:r w:rsidRPr="0062549E">
        <w:t>, núm. 2, 1990, pp. 192-193</w:t>
      </w:r>
    </w:p>
    <w:p w14:paraId="5DEAECE3" w14:textId="77777777" w:rsidR="007B7556" w:rsidRPr="0062549E" w:rsidRDefault="007B7556" w:rsidP="006F44C0">
      <w:pPr>
        <w:pStyle w:val="nota"/>
      </w:pPr>
      <w:r w:rsidRPr="0062549E">
        <w:t xml:space="preserve">RUBIO LLORENTE, F., «El recurso de amparo», </w:t>
      </w:r>
      <w:r w:rsidRPr="0062549E">
        <w:rPr>
          <w:i/>
        </w:rPr>
        <w:t>Estudios sobre Jurisdicción Constitucional</w:t>
      </w:r>
      <w:r w:rsidRPr="0062549E">
        <w:t>, Madrid, 1998, p. 58 y ss.</w:t>
      </w:r>
    </w:p>
    <w:p w14:paraId="188EADA3" w14:textId="77777777" w:rsidR="007B7556" w:rsidRPr="0062549E" w:rsidRDefault="007B7556" w:rsidP="006F44C0">
      <w:pPr>
        <w:pStyle w:val="nota"/>
      </w:pPr>
      <w:r w:rsidRPr="0062549E">
        <w:t xml:space="preserve">SANTAOLALLA LÓPEZ, F., «El recurso de amparo y el desamparo del Tribunal Constitucional», </w:t>
      </w:r>
      <w:r w:rsidRPr="0062549E">
        <w:rPr>
          <w:i/>
        </w:rPr>
        <w:t>Revista de Derecho Político</w:t>
      </w:r>
      <w:r w:rsidRPr="0062549E">
        <w:t>, 1987, núm. 24, p. 164 y ss.</w:t>
      </w:r>
    </w:p>
  </w:footnote>
  <w:footnote w:id="128">
    <w:p w14:paraId="34A812A5" w14:textId="12F1B23C" w:rsidR="007B7556" w:rsidRPr="00911046" w:rsidRDefault="007B7556" w:rsidP="006F44C0">
      <w:pPr>
        <w:pStyle w:val="nota"/>
      </w:pPr>
      <w:r>
        <w:rPr>
          <w:rStyle w:val="Refdenotaalpie"/>
        </w:rPr>
        <w:footnoteRef/>
      </w:r>
      <w:r w:rsidRPr="00911046">
        <w:t xml:space="preserve"> </w:t>
      </w:r>
      <w:r>
        <w:t>DÍEZ PICAZO, L. M., “Dificultades prá</w:t>
      </w:r>
      <w:r w:rsidRPr="00911046">
        <w:t>cticas</w:t>
      </w:r>
      <w:r>
        <w:t xml:space="preserve"> </w:t>
      </w:r>
      <w:r w:rsidRPr="00911046">
        <w:t>y significado constitucional</w:t>
      </w:r>
      <w:r>
        <w:t xml:space="preserve"> </w:t>
      </w:r>
      <w:r w:rsidRPr="00911046">
        <w:t>del recurso de amparo</w:t>
      </w:r>
      <w:r>
        <w:t xml:space="preserve">”, </w:t>
      </w:r>
      <w:r w:rsidRPr="00911046">
        <w:rPr>
          <w:i/>
        </w:rPr>
        <w:t>Revista Española de Derecho Constitucional</w:t>
      </w:r>
      <w:r>
        <w:rPr>
          <w:i/>
        </w:rPr>
        <w:t xml:space="preserve">, </w:t>
      </w:r>
      <w:r>
        <w:t>año 14, núm. 40,</w:t>
      </w:r>
      <w:r w:rsidRPr="00911046">
        <w:t xml:space="preserve"> </w:t>
      </w:r>
      <w:r w:rsidR="004B058B" w:rsidRPr="00911046">
        <w:t>enero</w:t>
      </w:r>
      <w:r w:rsidRPr="00911046">
        <w:t>-</w:t>
      </w:r>
      <w:r w:rsidR="004B058B" w:rsidRPr="00911046">
        <w:t>abril</w:t>
      </w:r>
      <w:r w:rsidRPr="00911046">
        <w:t xml:space="preserve"> 1994</w:t>
      </w:r>
      <w:r>
        <w:t>, pág. 19.</w:t>
      </w:r>
    </w:p>
  </w:footnote>
  <w:footnote w:id="129">
    <w:p w14:paraId="2EE001E9" w14:textId="77777777" w:rsidR="007B7556" w:rsidRPr="0062549E" w:rsidRDefault="007B7556" w:rsidP="006F44C0">
      <w:pPr>
        <w:pStyle w:val="nota"/>
      </w:pPr>
      <w:r>
        <w:rPr>
          <w:rStyle w:val="Refdenotaalpie"/>
        </w:rPr>
        <w:footnoteRef/>
      </w:r>
      <w:r w:rsidRPr="0062549E">
        <w:t xml:space="preserve"> Este apartado establece lo siguiente:</w:t>
      </w:r>
    </w:p>
    <w:p w14:paraId="62B6036F" w14:textId="77777777" w:rsidR="007B7556" w:rsidRPr="0062549E" w:rsidRDefault="007B7556" w:rsidP="006F44C0">
      <w:pPr>
        <w:pStyle w:val="nota"/>
        <w:rPr>
          <w:i/>
        </w:rPr>
      </w:pPr>
      <w:r w:rsidRPr="0062549E">
        <w:rPr>
          <w:i/>
        </w:rPr>
        <w:t>“El recurso de amparo constitucional protege, en los términos que esta ley establece, frente a las violaciones de los derechos y libertades a que se refiere el apartado anterior, originadas por las disposiciones, actos jurídicos, omisiones o simple vía de hecho de los poderes públicos del Estado, las Comunidades Autónomas y demás entes públicos de carácter territorial, corporativo o institucional, así como de sus funcionarios o agentes”.</w:t>
      </w:r>
    </w:p>
  </w:footnote>
  <w:footnote w:id="130">
    <w:p w14:paraId="7BAEB793" w14:textId="059D0F0B" w:rsidR="007B7556" w:rsidRPr="002F1298" w:rsidRDefault="007B7556" w:rsidP="006F44C0">
      <w:pPr>
        <w:pStyle w:val="nota"/>
      </w:pPr>
      <w:r>
        <w:rPr>
          <w:rStyle w:val="Refdenotaalpie"/>
        </w:rPr>
        <w:footnoteRef/>
      </w:r>
      <w:r w:rsidRPr="002F1298">
        <w:t xml:space="preserve"> En este punto debemos mencionar un hecho de gran interés, la exigencia de agotamiento de la vía judicial previa en los casos del amparo previsto en el artículo 43 de la LOTC puede ser motivo de confusión respecto al origen de la disposición que realmente queremos impugnar. Con carácter general, si la lesión ha sido cometida por la </w:t>
      </w:r>
      <w:r w:rsidR="004B058B" w:rsidRPr="002F1298">
        <w:t>Administración, la</w:t>
      </w:r>
      <w:r w:rsidRPr="002F1298">
        <w:t xml:space="preserve"> tramitación del amparo necesariamente se realizará de acuerdo con lo dispuesto en el citado artículo 43. </w:t>
      </w:r>
    </w:p>
    <w:p w14:paraId="78C58513" w14:textId="77777777" w:rsidR="007B7556" w:rsidRPr="002F1298" w:rsidRDefault="007B7556" w:rsidP="006F44C0">
      <w:pPr>
        <w:pStyle w:val="nota"/>
      </w:pPr>
      <w:r w:rsidRPr="002F1298">
        <w:t xml:space="preserve">En estos casos el Tribunal Constitucional ha destacado lo siguiente en el ATC 51/2010, Fundamento Jurídico Segundo: </w:t>
      </w:r>
      <w:r w:rsidRPr="002F1298">
        <w:rPr>
          <w:i/>
        </w:rPr>
        <w:t>"cuando el objeto del amparo es un acto administrativo, las decisiones producidas en esta vía judicial no han de ser objeto de impugnación por la sola razón de no haber estimado la pretensión deducida por el recurrente. Estas decisiones desestimatorias no alteran la situación jurídica creada por el acto de la Administración presuntamente lesivo de un derecho fundamental y no son, por tanto, en sí mismas causas de lesión. Otra interpretación llevaría a entender, en definitiva, que no hay más actos u omisiones de los órganos judiciales. Ésta ha de ser, consiguientemente, la clave del entendimiento del juego diferenciado de los artículos 43 y 44 LOTC"</w:t>
      </w:r>
      <w:r w:rsidRPr="002F1298">
        <w:t xml:space="preserve"> </w:t>
      </w:r>
    </w:p>
    <w:p w14:paraId="4C8F21B6" w14:textId="77777777" w:rsidR="007B7556" w:rsidRPr="002F1298" w:rsidRDefault="007B7556" w:rsidP="006F44C0">
      <w:pPr>
        <w:pStyle w:val="nota"/>
        <w:rPr>
          <w:i/>
        </w:rPr>
      </w:pPr>
      <w:r w:rsidRPr="002F1298">
        <w:t>Sin embargo, el Tribunal Constitucional añadió a continuación en este mismo Auto</w:t>
      </w:r>
      <w:r w:rsidRPr="002F1298">
        <w:rPr>
          <w:i/>
        </w:rPr>
        <w:t xml:space="preserve">: "Sin embargo, puede suceder que además de la lesión provocada por la Administración, el recurrente alegue una nueva lesión provocada por el poder judicial. En este caso estaremos ante un amparo mixto" </w:t>
      </w:r>
    </w:p>
    <w:p w14:paraId="2A0D2E0B" w14:textId="039D1B12" w:rsidR="007B7556" w:rsidRPr="002F1298" w:rsidRDefault="007B7556" w:rsidP="006F44C0">
      <w:pPr>
        <w:pStyle w:val="nota"/>
      </w:pPr>
      <w:r w:rsidRPr="002F1298">
        <w:t xml:space="preserve">Por tanto, en los supuestos en los que a la lesión ocasionada a un derecho </w:t>
      </w:r>
      <w:r w:rsidR="004B058B" w:rsidRPr="002F1298">
        <w:t>fundamental por</w:t>
      </w:r>
      <w:r w:rsidRPr="002F1298">
        <w:t xml:space="preserve"> los órganos administrativos se añade una nueva injerencia por una acción u omisión cometida por los tribunales ordinarios que conocen de la reclamación planteada por el afectado nos encontraremos ante un amparo mixto.</w:t>
      </w:r>
    </w:p>
  </w:footnote>
  <w:footnote w:id="131">
    <w:p w14:paraId="56AC1730" w14:textId="77777777" w:rsidR="007B7556" w:rsidRPr="0062549E" w:rsidRDefault="007B7556" w:rsidP="006F44C0">
      <w:pPr>
        <w:pStyle w:val="nota"/>
      </w:pPr>
      <w:r>
        <w:rPr>
          <w:rStyle w:val="Refdenotaalpie"/>
        </w:rPr>
        <w:footnoteRef/>
      </w:r>
      <w:r w:rsidRPr="0062549E">
        <w:t xml:space="preserve"> La nueva redacción establece lo siguiente:</w:t>
      </w:r>
    </w:p>
    <w:p w14:paraId="2302794F" w14:textId="77777777" w:rsidR="007B7556" w:rsidRPr="0062549E" w:rsidRDefault="007B7556" w:rsidP="006F44C0">
      <w:pPr>
        <w:pStyle w:val="nota"/>
        <w:rPr>
          <w:i/>
        </w:rPr>
      </w:pPr>
      <w:r w:rsidRPr="0062549E">
        <w:rPr>
          <w:i/>
        </w:rPr>
        <w:t>“1. Las violaciones de los derechos y libertades susceptibles de amparo constitucional, que tuvieran su origen inmediato y directo en un acto u omisión de un órgano judicial, podrán dar lugar a este recurso siempre que se cumplan los requisitos siguientes:</w:t>
      </w:r>
    </w:p>
    <w:p w14:paraId="30F4A29E" w14:textId="77777777" w:rsidR="007B7556" w:rsidRPr="0062549E" w:rsidRDefault="007B7556" w:rsidP="006F44C0">
      <w:pPr>
        <w:pStyle w:val="nota"/>
        <w:rPr>
          <w:i/>
        </w:rPr>
      </w:pPr>
      <w:r w:rsidRPr="0062549E">
        <w:rPr>
          <w:i/>
        </w:rPr>
        <w:t>a) Que se hayan agotado todos los medios de impugnación previstos por las normas procesales para el caso concreto dentro de la vía judicial.</w:t>
      </w:r>
    </w:p>
    <w:p w14:paraId="340F55D9" w14:textId="77777777" w:rsidR="007B7556" w:rsidRPr="0062549E" w:rsidRDefault="007B7556" w:rsidP="006F44C0">
      <w:pPr>
        <w:pStyle w:val="nota"/>
        <w:rPr>
          <w:i/>
        </w:rPr>
      </w:pPr>
      <w:r w:rsidRPr="0062549E">
        <w:rPr>
          <w:i/>
        </w:rPr>
        <w:t>b) Que la violación del derecho o libertad sea imputable de modo inmediato y directo a una acción u omisión del órgano judicial con independencia de los hechos que dieron lugar al proceso en que aquellas se produjeron, acerca de los que, en ningún caso, entrará a conocer el Tribunal Constitucional.</w:t>
      </w:r>
    </w:p>
    <w:p w14:paraId="4B5D467D" w14:textId="77777777" w:rsidR="007B7556" w:rsidRPr="0062549E" w:rsidRDefault="007B7556" w:rsidP="006F44C0">
      <w:pPr>
        <w:pStyle w:val="nota"/>
        <w:rPr>
          <w:i/>
        </w:rPr>
      </w:pPr>
      <w:r w:rsidRPr="0062549E">
        <w:rPr>
          <w:i/>
        </w:rPr>
        <w:t>c) Que se haya denunciado formalmente en el proceso, si hubo oportunidad, la vulneración del derecho constitucional tan pronto como, una vez conocida, hubiera lugar para ello.</w:t>
      </w:r>
    </w:p>
    <w:p w14:paraId="54660F63" w14:textId="77777777" w:rsidR="007B7556" w:rsidRPr="0062549E" w:rsidRDefault="007B7556" w:rsidP="006F44C0">
      <w:pPr>
        <w:pStyle w:val="nota"/>
      </w:pPr>
      <w:r w:rsidRPr="0062549E">
        <w:rPr>
          <w:i/>
        </w:rPr>
        <w:t>2. El plazo para interponer el recurso de amparo será de 30 días, a partir de la notificación de la resolución recaída en el proceso judicial.”</w:t>
      </w:r>
    </w:p>
  </w:footnote>
  <w:footnote w:id="132">
    <w:p w14:paraId="6A692AF8" w14:textId="77777777" w:rsidR="007B7556" w:rsidRPr="0062549E" w:rsidRDefault="007B7556" w:rsidP="006F44C0">
      <w:pPr>
        <w:pStyle w:val="nota"/>
      </w:pPr>
      <w:r>
        <w:rPr>
          <w:rStyle w:val="Refdenotaalpie"/>
        </w:rPr>
        <w:footnoteRef/>
      </w:r>
      <w:r w:rsidRPr="0062549E">
        <w:t xml:space="preserve"> Para más información sobre los amparos mixtos puede consultarse:</w:t>
      </w:r>
    </w:p>
    <w:p w14:paraId="5FA25C69" w14:textId="5DB2E08B" w:rsidR="007B7556" w:rsidRPr="0062549E" w:rsidRDefault="007B7556" w:rsidP="006F44C0">
      <w:pPr>
        <w:pStyle w:val="nota"/>
      </w:pPr>
      <w:r w:rsidRPr="0062549E">
        <w:t xml:space="preserve">REQUEJO PAGÉS, J. L., «La lógica de la subsidiariedad y sus perversiones. Los recursos de amparo mixtos». </w:t>
      </w:r>
      <w:r w:rsidRPr="0062549E">
        <w:rPr>
          <w:i/>
        </w:rPr>
        <w:t>Revista Española de Derecho Constitucional</w:t>
      </w:r>
      <w:r w:rsidRPr="0062549E">
        <w:t>. Año 22. Núm. 66. Septiembre-</w:t>
      </w:r>
      <w:r w:rsidR="004B058B" w:rsidRPr="0062549E">
        <w:t>diciembre</w:t>
      </w:r>
      <w:r w:rsidRPr="0062549E">
        <w:t xml:space="preserve"> 2002. Págs. 189-211.</w:t>
      </w:r>
    </w:p>
  </w:footnote>
  <w:footnote w:id="133">
    <w:p w14:paraId="72C00CB2" w14:textId="79C9B612" w:rsidR="007B7556" w:rsidRPr="00452F47" w:rsidRDefault="007B7556" w:rsidP="006F44C0">
      <w:pPr>
        <w:pStyle w:val="nota"/>
      </w:pPr>
      <w:r>
        <w:rPr>
          <w:rStyle w:val="Refdenotaalpie"/>
        </w:rPr>
        <w:footnoteRef/>
      </w:r>
      <w:r w:rsidRPr="00452F47">
        <w:t xml:space="preserve"> SÁNCHEZ GARRIDO</w:t>
      </w:r>
      <w:r>
        <w:t>, J. A. “</w:t>
      </w:r>
      <w:r w:rsidRPr="00452F47">
        <w:t>Resoluciones recurribles en vía de amparo</w:t>
      </w:r>
      <w:r>
        <w:t xml:space="preserve">”, </w:t>
      </w:r>
      <w:r w:rsidRPr="00452F47">
        <w:rPr>
          <w:i/>
        </w:rPr>
        <w:t>Diario La Ley</w:t>
      </w:r>
      <w:r w:rsidRPr="00452F47">
        <w:t xml:space="preserve">, </w:t>
      </w:r>
      <w:proofErr w:type="spellStart"/>
      <w:r w:rsidRPr="00452F47">
        <w:t>Nº</w:t>
      </w:r>
      <w:proofErr w:type="spellEnd"/>
      <w:r w:rsidRPr="00452F47">
        <w:t xml:space="preserve"> 7838, Sección Tribuna, 16 </w:t>
      </w:r>
      <w:r w:rsidR="004B058B" w:rsidRPr="00452F47">
        <w:t>abr.</w:t>
      </w:r>
      <w:r w:rsidRPr="00452F47">
        <w:t xml:space="preserve"> 20</w:t>
      </w:r>
      <w:r>
        <w:t>12, pág. 3.</w:t>
      </w:r>
    </w:p>
  </w:footnote>
  <w:footnote w:id="134">
    <w:p w14:paraId="4CB3FFBA" w14:textId="77777777" w:rsidR="007B7556" w:rsidRPr="005A1790" w:rsidRDefault="007B7556" w:rsidP="00C72445">
      <w:pPr>
        <w:pStyle w:val="nota"/>
      </w:pPr>
      <w:r>
        <w:rPr>
          <w:rStyle w:val="Refdenotaalpie"/>
        </w:rPr>
        <w:footnoteRef/>
      </w:r>
      <w:r w:rsidRPr="005A1790">
        <w:t xml:space="preserve"> </w:t>
      </w:r>
      <w:r>
        <w:t>“</w:t>
      </w:r>
      <w:r w:rsidRPr="005A1790">
        <w:t>Así pues, ampliación del plazo en diez días. Una medida sobre la que poco cabe decir. Sólo que resulta raquítica. Puestos a modificar el plazo de interposición, debería haberse ampliado a tres o, incluso, a seis meses, en sintonía con el plazo previsto para el recurso de amparo contra actos parlamentarios (artículo 42 LOTC) o, sencillamente, con el plazo dispuesto en el procedimiento ante el Tribunal Europeo de Derechos Humanos”</w:t>
      </w:r>
      <w:r>
        <w:t xml:space="preserve"> en </w:t>
      </w:r>
      <w:r w:rsidRPr="005A1790">
        <w:t>FERNÁNDEZ FARRERES, G., “La reforma de la Ley Orgánica del Tribunal Constitucional”, Revista Española de Derecho Constitucional, núm. 81, septiembre-diciembre (2007), pág. 25.</w:t>
      </w:r>
    </w:p>
  </w:footnote>
  <w:footnote w:id="135">
    <w:p w14:paraId="30664E2D" w14:textId="77777777" w:rsidR="007B7556" w:rsidRPr="002B1DC2" w:rsidRDefault="007B7556" w:rsidP="006F44C0">
      <w:pPr>
        <w:pStyle w:val="Textonotapie"/>
      </w:pPr>
      <w:r>
        <w:rPr>
          <w:rStyle w:val="Refdenotaalpie"/>
        </w:rPr>
        <w:footnoteRef/>
      </w:r>
      <w:r w:rsidRPr="002B1DC2">
        <w:t xml:space="preserve"> </w:t>
      </w:r>
      <w:proofErr w:type="spellStart"/>
      <w:r>
        <w:t>Ibídem</w:t>
      </w:r>
      <w:proofErr w:type="spellEnd"/>
      <w:r>
        <w:t xml:space="preserve"> pág. 26.</w:t>
      </w:r>
    </w:p>
  </w:footnote>
  <w:footnote w:id="136">
    <w:p w14:paraId="5FD1D263" w14:textId="4877BF88" w:rsidR="007B7556" w:rsidRPr="0062549E" w:rsidRDefault="007B7556" w:rsidP="006F44C0">
      <w:pPr>
        <w:pStyle w:val="nota"/>
      </w:pPr>
      <w:r>
        <w:rPr>
          <w:rStyle w:val="Refdenotaalpie"/>
        </w:rPr>
        <w:footnoteRef/>
      </w:r>
      <w:r w:rsidRPr="0062549E">
        <w:t xml:space="preserve"> La nueva redacción </w:t>
      </w:r>
      <w:r w:rsidR="004B058B" w:rsidRPr="0062549E">
        <w:t>del apartado</w:t>
      </w:r>
      <w:r w:rsidRPr="0062549E">
        <w:t xml:space="preserve"> 2 y 3 del artículo 85 de la LOTC quedan como sigue:</w:t>
      </w:r>
    </w:p>
    <w:p w14:paraId="0F810918" w14:textId="08B411F4" w:rsidR="007B7556" w:rsidRPr="0062549E" w:rsidRDefault="007B7556" w:rsidP="006F44C0">
      <w:pPr>
        <w:pStyle w:val="nota"/>
        <w:rPr>
          <w:i/>
        </w:rPr>
      </w:pPr>
      <w:r w:rsidRPr="0062549E">
        <w:rPr>
          <w:i/>
        </w:rPr>
        <w:t xml:space="preserve">“2. En los supuestos subsanables a que se refiere el artículo 50 de la presente Ley, el Tribunal deberá notificar al recurrente los motivos de inadmisión que hubiere, con objeto de que, dentro del plazo de diez días, pueda subsanar los defectos advertidos. Los escritos de iniciación del proceso se presentarán en la sede del Tribunal Constitucional dentro del plazo legalmente establecido. Los recursos de amparo podrán también presentarse hasta las 15 horas del día hábil siguiente al del vencimiento del plazo de interposición, en el registro del Tribunal Constitucional, o en la oficina o servicio de registro central de los tribunales civiles de cualquier localidad, de conformidad con lo establecido en el artículo </w:t>
      </w:r>
      <w:r w:rsidR="004B058B" w:rsidRPr="0062549E">
        <w:rPr>
          <w:i/>
        </w:rPr>
        <w:t>135.1 de</w:t>
      </w:r>
      <w:r w:rsidRPr="0062549E">
        <w:rPr>
          <w:i/>
        </w:rPr>
        <w:t xml:space="preserve"> la Ley 1/2000, de 7 de enero (RCL 2000, 34, 962 y RCL 2001, 1892), de Enjuiciamiento Civil.</w:t>
      </w:r>
    </w:p>
    <w:p w14:paraId="64468B20" w14:textId="77777777" w:rsidR="007B7556" w:rsidRPr="0062549E" w:rsidRDefault="007B7556" w:rsidP="006F44C0">
      <w:pPr>
        <w:pStyle w:val="nota"/>
        <w:rPr>
          <w:i/>
        </w:rPr>
      </w:pPr>
      <w:r w:rsidRPr="0062549E">
        <w:rPr>
          <w:i/>
        </w:rPr>
        <w:t>El Tribunal determinará reglamentariamente las condiciones de empleo, a los efectos anteriores, de cualesquiera medios técnicos, electrónicos, informáticos o telemáticos.</w:t>
      </w:r>
    </w:p>
    <w:p w14:paraId="01542751" w14:textId="77777777" w:rsidR="007B7556" w:rsidRPr="0062549E" w:rsidRDefault="007B7556" w:rsidP="006F44C0">
      <w:pPr>
        <w:pStyle w:val="nota"/>
      </w:pPr>
      <w:r w:rsidRPr="0062549E">
        <w:rPr>
          <w:i/>
        </w:rPr>
        <w:t>3. El Pleno o las Salas podrán acordar la celebración de vista oral”.</w:t>
      </w:r>
    </w:p>
  </w:footnote>
  <w:footnote w:id="137">
    <w:p w14:paraId="1474F5FE" w14:textId="77777777" w:rsidR="007B7556" w:rsidRPr="00BB6543" w:rsidRDefault="007B7556" w:rsidP="006F44C0">
      <w:pPr>
        <w:pStyle w:val="nota"/>
      </w:pPr>
      <w:r>
        <w:rPr>
          <w:rStyle w:val="Refdenotaalpie"/>
        </w:rPr>
        <w:footnoteRef/>
      </w:r>
      <w:r w:rsidRPr="00BB6543">
        <w:t xml:space="preserve"> </w:t>
      </w:r>
      <w:r>
        <w:t xml:space="preserve">PÉREZ TREMPS, P., </w:t>
      </w:r>
      <w:r>
        <w:rPr>
          <w:i/>
        </w:rPr>
        <w:t>El recurso de amparo</w:t>
      </w:r>
      <w:r>
        <w:t>, Valencia, 2015, págs. 215.</w:t>
      </w:r>
    </w:p>
  </w:footnote>
  <w:footnote w:id="138">
    <w:p w14:paraId="660DC127" w14:textId="77777777" w:rsidR="007B7556" w:rsidRPr="00072B6F" w:rsidRDefault="007B7556" w:rsidP="00C72445">
      <w:pPr>
        <w:pStyle w:val="nota"/>
      </w:pPr>
      <w:r>
        <w:rPr>
          <w:rStyle w:val="Refdenotaalpie"/>
        </w:rPr>
        <w:footnoteRef/>
      </w:r>
      <w:r w:rsidRPr="00072B6F">
        <w:t xml:space="preserve"> </w:t>
      </w:r>
      <w:proofErr w:type="spellStart"/>
      <w:r>
        <w:t>Ibídem</w:t>
      </w:r>
      <w:proofErr w:type="spellEnd"/>
      <w:r>
        <w:t xml:space="preserve"> pág. 224.</w:t>
      </w:r>
    </w:p>
  </w:footnote>
  <w:footnote w:id="139">
    <w:p w14:paraId="38B7DD22" w14:textId="77777777" w:rsidR="007B7556" w:rsidRPr="004C573B" w:rsidRDefault="007B7556" w:rsidP="00C72445">
      <w:pPr>
        <w:pStyle w:val="nota"/>
      </w:pPr>
      <w:r>
        <w:rPr>
          <w:rStyle w:val="Refdenotaalpie"/>
        </w:rPr>
        <w:footnoteRef/>
      </w:r>
      <w:r w:rsidRPr="004C573B">
        <w:t xml:space="preserve"> </w:t>
      </w:r>
      <w:r>
        <w:t>Y</w:t>
      </w:r>
      <w:r w:rsidRPr="004C573B">
        <w:t xml:space="preserve">a </w:t>
      </w:r>
      <w:r>
        <w:t xml:space="preserve">precisó el TC en la </w:t>
      </w:r>
      <w:r w:rsidRPr="004C573B">
        <w:t xml:space="preserve">STC 6/1981, de 16 de marzo, FJ 2, que ahora es preciso traer a colación, </w:t>
      </w:r>
      <w:r>
        <w:t xml:space="preserve">que </w:t>
      </w:r>
      <w:r w:rsidRPr="004C573B">
        <w:t xml:space="preserve">cuando el objeto del amparo es un acto administrativo, </w:t>
      </w:r>
      <w:r w:rsidRPr="004C573B">
        <w:rPr>
          <w:i/>
        </w:rPr>
        <w:t>“las decisiones producidas en esta vía judicial no han de ser objeto de impugnación por la sola razón de no haber estimada la pretensión deducida por el recurrente. Estas decisiones desestimatorias no alteran la situación jurídica creada por el acto de la Administración presuntamente lesivo de un derecho fundamental y no son, por tanto, en sí mismas causas de lesión. Otra interpretación llevaría a entender, en definitiva, que no hay más actos u omisiones atacables en vía de amparo constitucional que los actos u omisiones de los órganos judiciales”.</w:t>
      </w:r>
      <w:r w:rsidRPr="004C573B">
        <w:t xml:space="preserve"> </w:t>
      </w:r>
      <w:r>
        <w:t>Afirma el TC que é</w:t>
      </w:r>
      <w:r w:rsidRPr="004C573B">
        <w:t>sta ha de ser, consiguientemente, la clave del entendimiento del juego diferenciado</w:t>
      </w:r>
      <w:r>
        <w:t xml:space="preserve"> de los arts. 43 LOTC y 44 LOTC, hecho que debemos tener muy en cuenta respecto al cómputo de los plazos.</w:t>
      </w:r>
    </w:p>
  </w:footnote>
  <w:footnote w:id="140">
    <w:p w14:paraId="00AB28FD" w14:textId="77777777" w:rsidR="007B7556" w:rsidRPr="00E65259" w:rsidRDefault="007B7556" w:rsidP="00C72445">
      <w:pPr>
        <w:pStyle w:val="nota"/>
      </w:pPr>
      <w:r>
        <w:rPr>
          <w:rStyle w:val="Refdenotaalpie"/>
        </w:rPr>
        <w:footnoteRef/>
      </w:r>
      <w:r w:rsidRPr="00E65259">
        <w:t xml:space="preserve"> </w:t>
      </w:r>
      <w:r>
        <w:t xml:space="preserve">De forma muy acertada explica el TC lo siguiente en el citado Auto: </w:t>
      </w:r>
      <w:r w:rsidRPr="00E65259">
        <w:rPr>
          <w:i/>
        </w:rPr>
        <w:t>“En este punto es preciso señalar que, entre las modificaciones introducidas en el régimen jurídico del recurso de amparo por la Ley Orgánica 6/2007, de 24 de mayo, se encuentra la ampliación del plazo para la interposición de los recursos de amparo, que se eleva a treinta días, en los casos previstos en el art. 44 LOTC (es decir, cuando el amparo se dirige contra violaciones de derechos fundamentales que tienen “su origen inmediato y directo” en un acto u omisión de un órgano judicial). Se mantiene, sin embargo, el anterior plazo de veinte días, una vez agotada la vía judicial previa, para aquellos supuestos contemplados en el art. 43.2 LOTC, en los que el amparo se dirige contra actos administrativos lato sensu, como ocurre en este caso. Se destaca así la diferencia entre ambas vías de interposición, subrayándose la especificidad del recurso de amparo contra actos administrativos previsto en el art. 43 LOTC. Más allá de las motivaciones que hayan llevado al legislador al establecimiento de plazos distintos, lo cierto es que se exige un tratamiento diferente y específico para cada supuesto en función de cuál sea el origen de la eventual lesión que pretende repararse y a qué poder público se impute la lesión del derecho fundamental aducido; en definitiva, en función de cuál sea el objeto concreto del proceso constitucional de amparo. Así, provocada la vulneración que se denuncia por la Administración, tal y como ocurre en este caso, el plazo que rige es el de veinte días tras la notificación de la resolución judicial que agota la vía previa. Ello es así porque, como se dijo antes, no nos encontramos ante uno de los llamados amparos mixtos que reúnen dos pretensiones diferenciadas y autónomas, una dirigida contra el acto administrativo y otra con la resolución judicial (STC 291/1985, de 8 de mayo, FJ 2), respecto de los cuales una interpretación sistemática conduce a que el plazo de interposición común a ambas pretensiones sea de treinta días, sino ante un recurso de amparo contra actos administrativos de los previstos en el art. 43 LOTC, en el que el plazo de interposición es de veinte días.”</w:t>
      </w:r>
    </w:p>
  </w:footnote>
  <w:footnote w:id="141">
    <w:p w14:paraId="415017E6" w14:textId="0BF71A51" w:rsidR="007B7556" w:rsidRPr="00C72445" w:rsidRDefault="007B7556" w:rsidP="00C72445">
      <w:pPr>
        <w:pStyle w:val="nota"/>
      </w:pPr>
      <w:r w:rsidRPr="00C72445">
        <w:rPr>
          <w:rStyle w:val="Refdenotaalpie"/>
          <w:vertAlign w:val="baseline"/>
        </w:rPr>
        <w:footnoteRef/>
      </w:r>
      <w:r w:rsidRPr="00C72445">
        <w:t xml:space="preserve"> NOREÑA SALTO, J. R., “La legitimación en el recurso de amparo: reglas generales y supuestos especiales”, Diario La Ley, </w:t>
      </w:r>
      <w:proofErr w:type="spellStart"/>
      <w:r w:rsidRPr="00C72445">
        <w:t>Nº</w:t>
      </w:r>
      <w:proofErr w:type="spellEnd"/>
      <w:r w:rsidRPr="00C72445">
        <w:t xml:space="preserve"> 7838, Sección Tribuna, 16 </w:t>
      </w:r>
      <w:r w:rsidR="004B058B" w:rsidRPr="00C72445">
        <w:t>abr.</w:t>
      </w:r>
      <w:r w:rsidRPr="00C72445">
        <w:t xml:space="preserve"> 2012, Año XXXIII, págs. 1-3.</w:t>
      </w:r>
    </w:p>
  </w:footnote>
  <w:footnote w:id="142">
    <w:p w14:paraId="38B1AFEB" w14:textId="77777777" w:rsidR="007B7556" w:rsidRPr="0062549E" w:rsidRDefault="007B7556" w:rsidP="006F44C0">
      <w:pPr>
        <w:pStyle w:val="nota"/>
      </w:pPr>
      <w:r>
        <w:rPr>
          <w:rStyle w:val="Refdenotaalpie"/>
        </w:rPr>
        <w:footnoteRef/>
      </w:r>
      <w:r w:rsidRPr="0062549E">
        <w:t xml:space="preserve"> HERRERA GARCÍA, A., «La reforma del recurso de amparo en la Ley Orgánica del Tribunal Constitucional Español: Perspectivas de su funcionalidad antes las leyes», </w:t>
      </w:r>
      <w:r w:rsidRPr="0062549E">
        <w:rPr>
          <w:i/>
        </w:rPr>
        <w:t xml:space="preserve">Instituto de Investigaciones Jurídicas de la UNAM, Instituto Iberoamericano de Derecho Constitucional, </w:t>
      </w:r>
      <w:r w:rsidRPr="0062549E">
        <w:t>2013, págs. 12-15.</w:t>
      </w:r>
    </w:p>
  </w:footnote>
  <w:footnote w:id="143">
    <w:p w14:paraId="13B695C1" w14:textId="77777777" w:rsidR="007B7556" w:rsidRPr="008E0885" w:rsidRDefault="007B7556" w:rsidP="00C72445">
      <w:pPr>
        <w:pStyle w:val="nota"/>
      </w:pPr>
      <w:r>
        <w:rPr>
          <w:rStyle w:val="Refdenotaalpie"/>
        </w:rPr>
        <w:footnoteRef/>
      </w:r>
      <w:r w:rsidRPr="008E0885">
        <w:t xml:space="preserve"> En este sentido FERNÁNDEZ FARRERES, G., “La reforma de la Ley Orgánica del Tribunal Constitucional”, </w:t>
      </w:r>
      <w:r w:rsidRPr="008E0885">
        <w:rPr>
          <w:i/>
        </w:rPr>
        <w:t>Revista Española de Derecho Constitucional</w:t>
      </w:r>
      <w:r w:rsidRPr="008E0885">
        <w:t>, núm. 81, septiembre-diciembre (2007), pág. 26.</w:t>
      </w:r>
    </w:p>
  </w:footnote>
  <w:footnote w:id="144">
    <w:p w14:paraId="5E9BB63F" w14:textId="77777777" w:rsidR="007B7556" w:rsidRPr="00975F8A" w:rsidRDefault="007B7556" w:rsidP="00C72445">
      <w:pPr>
        <w:pStyle w:val="nota"/>
        <w:rPr>
          <w:rStyle w:val="notaCar"/>
          <w:rFonts w:eastAsiaTheme="minorHAnsi"/>
        </w:rPr>
      </w:pPr>
      <w:r>
        <w:rPr>
          <w:rStyle w:val="Refdenotaalpie"/>
        </w:rPr>
        <w:footnoteRef/>
      </w:r>
      <w:r w:rsidRPr="00975F8A">
        <w:t xml:space="preserve"> </w:t>
      </w:r>
      <w:r w:rsidRPr="00975F8A">
        <w:rPr>
          <w:rStyle w:val="notaCar"/>
          <w:rFonts w:eastAsiaTheme="minorHAnsi"/>
        </w:rPr>
        <w:t xml:space="preserve">PÉREZ TREMPS, P., </w:t>
      </w:r>
      <w:r w:rsidRPr="00975F8A">
        <w:rPr>
          <w:rStyle w:val="notaCar"/>
          <w:rFonts w:eastAsiaTheme="minorHAnsi"/>
          <w:i/>
        </w:rPr>
        <w:t>El recurso de amparo</w:t>
      </w:r>
      <w:r w:rsidRPr="00975F8A">
        <w:rPr>
          <w:rStyle w:val="notaCar"/>
          <w:rFonts w:eastAsiaTheme="minorHAnsi"/>
        </w:rPr>
        <w:t>, Valencia, 2015, págs. 257.</w:t>
      </w:r>
    </w:p>
  </w:footnote>
  <w:footnote w:id="145">
    <w:p w14:paraId="16AB8461" w14:textId="77777777" w:rsidR="007B7556" w:rsidRPr="0062549E" w:rsidRDefault="007B7556" w:rsidP="00C72445">
      <w:pPr>
        <w:pStyle w:val="nota"/>
      </w:pPr>
      <w:r>
        <w:rPr>
          <w:rStyle w:val="Refdenotaalpie"/>
          <w:rFonts w:eastAsiaTheme="majorEastAsia"/>
        </w:rPr>
        <w:footnoteRef/>
      </w:r>
      <w:r w:rsidRPr="0062549E">
        <w:t xml:space="preserve"> Anterior redacción del artículo 49 de la LOTC:</w:t>
      </w:r>
    </w:p>
    <w:p w14:paraId="4D022985" w14:textId="77777777" w:rsidR="007B7556" w:rsidRPr="0062549E" w:rsidRDefault="007B7556" w:rsidP="00C72445">
      <w:pPr>
        <w:pStyle w:val="nota"/>
        <w:rPr>
          <w:i/>
        </w:rPr>
      </w:pPr>
      <w:r w:rsidRPr="0062549E">
        <w:rPr>
          <w:i/>
        </w:rPr>
        <w:t>“Uno. El recurso de amparo constitucional se iniciará mediante demanda en la que se expondrán con claridad y concisión los hechos que la fundamenten, se citarán los preceptos constitucionales que se estimen infringidos y se fijará con precisión el amparo que se solicita para preservar o restablecer el derecho o libertad que se considere vulnerado.</w:t>
      </w:r>
    </w:p>
    <w:p w14:paraId="66FFBA91" w14:textId="77777777" w:rsidR="007B7556" w:rsidRPr="0062549E" w:rsidRDefault="007B7556" w:rsidP="00C72445">
      <w:pPr>
        <w:pStyle w:val="nota"/>
        <w:rPr>
          <w:i/>
        </w:rPr>
      </w:pPr>
      <w:r w:rsidRPr="0062549E">
        <w:rPr>
          <w:i/>
        </w:rPr>
        <w:t>Dos. Con la demanda se acompañarán:</w:t>
      </w:r>
    </w:p>
    <w:p w14:paraId="7BA5320D" w14:textId="77777777" w:rsidR="007B7556" w:rsidRPr="0062549E" w:rsidRDefault="007B7556" w:rsidP="00C72445">
      <w:pPr>
        <w:pStyle w:val="nota"/>
        <w:rPr>
          <w:i/>
        </w:rPr>
      </w:pPr>
      <w:r w:rsidRPr="0062549E">
        <w:rPr>
          <w:i/>
        </w:rPr>
        <w:t>a) El documento que acredite la representación del solicitante del amparo.</w:t>
      </w:r>
    </w:p>
    <w:p w14:paraId="0B7E13B6" w14:textId="77777777" w:rsidR="007B7556" w:rsidRPr="0062549E" w:rsidRDefault="007B7556" w:rsidP="00C72445">
      <w:pPr>
        <w:pStyle w:val="nota"/>
        <w:rPr>
          <w:i/>
        </w:rPr>
      </w:pPr>
      <w:r w:rsidRPr="0062549E">
        <w:rPr>
          <w:i/>
        </w:rPr>
        <w:t>b) En su caso, la copia, traslado o certificación de la resolución recaída en el procedimiento judicial o administrativo.</w:t>
      </w:r>
    </w:p>
    <w:p w14:paraId="7EC6F1AC" w14:textId="3461CFB4" w:rsidR="007B7556" w:rsidRPr="0062549E" w:rsidRDefault="007B7556" w:rsidP="00C72445">
      <w:pPr>
        <w:pStyle w:val="nota"/>
      </w:pPr>
      <w:r w:rsidRPr="0062549E">
        <w:rPr>
          <w:i/>
        </w:rPr>
        <w:t xml:space="preserve">Tres. A la demanda se acompañarán también tantas copias literales de la misma y de los documentos presentados como partes en el previo proceso, si </w:t>
      </w:r>
      <w:r w:rsidR="004B058B" w:rsidRPr="0062549E">
        <w:rPr>
          <w:i/>
        </w:rPr>
        <w:t>los</w:t>
      </w:r>
      <w:r w:rsidRPr="0062549E">
        <w:rPr>
          <w:i/>
        </w:rPr>
        <w:t xml:space="preserve"> hubiere, y una más para el Ministerio Fiscal”.</w:t>
      </w:r>
    </w:p>
  </w:footnote>
  <w:footnote w:id="146">
    <w:p w14:paraId="31325B68" w14:textId="77777777" w:rsidR="007B7556" w:rsidRPr="00260639" w:rsidRDefault="007B7556" w:rsidP="00C72445">
      <w:pPr>
        <w:pStyle w:val="nota"/>
      </w:pPr>
      <w:r>
        <w:rPr>
          <w:rStyle w:val="Refdenotaalpie"/>
        </w:rPr>
        <w:footnoteRef/>
      </w:r>
      <w:r w:rsidRPr="00260639">
        <w:t xml:space="preserve"> Para completar esta información, puede consultarse, entre otros:</w:t>
      </w:r>
    </w:p>
    <w:p w14:paraId="73E96B70" w14:textId="77777777" w:rsidR="007B7556" w:rsidRPr="00260639" w:rsidRDefault="007B7556" w:rsidP="00C72445">
      <w:pPr>
        <w:pStyle w:val="nota"/>
      </w:pPr>
      <w:r w:rsidRPr="00260639">
        <w:t xml:space="preserve">GARBERÍ LLOBREGAT, J., “Art. 49”, en REQUEJO PAGÉS, J. L. (Coord.), </w:t>
      </w:r>
      <w:r w:rsidRPr="00260639">
        <w:rPr>
          <w:i/>
        </w:rPr>
        <w:t>Comentarios a la Ley Orgánica del Tribunal Constitucional</w:t>
      </w:r>
      <w:r w:rsidRPr="00260639">
        <w:t>, Tribunal Constitucional, Boletín Oficial del Estado, Madrid, 2001.</w:t>
      </w:r>
    </w:p>
  </w:footnote>
  <w:footnote w:id="147">
    <w:p w14:paraId="5CCB8C8A" w14:textId="77777777" w:rsidR="007B7556" w:rsidRPr="00DF7348" w:rsidRDefault="007B7556" w:rsidP="00C72445">
      <w:pPr>
        <w:pStyle w:val="nota"/>
      </w:pPr>
      <w:r>
        <w:rPr>
          <w:rStyle w:val="Refdenotaalpie"/>
        </w:rPr>
        <w:footnoteRef/>
      </w:r>
      <w:r w:rsidRPr="00DF7348">
        <w:t xml:space="preserve"> </w:t>
      </w:r>
      <w:r>
        <w:t xml:space="preserve"> </w:t>
      </w:r>
      <w:r w:rsidRPr="00DF7348">
        <w:t>Como bien indicaron Balaguer, Cámara y Medina, la justificación de la especial relevancia constitucional de la demanda “</w:t>
      </w:r>
      <w:r w:rsidRPr="00DF7348">
        <w:rPr>
          <w:i/>
        </w:rPr>
        <w:t>debe hacerse de forma expresa y suficiente</w:t>
      </w:r>
      <w:r w:rsidRPr="00DF7348">
        <w:t>”, sin limitarse a una apodíctica afirmación o a fundar la demanda “en la simple alegación de que se ha lesionado el derecho que se invoca; es preciso que se aporte la inexcusable argumentación que, a juicio del demandante, acredite ese carácter”.</w:t>
      </w:r>
    </w:p>
    <w:p w14:paraId="07DB76DC" w14:textId="77777777" w:rsidR="007B7556" w:rsidRPr="00DF7348" w:rsidRDefault="007B7556" w:rsidP="00C72445">
      <w:pPr>
        <w:pStyle w:val="nota"/>
      </w:pPr>
      <w:r w:rsidRPr="00DF7348">
        <w:t xml:space="preserve">En efecto, </w:t>
      </w:r>
      <w:r w:rsidRPr="00DF7348">
        <w:rPr>
          <w:i/>
        </w:rPr>
        <w:t>“el requisito de la especial trascendencia constitucional es el eje fundamental sobre el que se asienta todo el nuevo sistema del amparo constitucional, de suerte que los recurrentes deben extremar el rigor en su justificación, a riesgo de ver inadmitidas sus demandas si adolecieran de insuficiencia en la justificación de aquel requisito”.</w:t>
      </w:r>
      <w:r w:rsidRPr="00DF7348">
        <w:t xml:space="preserve"> </w:t>
      </w:r>
    </w:p>
    <w:p w14:paraId="096B788B" w14:textId="77777777" w:rsidR="007B7556" w:rsidRPr="00DF7348" w:rsidRDefault="007B7556" w:rsidP="00C72445">
      <w:pPr>
        <w:pStyle w:val="nota"/>
      </w:pPr>
      <w:r w:rsidRPr="00DF7348">
        <w:t xml:space="preserve">BALAGUER CALLEJÓN, F., CÁMARA VILLAR, G., MEDINA REY, L. F., </w:t>
      </w:r>
      <w:r w:rsidRPr="00DF7348">
        <w:rPr>
          <w:i/>
        </w:rPr>
        <w:t>La Nueva Ley Orgánica del Tribunal Constitucional</w:t>
      </w:r>
      <w:r w:rsidRPr="00DF7348">
        <w:t>. Madrid, 2008, p. 72.</w:t>
      </w:r>
    </w:p>
  </w:footnote>
  <w:footnote w:id="148">
    <w:p w14:paraId="7AFC1CD2" w14:textId="77777777" w:rsidR="007B7556" w:rsidRPr="00975F8A" w:rsidRDefault="007B7556" w:rsidP="006F44C0">
      <w:pPr>
        <w:pStyle w:val="Textonotapie"/>
      </w:pPr>
      <w:r w:rsidRPr="00C72445">
        <w:rPr>
          <w:rStyle w:val="notaCar"/>
          <w:sz w:val="20"/>
        </w:rPr>
        <w:footnoteRef/>
      </w:r>
      <w:r w:rsidRPr="00C72445">
        <w:rPr>
          <w:rStyle w:val="notaCar"/>
          <w:sz w:val="20"/>
        </w:rPr>
        <w:t xml:space="preserve"> PÉREZ TREMPS, P</w:t>
      </w:r>
      <w:r w:rsidRPr="00C72445">
        <w:rPr>
          <w:rStyle w:val="notaCar"/>
          <w:i/>
          <w:sz w:val="20"/>
        </w:rPr>
        <w:t>., El recurso de amparo</w:t>
      </w:r>
      <w:r w:rsidRPr="00C72445">
        <w:rPr>
          <w:rStyle w:val="notaCar"/>
          <w:sz w:val="20"/>
        </w:rPr>
        <w:t>, Valencia, 2015, págs. 258</w:t>
      </w:r>
      <w:r>
        <w:t>.</w:t>
      </w:r>
    </w:p>
  </w:footnote>
  <w:footnote w:id="149">
    <w:p w14:paraId="34EAAA90" w14:textId="77777777" w:rsidR="007B7556" w:rsidRDefault="007B7556" w:rsidP="006F44C0">
      <w:pPr>
        <w:pStyle w:val="nota"/>
      </w:pPr>
      <w:r>
        <w:rPr>
          <w:rStyle w:val="Refdenotaalpie"/>
        </w:rPr>
        <w:footnoteRef/>
      </w:r>
      <w:r w:rsidRPr="002B049C">
        <w:t xml:space="preserve"> </w:t>
      </w:r>
      <w:r>
        <w:t>Para más información sobre cada uno de los puntos consultar:</w:t>
      </w:r>
    </w:p>
    <w:p w14:paraId="299E1CF9" w14:textId="77777777" w:rsidR="007B7556" w:rsidRPr="002B049C" w:rsidRDefault="007B7556" w:rsidP="006F44C0">
      <w:pPr>
        <w:pStyle w:val="nota"/>
      </w:pPr>
      <w:r w:rsidRPr="00975F8A">
        <w:t xml:space="preserve">PÉREZ TREMPS, P., </w:t>
      </w:r>
      <w:r w:rsidRPr="00975F8A">
        <w:rPr>
          <w:i/>
        </w:rPr>
        <w:t>El recurso de amparo</w:t>
      </w:r>
      <w:r>
        <w:t>, Valencia, 2015, págs. 261-278</w:t>
      </w:r>
    </w:p>
  </w:footnote>
  <w:footnote w:id="150">
    <w:p w14:paraId="31CA3AF3" w14:textId="77777777" w:rsidR="007B7556" w:rsidRPr="002B049C" w:rsidRDefault="007B7556" w:rsidP="006F44C0">
      <w:pPr>
        <w:pStyle w:val="nota"/>
      </w:pPr>
      <w:r>
        <w:rPr>
          <w:rStyle w:val="Refdenotaalpie"/>
        </w:rPr>
        <w:footnoteRef/>
      </w:r>
      <w:r w:rsidRPr="002B049C">
        <w:t xml:space="preserve"> Artículo cincuenta </w:t>
      </w:r>
      <w:r>
        <w:t>y cinco</w:t>
      </w:r>
    </w:p>
    <w:p w14:paraId="3644427C" w14:textId="77777777" w:rsidR="007B7556" w:rsidRPr="002B049C" w:rsidRDefault="007B7556" w:rsidP="006F44C0">
      <w:pPr>
        <w:pStyle w:val="nota"/>
        <w:rPr>
          <w:i/>
        </w:rPr>
      </w:pPr>
      <w:r w:rsidRPr="002B049C">
        <w:rPr>
          <w:i/>
        </w:rPr>
        <w:t>“Uno. La sentencia que otorgue el amparo contendrá alguno o algunos de los pronunciamientos siguientes:</w:t>
      </w:r>
    </w:p>
    <w:p w14:paraId="73B77073" w14:textId="77777777" w:rsidR="007B7556" w:rsidRPr="002B049C" w:rsidRDefault="007B7556" w:rsidP="006F44C0">
      <w:pPr>
        <w:pStyle w:val="nota"/>
        <w:rPr>
          <w:i/>
        </w:rPr>
      </w:pPr>
      <w:r w:rsidRPr="002B049C">
        <w:rPr>
          <w:i/>
        </w:rPr>
        <w:t>a) Declaración de nulidad de la decisión, acto o resolución que hayan impedido el pleno ejercicio de los derechos o libertades protegidos, con determinación, en su caso, de la extensión de sus efectos.</w:t>
      </w:r>
    </w:p>
    <w:p w14:paraId="5F61F113" w14:textId="77777777" w:rsidR="007B7556" w:rsidRPr="002B049C" w:rsidRDefault="007B7556" w:rsidP="006F44C0">
      <w:pPr>
        <w:pStyle w:val="nota"/>
        <w:rPr>
          <w:i/>
        </w:rPr>
      </w:pPr>
      <w:r w:rsidRPr="002B049C">
        <w:rPr>
          <w:i/>
        </w:rPr>
        <w:t>b) Reconocimiento del derecho o libertad pública, de conformidad con su contenido constitucionalmente declarado.</w:t>
      </w:r>
    </w:p>
    <w:p w14:paraId="4B6A4523" w14:textId="77777777" w:rsidR="007B7556" w:rsidRPr="002B049C" w:rsidRDefault="007B7556" w:rsidP="006F44C0">
      <w:pPr>
        <w:pStyle w:val="nota"/>
      </w:pPr>
      <w:r w:rsidRPr="002B049C">
        <w:rPr>
          <w:i/>
        </w:rPr>
        <w:t>c) Restablecimiento del recurrente en la integridad de su derecho o libertad con la adopción de las medidas apropiadas, en su caso, para su conservación”.</w:t>
      </w:r>
    </w:p>
  </w:footnote>
  <w:footnote w:id="151">
    <w:p w14:paraId="46EB2462" w14:textId="77777777" w:rsidR="007B7556" w:rsidRPr="0062549E" w:rsidRDefault="007B7556" w:rsidP="006F44C0">
      <w:pPr>
        <w:pStyle w:val="nota"/>
      </w:pPr>
      <w:r>
        <w:rPr>
          <w:rStyle w:val="Refdenotaalpie"/>
        </w:rPr>
        <w:footnoteRef/>
      </w:r>
      <w:r w:rsidRPr="0062549E">
        <w:t xml:space="preserve"> La anterior redacción del artículo 50 rezaba lo siguiente:</w:t>
      </w:r>
    </w:p>
    <w:p w14:paraId="45DFA72E" w14:textId="77777777" w:rsidR="007B7556" w:rsidRPr="0062549E" w:rsidRDefault="007B7556" w:rsidP="006F44C0">
      <w:pPr>
        <w:pStyle w:val="nota"/>
        <w:rPr>
          <w:i/>
        </w:rPr>
      </w:pPr>
      <w:r w:rsidRPr="0062549E">
        <w:rPr>
          <w:i/>
        </w:rPr>
        <w:t>“1. La Sección, por unanimidad de sus miembros, podrá acordar mediante providencia la inadmisión del recurso cuando concurra alguno de los siguientes supuestos:</w:t>
      </w:r>
    </w:p>
    <w:p w14:paraId="301D78E9" w14:textId="77777777" w:rsidR="007B7556" w:rsidRPr="0062549E" w:rsidRDefault="007B7556" w:rsidP="006F44C0">
      <w:pPr>
        <w:pStyle w:val="nota"/>
        <w:rPr>
          <w:i/>
        </w:rPr>
      </w:pPr>
      <w:r w:rsidRPr="0062549E">
        <w:rPr>
          <w:i/>
        </w:rPr>
        <w:t>a) Que la demanda incumpla de manera manifiesta e insubsanable alguno de los requisitos contenidos en los artículos 41 a 46 o concurra en la misma el caso al que se refiere el artículo 4.2.</w:t>
      </w:r>
    </w:p>
    <w:p w14:paraId="75B45D61" w14:textId="77777777" w:rsidR="007B7556" w:rsidRPr="0062549E" w:rsidRDefault="007B7556" w:rsidP="006F44C0">
      <w:pPr>
        <w:pStyle w:val="nota"/>
        <w:rPr>
          <w:i/>
        </w:rPr>
      </w:pPr>
      <w:r w:rsidRPr="0062549E">
        <w:rPr>
          <w:i/>
        </w:rPr>
        <w:t>b) Que la demanda se deduzca respecto de derechos o libertades no susceptibles de amparo constitucional.</w:t>
      </w:r>
    </w:p>
    <w:p w14:paraId="236F512B" w14:textId="77777777" w:rsidR="007B7556" w:rsidRPr="0062549E" w:rsidRDefault="007B7556" w:rsidP="006F44C0">
      <w:pPr>
        <w:pStyle w:val="nota"/>
        <w:rPr>
          <w:i/>
        </w:rPr>
      </w:pPr>
      <w:r w:rsidRPr="0062549E">
        <w:rPr>
          <w:i/>
        </w:rPr>
        <w:t>c) Que la demanda carezca manifiestamente de contenido que justifique una decisión sobre el fondo de la misma por parte del Tribunal Constitucional.</w:t>
      </w:r>
    </w:p>
    <w:p w14:paraId="0089AD13" w14:textId="77777777" w:rsidR="007B7556" w:rsidRPr="0062549E" w:rsidRDefault="007B7556" w:rsidP="006F44C0">
      <w:pPr>
        <w:pStyle w:val="nota"/>
        <w:rPr>
          <w:i/>
        </w:rPr>
      </w:pPr>
      <w:r w:rsidRPr="0062549E">
        <w:rPr>
          <w:i/>
        </w:rPr>
        <w:t>d) Que el Tribunal Constitucional hubiera ya desestimado en el fondo un recurso o cuestión de inconstitucionalidad o un recurso de amparo en supuesto sustancialmente igual, señalando expresamente en la providencia la resolución o resoluciones desestimatorias.</w:t>
      </w:r>
    </w:p>
    <w:p w14:paraId="3CC16C32" w14:textId="77777777" w:rsidR="007B7556" w:rsidRPr="0062549E" w:rsidRDefault="007B7556" w:rsidP="006F44C0">
      <w:pPr>
        <w:pStyle w:val="nota"/>
        <w:rPr>
          <w:i/>
        </w:rPr>
      </w:pPr>
      <w:r w:rsidRPr="0062549E">
        <w:rPr>
          <w:i/>
        </w:rPr>
        <w:t>2. La providencia a que se refiere el apartado anterior, que indicará el supuesto en el que se encuentra el recurso, se notificará al demandante y al Ministerio Fiscal. Contra dicha providencia solamente podrá recurrir el Ministerio Fiscal, en súplica, en el plazo de tres días. El recurso se resolverá mediante auto.</w:t>
      </w:r>
    </w:p>
    <w:p w14:paraId="6360A024" w14:textId="77777777" w:rsidR="007B7556" w:rsidRPr="0062549E" w:rsidRDefault="007B7556" w:rsidP="006F44C0">
      <w:pPr>
        <w:pStyle w:val="nota"/>
        <w:rPr>
          <w:i/>
        </w:rPr>
      </w:pPr>
      <w:r w:rsidRPr="0062549E">
        <w:rPr>
          <w:i/>
        </w:rPr>
        <w:t>3. Cuando en los supuestos a que alude el apartado primero no hubiere unanimidad, la Sección, previa audiencia del solicitante de amparo y del Ministerio Fiscal, por plazo común que no excederá de diez días, podrá acordar mediante auto la inadmisión del recurso.</w:t>
      </w:r>
    </w:p>
    <w:p w14:paraId="0CEC728D" w14:textId="77777777" w:rsidR="007B7556" w:rsidRPr="0062549E" w:rsidRDefault="007B7556" w:rsidP="006F44C0">
      <w:pPr>
        <w:pStyle w:val="nota"/>
        <w:rPr>
          <w:i/>
        </w:rPr>
      </w:pPr>
      <w:r w:rsidRPr="0062549E">
        <w:rPr>
          <w:i/>
        </w:rPr>
        <w:t>4. Contra los autos a los que se refieren los apartados 2 y 3 anteriores no cabrá recurso alguno.</w:t>
      </w:r>
    </w:p>
    <w:p w14:paraId="65F34D28" w14:textId="77777777" w:rsidR="007B7556" w:rsidRPr="0062549E" w:rsidRDefault="007B7556" w:rsidP="006F44C0">
      <w:pPr>
        <w:pStyle w:val="nota"/>
      </w:pPr>
      <w:r w:rsidRPr="0062549E">
        <w:rPr>
          <w:i/>
        </w:rPr>
        <w:t>5. Cuando en la demanda de amparo concurran uno o varios defectos de naturaleza subsanable, la Sección procederá en la forma prevista en el artículo 85.2; de no producirse la subsanación dentro del plazo fijado en dicho precepto, la Sección acordará la inadmisión mediante providencia, contra la cual no cabrá recurso alguno”.</w:t>
      </w:r>
    </w:p>
  </w:footnote>
  <w:footnote w:id="152">
    <w:p w14:paraId="41E3F1BD" w14:textId="77777777" w:rsidR="007B7556" w:rsidRPr="002E698E" w:rsidRDefault="007B7556" w:rsidP="00C72445">
      <w:pPr>
        <w:pStyle w:val="nota"/>
      </w:pPr>
      <w:r>
        <w:rPr>
          <w:rStyle w:val="Refdenotaalpie"/>
        </w:rPr>
        <w:footnoteRef/>
      </w:r>
      <w:r w:rsidRPr="002E698E">
        <w:t xml:space="preserve"> El artículo 50 ha quedado redactado de la siguiente forma:</w:t>
      </w:r>
    </w:p>
    <w:p w14:paraId="60BDC350" w14:textId="77777777" w:rsidR="007B7556" w:rsidRPr="002E698E" w:rsidRDefault="007B7556" w:rsidP="00C72445">
      <w:pPr>
        <w:pStyle w:val="nota"/>
        <w:rPr>
          <w:i/>
        </w:rPr>
      </w:pPr>
      <w:r w:rsidRPr="002E698E">
        <w:rPr>
          <w:i/>
        </w:rPr>
        <w:t>“1. El recurso de amparo debe ser objeto de una decisión de admisión a trámite. La Sección, por unanimidad de sus miembros, acordará mediante providencia la admisión, en todo o en parte, del recurso solamente cuando concurran todos los siguientes requisitos:</w:t>
      </w:r>
    </w:p>
    <w:p w14:paraId="6AFAC43A" w14:textId="77777777" w:rsidR="007B7556" w:rsidRPr="002E698E" w:rsidRDefault="007B7556" w:rsidP="00C72445">
      <w:pPr>
        <w:pStyle w:val="nota"/>
        <w:rPr>
          <w:i/>
        </w:rPr>
      </w:pPr>
      <w:r w:rsidRPr="002E698E">
        <w:rPr>
          <w:i/>
        </w:rPr>
        <w:t>a) Que la demanda cumpla con lo dispuesto en los artículos 41 a 46 y 49.</w:t>
      </w:r>
    </w:p>
    <w:p w14:paraId="3146E20D" w14:textId="77777777" w:rsidR="007B7556" w:rsidRPr="002E698E" w:rsidRDefault="007B7556" w:rsidP="00C72445">
      <w:pPr>
        <w:pStyle w:val="nota"/>
        <w:rPr>
          <w:i/>
        </w:rPr>
      </w:pPr>
      <w:r w:rsidRPr="002E698E">
        <w:rPr>
          <w:i/>
        </w:rPr>
        <w:t>b) Que el contenido del recurso justifique una decisión sobre el fondo por parte del Tribunal Constitucional en razón de su especial trascendencia constitucional, que se apreciará atendiendo a su importancia para la interpretación de la Constitución, para su aplicación o para su general eficacia, y para la determinación del contenido y alcance de los derechos fundamentales.</w:t>
      </w:r>
    </w:p>
    <w:p w14:paraId="075AE5AB" w14:textId="77777777" w:rsidR="007B7556" w:rsidRPr="002E698E" w:rsidRDefault="007B7556" w:rsidP="00C72445">
      <w:pPr>
        <w:pStyle w:val="nota"/>
        <w:rPr>
          <w:i/>
        </w:rPr>
      </w:pPr>
      <w:r w:rsidRPr="002E698E">
        <w:rPr>
          <w:i/>
        </w:rPr>
        <w:t>2. Cuando la admisión a trámite, aun habiendo obtenido la mayoría, no alcance la unanimidad, la Sección trasladará la decisión a la Sala respectiva para su resolución.</w:t>
      </w:r>
    </w:p>
    <w:p w14:paraId="45297589" w14:textId="77777777" w:rsidR="007B7556" w:rsidRPr="002E698E" w:rsidRDefault="007B7556" w:rsidP="00C72445">
      <w:pPr>
        <w:pStyle w:val="nota"/>
        <w:rPr>
          <w:i/>
        </w:rPr>
      </w:pPr>
      <w:r w:rsidRPr="002E698E">
        <w:rPr>
          <w:i/>
        </w:rPr>
        <w:t>3. Las providencias de inadmisión, adoptadas por las Secciones o las Salas, especificarán el requisito incumplido y se notificarán al demandante y al Ministerio Fiscal. Dichas providencias solamente podrán ser recurridas en súplica por el Ministerio Fiscal en el plazo de tres días. Este recurso se resolverá mediante auto, que no será susceptible de impugnación alguna.</w:t>
      </w:r>
    </w:p>
    <w:p w14:paraId="628EED3F" w14:textId="77777777" w:rsidR="007B7556" w:rsidRPr="002E698E" w:rsidRDefault="007B7556" w:rsidP="00C72445">
      <w:pPr>
        <w:pStyle w:val="nota"/>
      </w:pPr>
      <w:r w:rsidRPr="002E698E">
        <w:rPr>
          <w:i/>
        </w:rPr>
        <w:t>4. Cuando en la demanda de amparo concurran uno o varios defectos de naturaleza subsanable, se procederá en la forma prevista en el artículo 49.4; de no producirse la subsanación dentro del plazo fijado en dicho precepto, la Sección acordará la inadmisión mediante providencia, contra la cual no cabrá recurso alguno”.</w:t>
      </w:r>
    </w:p>
  </w:footnote>
  <w:footnote w:id="153">
    <w:p w14:paraId="203079FB" w14:textId="77777777" w:rsidR="007B7556" w:rsidRPr="0062549E" w:rsidRDefault="007B7556" w:rsidP="006F44C0">
      <w:pPr>
        <w:pStyle w:val="nota"/>
      </w:pPr>
      <w:r>
        <w:rPr>
          <w:rStyle w:val="Refdenotaalpie"/>
        </w:rPr>
        <w:footnoteRef/>
      </w:r>
      <w:r w:rsidRPr="0062549E">
        <w:t xml:space="preserve"> DE LA OLIVA SANTOS, A., «La perversión jurídica del amparo constitucional en España», </w:t>
      </w:r>
      <w:r w:rsidRPr="0062549E">
        <w:rPr>
          <w:i/>
        </w:rPr>
        <w:t>Actualidad Jurídica Aranzadi</w:t>
      </w:r>
      <w:r w:rsidRPr="0062549E">
        <w:t xml:space="preserve">, 2008, </w:t>
      </w:r>
      <w:proofErr w:type="spellStart"/>
      <w:r w:rsidRPr="0062549E">
        <w:t>nº</w:t>
      </w:r>
      <w:proofErr w:type="spellEnd"/>
      <w:r w:rsidRPr="0062549E">
        <w:t xml:space="preserve"> 751, págs. 15-16.</w:t>
      </w:r>
    </w:p>
  </w:footnote>
  <w:footnote w:id="154">
    <w:p w14:paraId="7EC461D4" w14:textId="77777777" w:rsidR="007B7556" w:rsidRPr="0062549E" w:rsidRDefault="007B7556" w:rsidP="006F44C0">
      <w:pPr>
        <w:pStyle w:val="nota"/>
      </w:pPr>
      <w:r>
        <w:rPr>
          <w:rStyle w:val="Refdenotaalpie"/>
        </w:rPr>
        <w:footnoteRef/>
      </w:r>
      <w:r w:rsidRPr="0062549E">
        <w:t xml:space="preserve"> Por tanto, tras la reforma, el recurso deja de tener la finalidad de amparar a sujetos jurídicos perjudicados por la violación de libertades y derechos fundamentales y se sustituye esa finalidad por la de declarar el sentido que el TC quiere atribuir a ciertos preceptos de la Norma Fundamental. Sobre este punto, vid., DE LA OLIVA SANTOS, A., «La perversión jurídica del amparo constitucional en España», </w:t>
      </w:r>
      <w:r w:rsidRPr="0062549E">
        <w:rPr>
          <w:i/>
        </w:rPr>
        <w:t>Actualidad Jurídica Aranzadi</w:t>
      </w:r>
      <w:r w:rsidRPr="0062549E">
        <w:t xml:space="preserve">, 2008, </w:t>
      </w:r>
      <w:proofErr w:type="spellStart"/>
      <w:r w:rsidRPr="0062549E">
        <w:t>nº</w:t>
      </w:r>
      <w:proofErr w:type="spellEnd"/>
      <w:r w:rsidRPr="0062549E">
        <w:t xml:space="preserve"> 751, págs. 15-16.</w:t>
      </w:r>
    </w:p>
  </w:footnote>
  <w:footnote w:id="155">
    <w:p w14:paraId="4EEA0570" w14:textId="77777777" w:rsidR="007B7556" w:rsidRPr="0062549E" w:rsidRDefault="007B7556" w:rsidP="006F44C0">
      <w:pPr>
        <w:pStyle w:val="nota"/>
      </w:pPr>
      <w:r>
        <w:rPr>
          <w:rStyle w:val="Refdenotaalpie"/>
        </w:rPr>
        <w:footnoteRef/>
      </w:r>
      <w:r w:rsidRPr="0062549E">
        <w:t xml:space="preserve"> CARRILLO, M., «La objetivación del recurso de amparo: Una necesidad ineludible», </w:t>
      </w:r>
      <w:r w:rsidRPr="0062549E">
        <w:rPr>
          <w:i/>
        </w:rPr>
        <w:t>Revista Vasca de Administración Pública</w:t>
      </w:r>
      <w:r w:rsidRPr="0062549E">
        <w:t xml:space="preserve">, 2008, </w:t>
      </w:r>
      <w:proofErr w:type="spellStart"/>
      <w:r w:rsidRPr="0062549E">
        <w:t>nº</w:t>
      </w:r>
      <w:proofErr w:type="spellEnd"/>
      <w:r w:rsidRPr="0062549E">
        <w:t xml:space="preserve"> 81, pág. 101.</w:t>
      </w:r>
    </w:p>
  </w:footnote>
  <w:footnote w:id="156">
    <w:p w14:paraId="02DF8A9C" w14:textId="77777777" w:rsidR="007B7556" w:rsidRPr="0062549E" w:rsidRDefault="007B7556" w:rsidP="006F44C0">
      <w:pPr>
        <w:pStyle w:val="nota"/>
      </w:pPr>
      <w:r>
        <w:rPr>
          <w:rStyle w:val="Refdenotaalpie"/>
        </w:rPr>
        <w:footnoteRef/>
      </w:r>
      <w:r w:rsidRPr="0062549E">
        <w:t xml:space="preserve"> Para más información sobre el </w:t>
      </w:r>
      <w:proofErr w:type="spellStart"/>
      <w:r w:rsidRPr="0062549E">
        <w:rPr>
          <w:i/>
        </w:rPr>
        <w:t>certiorari</w:t>
      </w:r>
      <w:proofErr w:type="spellEnd"/>
      <w:r w:rsidRPr="0062549E">
        <w:t xml:space="preserve">: AHUMADA RUIZ, M.A., «El </w:t>
      </w:r>
      <w:proofErr w:type="spellStart"/>
      <w:r w:rsidRPr="0062549E">
        <w:rPr>
          <w:i/>
        </w:rPr>
        <w:t>certiorari</w:t>
      </w:r>
      <w:proofErr w:type="spellEnd"/>
      <w:r w:rsidRPr="0062549E">
        <w:t xml:space="preserve">. Ejercicio discrecional de la Jurisdicción de apelación por el Tribunal Supremo de los Estados Unidos», </w:t>
      </w:r>
      <w:r w:rsidRPr="0062549E">
        <w:rPr>
          <w:i/>
        </w:rPr>
        <w:t>Revista Española de Derecho Constitucional</w:t>
      </w:r>
      <w:r w:rsidRPr="0062549E">
        <w:t xml:space="preserve">, 1994, </w:t>
      </w:r>
      <w:proofErr w:type="spellStart"/>
      <w:r w:rsidRPr="0062549E">
        <w:t>nº</w:t>
      </w:r>
      <w:proofErr w:type="spellEnd"/>
      <w:r w:rsidRPr="0062549E">
        <w:t xml:space="preserve"> 41, págs. 89-138.</w:t>
      </w:r>
    </w:p>
  </w:footnote>
  <w:footnote w:id="157">
    <w:p w14:paraId="54D52BE2" w14:textId="77777777" w:rsidR="007B7556" w:rsidRPr="0062549E" w:rsidRDefault="007B7556" w:rsidP="006F44C0">
      <w:pPr>
        <w:pStyle w:val="nota"/>
      </w:pPr>
      <w:r>
        <w:rPr>
          <w:rStyle w:val="Refdenotaalpie"/>
        </w:rPr>
        <w:footnoteRef/>
      </w:r>
      <w:r w:rsidRPr="0062549E">
        <w:t xml:space="preserve"> ROMBOLI, R., «La reforma del recurso de amparo ante el Tribunal Constitucional en España, y la introducción de un recurso individual y directo en Italia», </w:t>
      </w:r>
      <w:r w:rsidRPr="0062549E">
        <w:rPr>
          <w:i/>
        </w:rPr>
        <w:t>Revista de Derecho Constitucional Europeo,</w:t>
      </w:r>
      <w:r w:rsidRPr="0062549E">
        <w:t xml:space="preserve"> 2009, núm. 11, pág. 350.</w:t>
      </w:r>
    </w:p>
  </w:footnote>
  <w:footnote w:id="158">
    <w:p w14:paraId="11015333" w14:textId="77777777" w:rsidR="007B7556" w:rsidRPr="00801237" w:rsidRDefault="007B7556" w:rsidP="00C72445">
      <w:pPr>
        <w:pStyle w:val="nota"/>
      </w:pPr>
      <w:r>
        <w:rPr>
          <w:rStyle w:val="Refdenotaalpie"/>
        </w:rPr>
        <w:footnoteRef/>
      </w:r>
      <w:r w:rsidRPr="00801237">
        <w:t xml:space="preserve"> El artículo 52 queda redactado como sigue:</w:t>
      </w:r>
    </w:p>
    <w:p w14:paraId="7AE18AB0" w14:textId="77777777" w:rsidR="007B7556" w:rsidRPr="00801237" w:rsidRDefault="007B7556" w:rsidP="00C72445">
      <w:pPr>
        <w:pStyle w:val="nota"/>
        <w:rPr>
          <w:i/>
        </w:rPr>
      </w:pPr>
      <w:r w:rsidRPr="00801237">
        <w:rPr>
          <w:i/>
        </w:rPr>
        <w:t>“1. Recibidas las actuaciones y transcurrido el tiempo de emplazamiento, la Sala dará vista de las mismas a quien promovió el amparo, a los personados en el proceso, al Abogado del Estado, si estuviera interesada la Administración Pública y al Ministerio Fiscal. La vista será por plazo común que no podrá exceder de veinte días, y durante él podrán presentarse las alegaciones procedentes.</w:t>
      </w:r>
    </w:p>
    <w:p w14:paraId="399286DC" w14:textId="77777777" w:rsidR="007B7556" w:rsidRPr="00801237" w:rsidRDefault="007B7556" w:rsidP="00C72445">
      <w:pPr>
        <w:pStyle w:val="nota"/>
        <w:rPr>
          <w:i/>
        </w:rPr>
      </w:pPr>
      <w:r w:rsidRPr="00801237">
        <w:rPr>
          <w:i/>
        </w:rPr>
        <w:t>2. Presentadas las alegaciones o transcurrido el plazo otorgado para efectuarlas, la Sala podrá deferir la resolución del recurso, cuando para su resolución sea aplicable doctrina consolidada del Tribunal Constitucional, a una de sus Secciones o señalar día para la vista, en su caso, o deliberación y votación.</w:t>
      </w:r>
    </w:p>
    <w:p w14:paraId="454C88C1" w14:textId="77777777" w:rsidR="007B7556" w:rsidRPr="00801237" w:rsidRDefault="007B7556" w:rsidP="00C72445">
      <w:pPr>
        <w:pStyle w:val="nota"/>
      </w:pPr>
      <w:r w:rsidRPr="00801237">
        <w:rPr>
          <w:i/>
        </w:rPr>
        <w:t>3. La Sala, o en su caso la Sección, pronunciará la sentencia que proceda en el plazo de 10 días a partir del día señalado para la vista o deliberación”.</w:t>
      </w:r>
    </w:p>
  </w:footnote>
  <w:footnote w:id="159">
    <w:p w14:paraId="24271DFF" w14:textId="77777777" w:rsidR="007B7556" w:rsidRPr="0062549E" w:rsidRDefault="007B7556" w:rsidP="006F44C0">
      <w:pPr>
        <w:pStyle w:val="nota"/>
        <w:rPr>
          <w:i/>
        </w:rPr>
      </w:pPr>
      <w:r>
        <w:rPr>
          <w:rStyle w:val="Refdenotaalpie"/>
        </w:rPr>
        <w:footnoteRef/>
      </w:r>
      <w:r w:rsidRPr="0062549E">
        <w:t xml:space="preserve"> Artículo 51 LOTC</w:t>
      </w:r>
    </w:p>
    <w:p w14:paraId="0BB676DD" w14:textId="77777777" w:rsidR="007B7556" w:rsidRPr="0062549E" w:rsidRDefault="007B7556" w:rsidP="006F44C0">
      <w:pPr>
        <w:pStyle w:val="nota"/>
        <w:rPr>
          <w:i/>
        </w:rPr>
      </w:pPr>
      <w:r w:rsidRPr="0062549E">
        <w:rPr>
          <w:i/>
        </w:rPr>
        <w:t xml:space="preserve"> “Uno. Admitida la demanda de amparo, la Sala requerirá con carácter urgente al órgano o a la autoridad de que dimane la decisión, el acto o el hecho, o al Juez o Tribunal que conoció del procedimiento precedente para que, en plazo que no podrá exceder de diez días, remita las actuaciones o testimonio de ellas.</w:t>
      </w:r>
    </w:p>
    <w:p w14:paraId="3875062D" w14:textId="77777777" w:rsidR="007B7556" w:rsidRPr="0062549E" w:rsidRDefault="007B7556" w:rsidP="006F44C0">
      <w:pPr>
        <w:pStyle w:val="nota"/>
      </w:pPr>
      <w:r w:rsidRPr="0062549E">
        <w:rPr>
          <w:i/>
        </w:rPr>
        <w:t>Dos. El órgano, autoridad, Juez o Tribunal acusará inmediato recibo del requerimiento, cumplimentará el envío dentro del plazo señalado y emplazará a quienes fueron parte en el procedimiento antecedente para que puedan comparecer en el proceso constitucional en el plazo de diez días”.</w:t>
      </w:r>
    </w:p>
  </w:footnote>
  <w:footnote w:id="160">
    <w:p w14:paraId="7C7ACD60" w14:textId="77777777" w:rsidR="007B7556" w:rsidRPr="0062549E" w:rsidRDefault="007B7556" w:rsidP="006F44C0">
      <w:pPr>
        <w:pStyle w:val="nota"/>
      </w:pPr>
      <w:r>
        <w:rPr>
          <w:rStyle w:val="Refdenotaalpie"/>
        </w:rPr>
        <w:footnoteRef/>
      </w:r>
      <w:r w:rsidRPr="0062549E">
        <w:t xml:space="preserve"> La anterior redacción del artículo 52 establecía lo siguiente:</w:t>
      </w:r>
    </w:p>
    <w:p w14:paraId="0E25E4B3" w14:textId="77777777" w:rsidR="007B7556" w:rsidRPr="0062549E" w:rsidRDefault="007B7556" w:rsidP="006F44C0">
      <w:pPr>
        <w:pStyle w:val="nota"/>
        <w:rPr>
          <w:i/>
        </w:rPr>
      </w:pPr>
      <w:r w:rsidRPr="0062549E">
        <w:rPr>
          <w:i/>
        </w:rPr>
        <w:t>“Uno. Recibidas las actuaciones y transcurrido el tiempo de emplazamiento, la Sala dará vista de las mismas a quien promovió el amparo, a los personados en el proceso, al Abogado del Estado, si estuviera interesada la Administración Pública, y al Ministerio Fiscal. La vista será por plazo común que no podrá exceder de veinte días, y durante él podrán presentarse las alegaciones procedentes.</w:t>
      </w:r>
    </w:p>
    <w:p w14:paraId="5EC34E37" w14:textId="77777777" w:rsidR="007B7556" w:rsidRPr="0062549E" w:rsidRDefault="007B7556" w:rsidP="006F44C0">
      <w:pPr>
        <w:pStyle w:val="nota"/>
        <w:rPr>
          <w:i/>
        </w:rPr>
      </w:pPr>
      <w:r w:rsidRPr="0062549E">
        <w:rPr>
          <w:i/>
        </w:rPr>
        <w:t>Dos. La Sala, de oficio o a instancia de parte, podrá acordar la sustitución de trámite de alegaciones por la celebración de vista oral.</w:t>
      </w:r>
    </w:p>
    <w:p w14:paraId="059C6DC0" w14:textId="77777777" w:rsidR="007B7556" w:rsidRPr="0062549E" w:rsidRDefault="007B7556" w:rsidP="006F44C0">
      <w:pPr>
        <w:pStyle w:val="nota"/>
      </w:pPr>
      <w:r w:rsidRPr="0062549E">
        <w:rPr>
          <w:i/>
        </w:rPr>
        <w:t>Tres. Presentadas las alegaciones o transcurrido el plazo otorgado sin otros trámites, la Sala pronunciará la sentencia que proceda en el plazo de diez días”.</w:t>
      </w:r>
    </w:p>
  </w:footnote>
  <w:footnote w:id="161">
    <w:p w14:paraId="5D2B0317" w14:textId="77777777" w:rsidR="007B7556" w:rsidRDefault="007B7556" w:rsidP="00C72445">
      <w:pPr>
        <w:pStyle w:val="nota"/>
      </w:pPr>
      <w:r>
        <w:rPr>
          <w:rStyle w:val="Refdenotaalpie"/>
        </w:rPr>
        <w:footnoteRef/>
      </w:r>
      <w:r w:rsidRPr="000A1FD3">
        <w:t xml:space="preserve"> </w:t>
      </w:r>
      <w:r>
        <w:t>En el año 2008 se dictaron cinco Sentencias por la Sección 1ª, tres por la 2ª, 4 por la 3ª y nueve por la 4ª.</w:t>
      </w:r>
    </w:p>
    <w:p w14:paraId="562266DD" w14:textId="77777777" w:rsidR="007B7556" w:rsidRDefault="007B7556" w:rsidP="00C72445">
      <w:pPr>
        <w:pStyle w:val="nota"/>
      </w:pPr>
      <w:r>
        <w:t>En el año 2009 se dictaron once Sentencias por la Sección 1ª, ocho por la 2ª, once por la 3ª y ocho por la 4ª.</w:t>
      </w:r>
    </w:p>
    <w:p w14:paraId="00D12081" w14:textId="77777777" w:rsidR="007B7556" w:rsidRDefault="007B7556" w:rsidP="00C72445">
      <w:pPr>
        <w:pStyle w:val="nota"/>
      </w:pPr>
      <w:r>
        <w:t>En el año 2010 se dictaron tres Sentencias por la Sección 1ª, una por la 2ª, ninguna por la 3ª y cuatro por la 4ª.</w:t>
      </w:r>
    </w:p>
    <w:p w14:paraId="71D89DC5" w14:textId="77777777" w:rsidR="007B7556" w:rsidRDefault="007B7556" w:rsidP="00C72445">
      <w:pPr>
        <w:pStyle w:val="nota"/>
      </w:pPr>
      <w:r>
        <w:t>En el año 2011 se dictaron once Sentencias por la Sección 1ª, once por la 2ª, nueve por la 3ª y doce por la 4ª.</w:t>
      </w:r>
    </w:p>
    <w:p w14:paraId="1E299584" w14:textId="77777777" w:rsidR="007B7556" w:rsidRPr="000A1FD3" w:rsidRDefault="007B7556" w:rsidP="006F44C0">
      <w:pPr>
        <w:pStyle w:val="Textonotapie"/>
      </w:pPr>
    </w:p>
  </w:footnote>
  <w:footnote w:id="162">
    <w:p w14:paraId="3C59AD37" w14:textId="77777777" w:rsidR="007B7556" w:rsidRDefault="007B7556" w:rsidP="00C72445">
      <w:pPr>
        <w:pStyle w:val="nota"/>
      </w:pPr>
      <w:r>
        <w:rPr>
          <w:rStyle w:val="Refdenotaalpie"/>
        </w:rPr>
        <w:footnoteRef/>
      </w:r>
      <w:r w:rsidRPr="00110124">
        <w:t xml:space="preserve"> </w:t>
      </w:r>
      <w:r>
        <w:t>Artículo 54:</w:t>
      </w:r>
    </w:p>
    <w:p w14:paraId="5756DCAA" w14:textId="77777777" w:rsidR="007B7556" w:rsidRPr="00110124" w:rsidRDefault="007B7556" w:rsidP="00C72445">
      <w:pPr>
        <w:pStyle w:val="nota"/>
      </w:pPr>
      <w:r w:rsidRPr="00110124">
        <w:rPr>
          <w:i/>
          <w:color w:val="000000" w:themeColor="text1"/>
        </w:rPr>
        <w:t>“Cuando la Sala o, en su caso, la Sección conozca del recurso de amparo respecto de decisiones de jueces y tribunales, limitará su función a concretar si se han violado derechos o libertades del demandante y a preservar o restablecer estos derechos o libertades, y se abstendrá de cualquier otra consideración sobre la actuación de los órganos jurisdiccionales”.</w:t>
      </w:r>
    </w:p>
  </w:footnote>
  <w:footnote w:id="163">
    <w:p w14:paraId="3A5C3CC0" w14:textId="77777777" w:rsidR="007B7556" w:rsidRPr="00E055C7" w:rsidRDefault="007B7556" w:rsidP="006F44C0">
      <w:pPr>
        <w:pStyle w:val="nota"/>
      </w:pPr>
      <w:r>
        <w:rPr>
          <w:rStyle w:val="Refdenotaalpie"/>
        </w:rPr>
        <w:footnoteRef/>
      </w:r>
      <w:r w:rsidRPr="00E055C7">
        <w:t xml:space="preserve"> La nueva redacción establece lo siguiente:</w:t>
      </w:r>
    </w:p>
    <w:p w14:paraId="7F93672A" w14:textId="77777777" w:rsidR="007B7556" w:rsidRPr="00C47DA4" w:rsidRDefault="007B7556" w:rsidP="006F44C0">
      <w:pPr>
        <w:pStyle w:val="nota"/>
        <w:rPr>
          <w:i/>
        </w:rPr>
      </w:pPr>
      <w:r w:rsidRPr="00C47DA4">
        <w:rPr>
          <w:i/>
        </w:rPr>
        <w:t>“Dos. En el supuesto de que el recurso de amparo debiera ser estimado porque, a juicio de la Sala o, en su caso, la Sección, la ley aplicada lesione derechos fundamentales o libertades públicas, se elevará la cuestión al Pleno con suspensión del plazo para dictar sentencia, de conformidad con lo prevenido en los artículos 35 y siguientes”.</w:t>
      </w:r>
    </w:p>
    <w:p w14:paraId="54E9B928" w14:textId="77777777" w:rsidR="007B7556" w:rsidRPr="00E055C7" w:rsidRDefault="007B7556" w:rsidP="006F44C0">
      <w:pPr>
        <w:pStyle w:val="Textonotapie"/>
      </w:pPr>
    </w:p>
  </w:footnote>
  <w:footnote w:id="164">
    <w:p w14:paraId="257119F6" w14:textId="18749721" w:rsidR="007B7556" w:rsidRPr="0062549E" w:rsidRDefault="007B7556" w:rsidP="006F44C0">
      <w:pPr>
        <w:pStyle w:val="nota"/>
      </w:pPr>
      <w:r>
        <w:rPr>
          <w:rStyle w:val="Refdenotaalpie"/>
        </w:rPr>
        <w:footnoteRef/>
      </w:r>
      <w:r w:rsidRPr="0062549E">
        <w:t xml:space="preserve"> La redacción </w:t>
      </w:r>
      <w:r w:rsidR="004B058B" w:rsidRPr="0062549E">
        <w:t>del artículo</w:t>
      </w:r>
      <w:r w:rsidRPr="0062549E">
        <w:t xml:space="preserve"> 57 y 58 continúa siendo la misma:</w:t>
      </w:r>
    </w:p>
    <w:p w14:paraId="7EFDB174" w14:textId="77777777" w:rsidR="007B7556" w:rsidRPr="0062549E" w:rsidRDefault="007B7556" w:rsidP="006F44C0">
      <w:pPr>
        <w:pStyle w:val="nota"/>
      </w:pPr>
      <w:r>
        <w:t>Artículo 57</w:t>
      </w:r>
    </w:p>
    <w:p w14:paraId="658DAD18" w14:textId="77777777" w:rsidR="007B7556" w:rsidRPr="0062549E" w:rsidRDefault="007B7556" w:rsidP="006F44C0">
      <w:pPr>
        <w:pStyle w:val="nota"/>
        <w:rPr>
          <w:i/>
        </w:rPr>
      </w:pPr>
      <w:r w:rsidRPr="0062549E">
        <w:rPr>
          <w:i/>
        </w:rPr>
        <w:t>“La suspensión o su denegación puede ser modificada durante el curso del juicio de amparo constitucional, de oficio o a instancia de parte, en virtud de circunstancias sobrevenidas o que no pudieron ser conocidas al tiempo de sustanciarse el incidente de suspensión”.</w:t>
      </w:r>
    </w:p>
    <w:p w14:paraId="07365899" w14:textId="77777777" w:rsidR="007B7556" w:rsidRPr="0062549E" w:rsidRDefault="007B7556" w:rsidP="006F44C0">
      <w:pPr>
        <w:pStyle w:val="nota"/>
      </w:pPr>
      <w:r>
        <w:t>Artículo 58</w:t>
      </w:r>
    </w:p>
    <w:p w14:paraId="4AF1A81E" w14:textId="77777777" w:rsidR="007B7556" w:rsidRPr="0062549E" w:rsidRDefault="007B7556" w:rsidP="006F44C0">
      <w:pPr>
        <w:pStyle w:val="nota"/>
        <w:rPr>
          <w:i/>
        </w:rPr>
      </w:pPr>
      <w:r w:rsidRPr="0062549E">
        <w:rPr>
          <w:i/>
        </w:rPr>
        <w:t>“Uno. Serán competentes para resolver sobre las peticiones de indemnización de los daños causados como consecuencia de la concesión o denegación de la suspensión los Jueces o Tribunales, a cuya disposición se pondrán las fianzas constituidas.</w:t>
      </w:r>
    </w:p>
    <w:p w14:paraId="33CB6C21" w14:textId="77777777" w:rsidR="007B7556" w:rsidRPr="0062549E" w:rsidRDefault="007B7556" w:rsidP="006F44C0">
      <w:pPr>
        <w:pStyle w:val="nota"/>
      </w:pPr>
      <w:r w:rsidRPr="0062549E">
        <w:rPr>
          <w:i/>
        </w:rPr>
        <w:t>Dos. Las peticiones de indemnización, que se sustanciarán por el trámite de los incidentes, deberán presentarse dentro del plazo de un año a partir de la publicación de la sentencia del Tribunal Constitucional”.</w:t>
      </w:r>
    </w:p>
  </w:footnote>
  <w:footnote w:id="165">
    <w:p w14:paraId="1DFFF0AD" w14:textId="77777777" w:rsidR="007B7556" w:rsidRPr="0062549E" w:rsidRDefault="007B7556" w:rsidP="00C72445">
      <w:pPr>
        <w:pStyle w:val="nota"/>
      </w:pPr>
      <w:r>
        <w:rPr>
          <w:rStyle w:val="Refdenotaalpie"/>
        </w:rPr>
        <w:footnoteRef/>
      </w:r>
      <w:r w:rsidRPr="0062549E">
        <w:t xml:space="preserve"> La anterior redacción del artículo 56 rezaba lo siguiente:</w:t>
      </w:r>
    </w:p>
    <w:p w14:paraId="7EC0E9A5" w14:textId="77777777" w:rsidR="007B7556" w:rsidRPr="0062549E" w:rsidRDefault="007B7556" w:rsidP="00C72445">
      <w:pPr>
        <w:pStyle w:val="nota"/>
        <w:rPr>
          <w:i/>
        </w:rPr>
      </w:pPr>
      <w:r w:rsidRPr="0062549E">
        <w:rPr>
          <w:i/>
        </w:rPr>
        <w:t>“Uno. La Sala que conozca de un recurso de amparo suspenderá, de oficio o a instancia del recurrente, la ejecución del acto de los poderes públicos por razón del cual se reclame el amparo constitucional, cuando la ejecución hubiere de ocasionar un perjuicio que haría perder al amparo su finalidad. Podrá, no obstante, denegar la suspensión cuando de ésta pueda seguirse perturbación grave de los intereses generales, o de los derechos fundamentales o libertades públicas de un tercero.</w:t>
      </w:r>
    </w:p>
    <w:p w14:paraId="49D0661D" w14:textId="77777777" w:rsidR="007B7556" w:rsidRPr="0062549E" w:rsidRDefault="007B7556" w:rsidP="00C72445">
      <w:pPr>
        <w:pStyle w:val="nota"/>
      </w:pPr>
      <w:r w:rsidRPr="0062549E">
        <w:rPr>
          <w:i/>
        </w:rPr>
        <w:t>Dos. La suspensión podrá pedirse en cualquier tiempo, antes de haberse pronunciado sentencia o decidirse el amparo de otro modo. El incidente de suspensión se sustanciará con audiencia de las partes, y del Ministerio Fiscal, por plazo común que no excederá de tres días y con informe de las autoridades responsables de la ejecución, si la Sala lo creyera necesario. La suspensión podrá acordarse con o sin afianzamiento. La Sala podrá condicionar la denegación de la suspensión en el caso de que pudiere seguirse perturbación grave de los derechos de un tercero, a la constitución de caución suficiente para responder de los daños o perjuicios que pudieren originarse”.</w:t>
      </w:r>
    </w:p>
  </w:footnote>
  <w:footnote w:id="166">
    <w:p w14:paraId="5AEA3416" w14:textId="77777777" w:rsidR="007B7556" w:rsidRPr="0062549E" w:rsidRDefault="007B7556" w:rsidP="00C72445">
      <w:pPr>
        <w:pStyle w:val="nota"/>
      </w:pPr>
      <w:r>
        <w:rPr>
          <w:rStyle w:val="Refdenotaalpie"/>
        </w:rPr>
        <w:footnoteRef/>
      </w:r>
      <w:r w:rsidRPr="0062549E">
        <w:t xml:space="preserve"> </w:t>
      </w:r>
      <w:r>
        <w:t>Nueva redacción del a</w:t>
      </w:r>
      <w:r w:rsidRPr="0062549E">
        <w:t>rtículo 56:</w:t>
      </w:r>
    </w:p>
    <w:p w14:paraId="65DD09C1" w14:textId="77777777" w:rsidR="007B7556" w:rsidRPr="0062549E" w:rsidRDefault="007B7556" w:rsidP="00C72445">
      <w:pPr>
        <w:pStyle w:val="nota"/>
        <w:rPr>
          <w:i/>
        </w:rPr>
      </w:pPr>
      <w:r w:rsidRPr="0062549E">
        <w:rPr>
          <w:i/>
        </w:rPr>
        <w:t>“1. La interposición del recurso de amparo no suspenderá los efectos del acto o sentencia impugnados.</w:t>
      </w:r>
    </w:p>
    <w:p w14:paraId="6BCC222D" w14:textId="6E915144" w:rsidR="007B7556" w:rsidRPr="0062549E" w:rsidRDefault="007B7556" w:rsidP="00C72445">
      <w:pPr>
        <w:pStyle w:val="nota"/>
        <w:rPr>
          <w:i/>
        </w:rPr>
      </w:pPr>
      <w:r w:rsidRPr="0062549E">
        <w:rPr>
          <w:i/>
        </w:rPr>
        <w:t xml:space="preserve">2. </w:t>
      </w:r>
      <w:r w:rsidR="004B058B" w:rsidRPr="0062549E">
        <w:rPr>
          <w:i/>
        </w:rPr>
        <w:t>Ello,</w:t>
      </w:r>
      <w:r w:rsidRPr="0062549E">
        <w:rPr>
          <w:i/>
        </w:rPr>
        <w:t xml:space="preserve"> no obstante, cuando la ejecución del acto o sentencia impugnados produzca un perjuicio al recurrente que pudiera hacer perder al amparo su finalidad, la Sala, o la Sección en el supuesto del artículo 52.2, de oficio o a instancia del recurrente, podrá disponer la suspensión, total o parcial, de sus efectos, siempre y cuando la suspensión no ocasione perturbación grave a un interés constitucionalmente protegido, ni a los derechos fundamentales o libertades de otra persona.</w:t>
      </w:r>
    </w:p>
    <w:p w14:paraId="11481C3A" w14:textId="77777777" w:rsidR="007B7556" w:rsidRPr="0062549E" w:rsidRDefault="007B7556" w:rsidP="00C72445">
      <w:pPr>
        <w:pStyle w:val="nota"/>
        <w:rPr>
          <w:i/>
        </w:rPr>
      </w:pPr>
      <w:r w:rsidRPr="0062549E">
        <w:rPr>
          <w:i/>
        </w:rPr>
        <w:t>3. Asimismo, la Sala o la Sección podrá adoptar cualesquiera medidas cautelares y resoluciones provisionales previstas en el ordenamiento, que, por su naturaleza, puedan aplicarse en el proceso de amparo y tiendan a evitar que el recurso pierda su finalidad.</w:t>
      </w:r>
    </w:p>
    <w:p w14:paraId="166F848F" w14:textId="77777777" w:rsidR="007B7556" w:rsidRPr="0062549E" w:rsidRDefault="007B7556" w:rsidP="00C72445">
      <w:pPr>
        <w:pStyle w:val="nota"/>
        <w:rPr>
          <w:i/>
        </w:rPr>
      </w:pPr>
      <w:r w:rsidRPr="0062549E">
        <w:rPr>
          <w:i/>
        </w:rPr>
        <w:t>4. La suspensión u otra medida cautelar podrá pedirse en cualquier tiempo, antes de haberse pronunciado la sentencia o decidirse el amparo de otro modo. El incidente de suspensión se sustanciará con audiencia de las partes y del Ministerio Fiscal, por un plazo común que no excederá de tres días y con el informe de las autoridades responsables de la ejecución, si la Sala o la Sección lo creyera necesario. La Sala o la Sección podrá condicionar la denegación de la suspensión en el caso de que pudiera seguirse perturbación grave de los derechos de un tercero, a la constitución de caución suficiente para responder de los daños o perjuicios que pudieran originarse.</w:t>
      </w:r>
    </w:p>
    <w:p w14:paraId="4F3D3139" w14:textId="77777777" w:rsidR="007B7556" w:rsidRPr="0062549E" w:rsidRDefault="007B7556" w:rsidP="00C72445">
      <w:pPr>
        <w:pStyle w:val="nota"/>
        <w:rPr>
          <w:i/>
        </w:rPr>
      </w:pPr>
      <w:r w:rsidRPr="0062549E">
        <w:rPr>
          <w:i/>
        </w:rPr>
        <w:t>5. La Sala o la Sección podrá condicionar la suspensión de la ejecución y la adopción de las medidas cautelares a la satisfacción por el interesado de la oportuna fianza suficiente para responder de los daños y perjuicios que pudieren originarse. Su fijación y determinación podrá delegarse en el órgano jurisdiccional de instancia.</w:t>
      </w:r>
    </w:p>
    <w:p w14:paraId="79963849" w14:textId="77777777" w:rsidR="007B7556" w:rsidRPr="0062549E" w:rsidRDefault="007B7556" w:rsidP="00C72445">
      <w:pPr>
        <w:pStyle w:val="nota"/>
      </w:pPr>
      <w:r w:rsidRPr="0062549E">
        <w:rPr>
          <w:i/>
        </w:rPr>
        <w:t>6. En supuestos de urgencia excepcional, la adopción de la suspensión y de las medidas cautelares y provisionales podrá efectuarse en la resolución de la admisión a trámite. Dicha adopción podrá ser impugnada en el plazo de cinco días desde su notificación, por el Ministerio Fiscal y demás partes personadas. La Sala o la Sección resolverá el incidente mediante auto no susceptible de recurso alguno”.</w:t>
      </w:r>
    </w:p>
  </w:footnote>
  <w:footnote w:id="167">
    <w:p w14:paraId="12FA4DE5" w14:textId="77777777" w:rsidR="007B7556" w:rsidRPr="006C405C" w:rsidRDefault="007B7556" w:rsidP="006F44C0">
      <w:pPr>
        <w:pStyle w:val="nota"/>
      </w:pPr>
      <w:r>
        <w:rPr>
          <w:rStyle w:val="Refdenotaalpie"/>
        </w:rPr>
        <w:footnoteRef/>
      </w:r>
      <w:r w:rsidRPr="0062549E">
        <w:t xml:space="preserve"> ARAGÓN REYES, M., «El incidente de nulidad de actuaciones como remedio previo al recurso de amparo. La función del Ministerio Fiscal», </w:t>
      </w:r>
      <w:r w:rsidRPr="0062549E">
        <w:rPr>
          <w:i/>
        </w:rPr>
        <w:t>UNED. Teoría y Realidad Constitucional</w:t>
      </w:r>
      <w:r w:rsidRPr="0062549E">
        <w:t xml:space="preserve">, núm. 28, 2011, págs. </w:t>
      </w:r>
      <w:r w:rsidRPr="006C405C">
        <w:t>373-375.</w:t>
      </w:r>
    </w:p>
  </w:footnote>
  <w:footnote w:id="168">
    <w:p w14:paraId="278B09F5" w14:textId="77777777" w:rsidR="007B7556" w:rsidRPr="0062549E" w:rsidRDefault="007B7556" w:rsidP="006F44C0">
      <w:pPr>
        <w:pStyle w:val="nota"/>
      </w:pPr>
      <w:r>
        <w:rPr>
          <w:rStyle w:val="Refdenotaalpie"/>
        </w:rPr>
        <w:footnoteRef/>
      </w:r>
      <w:r w:rsidRPr="0062549E">
        <w:t xml:space="preserve"> Anterior redacción del artículo 241.1 de la LOPJ:</w:t>
      </w:r>
    </w:p>
    <w:p w14:paraId="1C09C596" w14:textId="77777777" w:rsidR="007B7556" w:rsidRPr="0062549E" w:rsidRDefault="007B7556" w:rsidP="006F44C0">
      <w:pPr>
        <w:pStyle w:val="nota"/>
        <w:rPr>
          <w:i/>
        </w:rPr>
      </w:pPr>
      <w:r w:rsidRPr="0062549E">
        <w:rPr>
          <w:i/>
        </w:rPr>
        <w:t>“1. No se admitirán con carácter general incidentes de nulidad de actuaciones. Sin embargo, excepcionalmente, quienes sean parte legítima o hubieran debido serlo, podrán pedir por escrito que se declare la nulidad de actuaciones fundada en defectos de forma que hayan causado indefensión o en la incongruencia del fallo, siempre que los primeros no hayan podido denunciarse antes de recaer resolución que ponga fin al proceso y que, en uno u otro caso, ésta no sea susceptible de recurso ordinario ni extraordinario”.</w:t>
      </w:r>
    </w:p>
  </w:footnote>
  <w:footnote w:id="169">
    <w:p w14:paraId="3DEDCD34" w14:textId="77777777" w:rsidR="007B7556" w:rsidRPr="0062549E" w:rsidRDefault="007B7556" w:rsidP="006F44C0">
      <w:pPr>
        <w:pStyle w:val="Textonotapie"/>
      </w:pPr>
      <w:r>
        <w:rPr>
          <w:rStyle w:val="Refdenotaalpie"/>
        </w:rPr>
        <w:footnoteRef/>
      </w:r>
      <w:r w:rsidRPr="0062549E">
        <w:t xml:space="preserve"> La nueva redacción dispone:</w:t>
      </w:r>
    </w:p>
    <w:p w14:paraId="66E62931" w14:textId="77777777" w:rsidR="007B7556" w:rsidRPr="0062549E" w:rsidRDefault="007B7556" w:rsidP="00C72445">
      <w:pPr>
        <w:pStyle w:val="nota"/>
      </w:pPr>
      <w:r w:rsidRPr="0062549E">
        <w:t>“1. No se admitirán con carácter general incidentes de nulidad de actuaciones. Sin embargo, excepcionalmente, quienes sean parte legítima o hubieran debido serlo podrán pedir por escrito que se declare la nulidad de actuaciones fundada en cualquier vulneración de un derecho fundamental de los referidos en el artículo 53.2 de la Constitución, siempre que no haya podido denunciarse antes de recaer resolución que ponga fin al proceso y siempre que dicha resolución no sea susceptible de recurso ordinario ni extraordinario.</w:t>
      </w:r>
    </w:p>
    <w:p w14:paraId="26C72CD2" w14:textId="5D429EBB" w:rsidR="007B7556" w:rsidRPr="0062549E" w:rsidRDefault="007B7556" w:rsidP="00C72445">
      <w:pPr>
        <w:pStyle w:val="nota"/>
      </w:pPr>
      <w:r w:rsidRPr="0062549E">
        <w:t>Será competente para conocer de este incidente el mismo juzgado o tribunal que dictó la resolución que hubiere adquirido firmeza. El plazo para pedir la nulidad será de 20 días, desde la notificación de la resolución o, en todo caso, desde que se tuvo conocimiento del defecto causante de indefensión, sin que, en este último caso, pueda solicitarse la nulidad de actuaciones después de transcurridos cinco años desde la notificación de la resolución.</w:t>
      </w:r>
    </w:p>
    <w:p w14:paraId="420F3CF8" w14:textId="77777777" w:rsidR="007B7556" w:rsidRPr="0062549E" w:rsidRDefault="007B7556" w:rsidP="00C72445">
      <w:pPr>
        <w:pStyle w:val="nota"/>
      </w:pPr>
      <w:r w:rsidRPr="0062549E">
        <w:t>El juzgado o tribunal inadmitirá a trámite, mediante providencia sucintamente motivada, cualquier incidente en el que se pretenda suscitar otras cuestiones. Contra la resolución por la que se inadmita a trámite el incidente no cabrá recurso alguno”.</w:t>
      </w:r>
    </w:p>
  </w:footnote>
  <w:footnote w:id="170">
    <w:p w14:paraId="5DA2D746" w14:textId="77777777" w:rsidR="007B7556" w:rsidRPr="0062549E" w:rsidRDefault="007B7556" w:rsidP="00C72445">
      <w:pPr>
        <w:pStyle w:val="nota"/>
      </w:pPr>
      <w:r>
        <w:rPr>
          <w:rStyle w:val="Refdenotaalpie"/>
        </w:rPr>
        <w:footnoteRef/>
      </w:r>
      <w:r w:rsidRPr="0062549E">
        <w:t xml:space="preserve"> ARAGÓN REYES, M., «El incidente de nulidad de actuaciones como remedio previo al recurso de amparo. La función del Ministerio Fiscal», </w:t>
      </w:r>
      <w:r w:rsidRPr="0062549E">
        <w:rPr>
          <w:i/>
        </w:rPr>
        <w:t>UNED. Teoría y Realidad Constitucional</w:t>
      </w:r>
      <w:r w:rsidRPr="0062549E">
        <w:t>, núm. 28, 2011, pág. 374.</w:t>
      </w:r>
    </w:p>
  </w:footnote>
  <w:footnote w:id="171">
    <w:p w14:paraId="22EEE430" w14:textId="131FBD1D" w:rsidR="007B7556" w:rsidRDefault="007B7556" w:rsidP="00C220E7">
      <w:pPr>
        <w:pStyle w:val="nota"/>
      </w:pPr>
      <w:r>
        <w:rPr>
          <w:rStyle w:val="Refdenotaalpie"/>
        </w:rPr>
        <w:footnoteRef/>
      </w:r>
      <w:r>
        <w:t xml:space="preserve"> Sobre la objetivación del recurso de amparo: </w:t>
      </w:r>
      <w:r w:rsidRPr="00C220E7">
        <w:t>AA. VV</w:t>
      </w:r>
      <w:r w:rsidRPr="00C220E7">
        <w:rPr>
          <w:i/>
          <w:iCs/>
        </w:rPr>
        <w:t>., Recurso de Amparo, Derechos, Fundamentales y Trascendencia Constitucional, (el Camino Hacia la Objetivación del Amparo Constitucional en España),</w:t>
      </w:r>
      <w:r w:rsidRPr="00C220E7">
        <w:t xml:space="preserve"> Madrid, 2014.</w:t>
      </w:r>
      <w:r>
        <w:t xml:space="preserve"> </w:t>
      </w:r>
      <w:r w:rsidRPr="00C220E7">
        <w:t xml:space="preserve">AA.VV., </w:t>
      </w:r>
      <w:r w:rsidRPr="00C220E7">
        <w:rPr>
          <w:i/>
          <w:iCs/>
        </w:rPr>
        <w:t>Recurso de amparo, derechos fundamentales y trascendencia constitucional. El camino hacia la objetivación del amparo constitucional en España</w:t>
      </w:r>
      <w:r w:rsidRPr="00C220E7">
        <w:t>, José María Morales Arroyo (Dir.), Navarra, 2014.</w:t>
      </w:r>
      <w:r>
        <w:t xml:space="preserve"> </w:t>
      </w:r>
      <w:r w:rsidRPr="00C220E7">
        <w:t xml:space="preserve">CARRILLO LÓPEZ, M., “La objetivación del recurso de amparo: una nueva vía de garantía jurisdiccional de los derechos”, en CARRILLO, M., Y ROMBOLI, R., </w:t>
      </w:r>
      <w:r w:rsidRPr="00C220E7">
        <w:rPr>
          <w:i/>
          <w:iCs/>
        </w:rPr>
        <w:t>La reforma del recurso de amparo</w:t>
      </w:r>
      <w:r w:rsidRPr="00C220E7">
        <w:t>, Madrid, 2012.</w:t>
      </w:r>
      <w:r>
        <w:t xml:space="preserve"> </w:t>
      </w:r>
      <w:r w:rsidRPr="00C220E7">
        <w:t xml:space="preserve">CARRILLO LÓPEZ, M., “La objetivación del recurso de amparo: una necesidad Ineludible”, </w:t>
      </w:r>
      <w:r w:rsidRPr="00C220E7">
        <w:rPr>
          <w:i/>
          <w:iCs/>
        </w:rPr>
        <w:t>Revista Vasca de la Administración Pública</w:t>
      </w:r>
      <w:r w:rsidRPr="00C220E7">
        <w:t>, núm. 81, 2008.</w:t>
      </w:r>
      <w:r>
        <w:t xml:space="preserve"> </w:t>
      </w:r>
      <w:r w:rsidRPr="00C220E7">
        <w:t xml:space="preserve">GARCÍA COUSO, S., “El nuevo modelo de protección de los derechos fundamentales tras la aprobación de la LO 6/2007: la objetivación del amparo constitucional y la tutela subjetiva de los derechos por la jurisdicción ordinaria y el Tribunal Europeo de Derechos Humanos”, </w:t>
      </w:r>
      <w:r w:rsidRPr="00C220E7">
        <w:rPr>
          <w:i/>
          <w:iCs/>
        </w:rPr>
        <w:t>Revista Europea de derechos fundamentales</w:t>
      </w:r>
      <w:r w:rsidRPr="00C220E7">
        <w:t>, núm. 15, 2010.</w:t>
      </w:r>
      <w:r>
        <w:t xml:space="preserve"> </w:t>
      </w:r>
      <w:r w:rsidRPr="00C220E7">
        <w:t xml:space="preserve">GONZÁLEZ ALONSO, A., “La protección de los derechos fundamentales del artículo 24.1 de la Constitución tras la «objetivación» del recurso de amparo”, </w:t>
      </w:r>
      <w:proofErr w:type="spellStart"/>
      <w:r w:rsidRPr="00C220E7">
        <w:rPr>
          <w:i/>
          <w:iCs/>
        </w:rPr>
        <w:t>CEFLegal</w:t>
      </w:r>
      <w:proofErr w:type="spellEnd"/>
      <w:r w:rsidRPr="00C220E7">
        <w:rPr>
          <w:i/>
          <w:iCs/>
        </w:rPr>
        <w:t>: Revista práctica de Derecho</w:t>
      </w:r>
      <w:r w:rsidRPr="00C220E7">
        <w:t>. Comentarios y casos prácticos, núm. 139-140, 2012.</w:t>
      </w:r>
      <w:r>
        <w:t xml:space="preserve"> </w:t>
      </w:r>
      <w:r w:rsidRPr="00C220E7">
        <w:t xml:space="preserve">HERNANDEZ RAMOS, M., “La paulatina discrecionalidad y objetivación de la jurisdicción del Tribunal Supremo Federal de los Estados Unidos: el criterio de la importancia en la apelación y en el </w:t>
      </w:r>
      <w:proofErr w:type="spellStart"/>
      <w:r w:rsidRPr="00C220E7">
        <w:t>writ</w:t>
      </w:r>
      <w:proofErr w:type="spellEnd"/>
      <w:r w:rsidRPr="00C220E7">
        <w:t xml:space="preserve"> </w:t>
      </w:r>
      <w:proofErr w:type="spellStart"/>
      <w:r w:rsidRPr="00C220E7">
        <w:t>of</w:t>
      </w:r>
      <w:proofErr w:type="spellEnd"/>
      <w:r w:rsidRPr="00C220E7">
        <w:t xml:space="preserve"> </w:t>
      </w:r>
      <w:proofErr w:type="spellStart"/>
      <w:r w:rsidRPr="00C220E7">
        <w:t>certiorari</w:t>
      </w:r>
      <w:proofErr w:type="spellEnd"/>
      <w:r w:rsidRPr="00C220E7">
        <w:t xml:space="preserve">”, </w:t>
      </w:r>
      <w:r w:rsidRPr="00C220E7">
        <w:rPr>
          <w:i/>
          <w:iCs/>
        </w:rPr>
        <w:t>Cuadernos de Derecho Público</w:t>
      </w:r>
      <w:r w:rsidRPr="00C220E7">
        <w:t>, núm. 33, 2008.</w:t>
      </w:r>
      <w:r>
        <w:t xml:space="preserve"> </w:t>
      </w:r>
      <w:r w:rsidRPr="00C220E7">
        <w:t xml:space="preserve">LOZANO GAGO, M. L., “La objetivación del recurso de amparo”, </w:t>
      </w:r>
      <w:r w:rsidRPr="00C220E7">
        <w:rPr>
          <w:i/>
          <w:iCs/>
        </w:rPr>
        <w:t>Diario La Ley</w:t>
      </w:r>
      <w:r w:rsidRPr="00C220E7">
        <w:t>, núm. 8411, Sección Tribuna, 2014</w:t>
      </w:r>
      <w:r>
        <w:t xml:space="preserve">. </w:t>
      </w:r>
      <w:r w:rsidRPr="00C220E7">
        <w:t xml:space="preserve">REQUEJO PAGES, J.L., “Hacía la objetivación del recurso de amparo constitucional (Comentario al Auto de la Sala Primera del Tribunal Constitucional de 19 de septiembre de 1994), </w:t>
      </w:r>
      <w:r w:rsidRPr="00C220E7">
        <w:rPr>
          <w:i/>
          <w:iCs/>
        </w:rPr>
        <w:t>Revista Española de Derecho Constitucional</w:t>
      </w:r>
      <w:r w:rsidRPr="00C220E7">
        <w:t>, núm. 42, Madrid. Centro de Estudios Políticos y Constitucionales, 1994.</w:t>
      </w:r>
      <w:r>
        <w:t xml:space="preserve"> </w:t>
      </w:r>
      <w:r w:rsidRPr="00C220E7">
        <w:t>ROMBOLI, R., “La protección de los derechos fundamentales tras la “objetivación” del amparo, en CARRILLO, M., Y ROMBOLI, R.,</w:t>
      </w:r>
      <w:r w:rsidRPr="00C220E7">
        <w:rPr>
          <w:i/>
          <w:iCs/>
        </w:rPr>
        <w:t xml:space="preserve"> La reforma del recurso de amparo, </w:t>
      </w:r>
      <w:r w:rsidRPr="00C220E7">
        <w:t>Madrid, 2012.</w:t>
      </w:r>
      <w:r>
        <w:t xml:space="preserve"> </w:t>
      </w:r>
      <w:r w:rsidRPr="00C220E7">
        <w:t xml:space="preserve">URIAS MARTINEZ, JOAQUIN. “Seleccionar lo (menos) importante. Nota sobre la construcción por el Tribunal Constitucional de un nuevo régimen de admisibilidad del recurso de amparo, y sus paradojas”, en AA. VV., </w:t>
      </w:r>
      <w:r w:rsidRPr="00C220E7">
        <w:rPr>
          <w:i/>
          <w:iCs/>
        </w:rPr>
        <w:t>Recurso de Amparo, Derechos, Fundamentales y Trascendencia Constitucional, (el Camino Hacia la Objetivación del Amparo Constitucional en España),</w:t>
      </w:r>
      <w:r w:rsidRPr="00C220E7">
        <w:t xml:space="preserve"> Madrid, 2014.</w:t>
      </w:r>
    </w:p>
  </w:footnote>
  <w:footnote w:id="172">
    <w:p w14:paraId="4D4C14F1" w14:textId="28B8AA32" w:rsidR="007B7556" w:rsidRPr="002610CC" w:rsidRDefault="007B7556" w:rsidP="00233659">
      <w:pPr>
        <w:pStyle w:val="nota"/>
      </w:pPr>
      <w:r>
        <w:rPr>
          <w:rStyle w:val="Refdenotaalpie"/>
        </w:rPr>
        <w:footnoteRef/>
      </w:r>
      <w:r w:rsidRPr="002610CC">
        <w:t xml:space="preserve"> LOZANO GAGO</w:t>
      </w:r>
      <w:r>
        <w:t>, M. L., “</w:t>
      </w:r>
      <w:r w:rsidRPr="002610CC">
        <w:t>La objetivación del recurso de amparo</w:t>
      </w:r>
      <w:r>
        <w:t xml:space="preserve">”, </w:t>
      </w:r>
      <w:r w:rsidRPr="002610CC">
        <w:rPr>
          <w:i/>
        </w:rPr>
        <w:t>Diario La Ley</w:t>
      </w:r>
      <w:r>
        <w:t>, núm.</w:t>
      </w:r>
      <w:r w:rsidRPr="002610CC">
        <w:t xml:space="preserve"> 8411, Sección Tribuna, 31 de </w:t>
      </w:r>
      <w:r w:rsidR="004B058B" w:rsidRPr="002610CC">
        <w:t>octubre</w:t>
      </w:r>
      <w:r w:rsidRPr="002610CC">
        <w:t xml:space="preserve"> de </w:t>
      </w:r>
      <w:r>
        <w:t>2014, pág. 1.</w:t>
      </w:r>
    </w:p>
  </w:footnote>
  <w:footnote w:id="173">
    <w:p w14:paraId="7ACC4234" w14:textId="6DE74DC8" w:rsidR="007B7556" w:rsidRPr="00370D32" w:rsidRDefault="007B7556" w:rsidP="00233659">
      <w:pPr>
        <w:pStyle w:val="nota"/>
      </w:pPr>
      <w:r>
        <w:rPr>
          <w:rStyle w:val="Refdenotaalpie"/>
        </w:rPr>
        <w:footnoteRef/>
      </w:r>
      <w:r w:rsidRPr="00370D32">
        <w:t xml:space="preserve"> </w:t>
      </w:r>
      <w:r w:rsidRPr="002610CC">
        <w:t>LOZANO GAGO</w:t>
      </w:r>
      <w:r>
        <w:t>, M. L., “</w:t>
      </w:r>
      <w:r w:rsidRPr="002610CC">
        <w:t>La objetivación del recurso de amparo</w:t>
      </w:r>
      <w:r>
        <w:t xml:space="preserve">”, </w:t>
      </w:r>
      <w:r w:rsidRPr="002610CC">
        <w:rPr>
          <w:i/>
        </w:rPr>
        <w:t>Diario La Ley</w:t>
      </w:r>
      <w:r>
        <w:t>, núm.</w:t>
      </w:r>
      <w:r w:rsidRPr="002610CC">
        <w:t xml:space="preserve"> 8411, Sección Tribuna, 31 de </w:t>
      </w:r>
      <w:r w:rsidR="004B058B" w:rsidRPr="002610CC">
        <w:t>octubre</w:t>
      </w:r>
      <w:r w:rsidRPr="002610CC">
        <w:t xml:space="preserve"> de </w:t>
      </w:r>
      <w:r>
        <w:t>2014, pág. 2.</w:t>
      </w:r>
    </w:p>
  </w:footnote>
  <w:footnote w:id="174">
    <w:p w14:paraId="0914D13C" w14:textId="77777777" w:rsidR="007B7556" w:rsidRPr="00A53AF5" w:rsidRDefault="007B7556" w:rsidP="00233659">
      <w:pPr>
        <w:pStyle w:val="nota"/>
      </w:pPr>
      <w:r>
        <w:rPr>
          <w:rStyle w:val="Refdenotaalpie"/>
        </w:rPr>
        <w:footnoteRef/>
      </w:r>
      <w:r>
        <w:t xml:space="preserve"> </w:t>
      </w:r>
      <w:r w:rsidRPr="00A53AF5">
        <w:t>HERNÁNDEZ RAMOS,</w:t>
      </w:r>
      <w:r>
        <w:t xml:space="preserve"> M., </w:t>
      </w:r>
      <w:r w:rsidRPr="00A53AF5">
        <w:t>El nuevo trámite de admisión del recurso de amparo constitucional</w:t>
      </w:r>
      <w:r>
        <w:t>, Madrid</w:t>
      </w:r>
      <w:r w:rsidRPr="00A53AF5">
        <w:t>, 2009, p. 358-359.</w:t>
      </w:r>
    </w:p>
  </w:footnote>
  <w:footnote w:id="175">
    <w:p w14:paraId="7EABA683" w14:textId="77777777" w:rsidR="007B7556" w:rsidRPr="005A18AF" w:rsidRDefault="007B7556" w:rsidP="00233659">
      <w:pPr>
        <w:pStyle w:val="nota"/>
      </w:pPr>
      <w:r>
        <w:rPr>
          <w:rStyle w:val="Refdenotaalpie"/>
        </w:rPr>
        <w:footnoteRef/>
      </w:r>
      <w:r w:rsidRPr="005A18AF">
        <w:t xml:space="preserve"> MATIA PORTILLA, F. J., </w:t>
      </w:r>
      <w:r>
        <w:t>“</w:t>
      </w:r>
      <w:r w:rsidRPr="005A18AF">
        <w:t>La especial trascendencia constitucional y la inadmisión del</w:t>
      </w:r>
      <w:r>
        <w:t xml:space="preserve"> recurso de amparo”, </w:t>
      </w:r>
      <w:r w:rsidRPr="005A18AF">
        <w:t>Revista Española de Derecho Constitucional</w:t>
      </w:r>
      <w:r>
        <w:t>, núm.</w:t>
      </w:r>
      <w:r w:rsidRPr="005A18AF">
        <w:t xml:space="preserve"> 86, 2009, pág. 348.</w:t>
      </w:r>
    </w:p>
  </w:footnote>
  <w:footnote w:id="176">
    <w:p w14:paraId="1A1FE6E1" w14:textId="77777777" w:rsidR="007B7556" w:rsidRPr="005A18AF" w:rsidRDefault="007B7556" w:rsidP="00233659">
      <w:pPr>
        <w:pStyle w:val="nota"/>
      </w:pPr>
      <w:r>
        <w:rPr>
          <w:rStyle w:val="Refdenotaalpie"/>
        </w:rPr>
        <w:footnoteRef/>
      </w:r>
      <w:r w:rsidRPr="005A18AF">
        <w:t xml:space="preserve"> DÍAZ REVORIO,</w:t>
      </w:r>
      <w:r>
        <w:t xml:space="preserve"> F. J., “</w:t>
      </w:r>
      <w:r w:rsidRPr="005A18AF">
        <w:t xml:space="preserve">Tribunal Constitucional y procesos constitucionales en España: Algunas reflexiones tras la reforma de la Ley Orgánica del </w:t>
      </w:r>
      <w:r>
        <w:t>Tribunal Constitucional de 2007”</w:t>
      </w:r>
      <w:r w:rsidRPr="005A18AF">
        <w:t>, Estudios Constitucionales (Centro de Estudios Const</w:t>
      </w:r>
      <w:r>
        <w:t>itucionales de Chile), año 7, núm.</w:t>
      </w:r>
      <w:r w:rsidRPr="005A18AF">
        <w:t xml:space="preserve"> 2, 2009, pág. 102.</w:t>
      </w:r>
    </w:p>
  </w:footnote>
  <w:footnote w:id="177">
    <w:p w14:paraId="54E8FFCF" w14:textId="77777777" w:rsidR="007B7556" w:rsidRPr="00340853" w:rsidRDefault="007B7556" w:rsidP="00233659">
      <w:pPr>
        <w:pStyle w:val="nota"/>
      </w:pPr>
      <w:r>
        <w:rPr>
          <w:rStyle w:val="Refdenotaalpie"/>
        </w:rPr>
        <w:footnoteRef/>
      </w:r>
      <w:r w:rsidRPr="00340853">
        <w:t xml:space="preserve"> FERNÁNDEZ FARRERES, G., “La reforma de la Ley orgánica del Tribunal Constitucional (Comentario a la Ley Orgánica 6/2007, de 24 de mayo)”, Revista Española de Derecho Constitucional, núm. 81, Madrid, págs. 22 y 23.</w:t>
      </w:r>
    </w:p>
  </w:footnote>
  <w:footnote w:id="178">
    <w:p w14:paraId="09AA7946" w14:textId="77777777" w:rsidR="007B7556" w:rsidRPr="00C27579" w:rsidRDefault="007B7556" w:rsidP="00233659">
      <w:pPr>
        <w:pStyle w:val="nota"/>
      </w:pPr>
      <w:r>
        <w:rPr>
          <w:rStyle w:val="Refdenotaalpie"/>
        </w:rPr>
        <w:footnoteRef/>
      </w:r>
      <w:r w:rsidRPr="00C27579">
        <w:t xml:space="preserve"> </w:t>
      </w:r>
      <w:r>
        <w:t>Así mismo este autor manifestó su opinión en “</w:t>
      </w:r>
      <w:r w:rsidRPr="00C27579">
        <w:t>Encue</w:t>
      </w:r>
      <w:r>
        <w:t>sta sobre la reforma de la LOTC”</w:t>
      </w:r>
      <w:r w:rsidRPr="00C27579">
        <w:t xml:space="preserve">, </w:t>
      </w:r>
      <w:r w:rsidRPr="00C27579">
        <w:rPr>
          <w:i/>
        </w:rPr>
        <w:t>Teoría y Realidad Constitucional</w:t>
      </w:r>
      <w:r w:rsidRPr="00C27579">
        <w:t>, núm. 18 (2006),</w:t>
      </w:r>
      <w:r>
        <w:t xml:space="preserve"> </w:t>
      </w:r>
      <w:r w:rsidRPr="00C27579">
        <w:t>pág. 38</w:t>
      </w:r>
      <w:r>
        <w:t>, donde señala lo siguiente</w:t>
      </w:r>
      <w:r w:rsidRPr="00C27579">
        <w:t xml:space="preserve">: </w:t>
      </w:r>
      <w:r w:rsidRPr="00C27579">
        <w:rPr>
          <w:i/>
        </w:rPr>
        <w:t>«Este proceso de objetivación de la demanda de amparo no ha de ofrecer dudas sobre su constitucionalidad. Cabe reiterar que la Constitución no prefigura un modelo de recurso de amparo específico, basado en la tutela de intereses subjetivos ni tampoco en criterios objetivos de interés general».</w:t>
      </w:r>
    </w:p>
  </w:footnote>
  <w:footnote w:id="179">
    <w:p w14:paraId="6BFB3A6F" w14:textId="2FEB2902" w:rsidR="007B7556" w:rsidRPr="00646DD3" w:rsidRDefault="007B7556" w:rsidP="00233659">
      <w:pPr>
        <w:pStyle w:val="nota"/>
      </w:pPr>
      <w:r>
        <w:rPr>
          <w:rStyle w:val="Refdenotaalpie"/>
        </w:rPr>
        <w:footnoteRef/>
      </w:r>
      <w:r w:rsidRPr="00646DD3">
        <w:t xml:space="preserve"> CARRILLO</w:t>
      </w:r>
      <w:r>
        <w:t>, M., “</w:t>
      </w:r>
      <w:r w:rsidRPr="00646DD3">
        <w:t>La objetivación del recurso de amparo: una necesidad</w:t>
      </w:r>
      <w:r>
        <w:t xml:space="preserve"> Ineludible</w:t>
      </w:r>
      <w:r w:rsidR="004B058B">
        <w:t xml:space="preserve">”, </w:t>
      </w:r>
      <w:r w:rsidR="004B058B" w:rsidRPr="00646DD3">
        <w:t>Revista</w:t>
      </w:r>
      <w:r w:rsidRPr="00646DD3">
        <w:rPr>
          <w:i/>
        </w:rPr>
        <w:t xml:space="preserve"> Vasca de la Administración </w:t>
      </w:r>
      <w:r w:rsidR="004B058B" w:rsidRPr="00646DD3">
        <w:rPr>
          <w:i/>
        </w:rPr>
        <w:t>Pública</w:t>
      </w:r>
      <w:r w:rsidR="004B058B">
        <w:t>, núm.</w:t>
      </w:r>
      <w:r>
        <w:t xml:space="preserve"> 81, 2008, pág. </w:t>
      </w:r>
      <w:r w:rsidRPr="00646DD3">
        <w:t>96</w:t>
      </w:r>
      <w:r>
        <w:t>.</w:t>
      </w:r>
    </w:p>
  </w:footnote>
  <w:footnote w:id="180">
    <w:p w14:paraId="1FFDA385" w14:textId="77777777" w:rsidR="007B7556" w:rsidRPr="00510D79" w:rsidRDefault="007B7556" w:rsidP="00233659">
      <w:pPr>
        <w:pStyle w:val="nota"/>
      </w:pPr>
      <w:r>
        <w:rPr>
          <w:rStyle w:val="Refdenotaalpie"/>
        </w:rPr>
        <w:footnoteRef/>
      </w:r>
      <w:r w:rsidRPr="00510D79">
        <w:t xml:space="preserve"> </w:t>
      </w:r>
      <w:r>
        <w:t xml:space="preserve">ARAGÓN REYES, M., “La reforma de la Ley Orgánica del Tribunal Constitucional”, </w:t>
      </w:r>
      <w:r w:rsidRPr="00510D79">
        <w:rPr>
          <w:i/>
        </w:rPr>
        <w:t>Revista Española de Derecho Constitucional</w:t>
      </w:r>
      <w:r>
        <w:rPr>
          <w:i/>
        </w:rPr>
        <w:t xml:space="preserve">, </w:t>
      </w:r>
      <w:r w:rsidRPr="00510D79">
        <w:t>núm. 85, enero-abril (2009), págs. 3</w:t>
      </w:r>
      <w:r>
        <w:t>4 y 35.</w:t>
      </w:r>
    </w:p>
  </w:footnote>
  <w:footnote w:id="181">
    <w:p w14:paraId="399044D3" w14:textId="77777777" w:rsidR="007B7556" w:rsidRPr="00DF73F8" w:rsidRDefault="007B7556" w:rsidP="00C42121">
      <w:pPr>
        <w:pStyle w:val="nota"/>
        <w:rPr>
          <w:i/>
          <w:iCs/>
        </w:rPr>
      </w:pPr>
      <w:r>
        <w:rPr>
          <w:rStyle w:val="Refdenotaalpie"/>
        </w:rPr>
        <w:footnoteRef/>
      </w:r>
      <w:r w:rsidRPr="008A4A4D">
        <w:t xml:space="preserve"> </w:t>
      </w:r>
      <w:r>
        <w:t>A</w:t>
      </w:r>
      <w:r w:rsidRPr="00B660C5">
        <w:t>utores como BIEDMA FERRER mantienen una opinión más negativa</w:t>
      </w:r>
      <w:r w:rsidRPr="00DF73F8">
        <w:rPr>
          <w:i/>
          <w:iCs/>
        </w:rPr>
        <w:t>: «…las cifras manejadas en el año 2010, tras varios años de vigencia de la citada reforma de la Ley Orgánica del Tribunal Constitucional, no permiten ser optimista. Se constata que el número de recursos de amparo interpuestos sigue siendo bastante elevado. De ello, podemos colegir que la reforma no ha conseguido cumplir los objetivos que se proponía. No ha tenido efectos disuasorios sobre los recurrentes…».</w:t>
      </w:r>
      <w:r w:rsidRPr="00C61F65">
        <w:t xml:space="preserve"> </w:t>
      </w:r>
      <w:r w:rsidRPr="00B660C5">
        <w:t xml:space="preserve">BIEDMA FERRER, J.M., «El recurso de amparo constitucional: la reforma de la Ley Orgánica del Tribunal Constitucional 6/2007 y el trámite de admisión», en </w:t>
      </w:r>
      <w:hyperlink r:id="rId7" w:history="1">
        <w:r w:rsidRPr="00B660C5">
          <w:rPr>
            <w:rStyle w:val="Hipervnculo"/>
            <w:color w:val="000000" w:themeColor="text1"/>
          </w:rPr>
          <w:t>www.eumed.net/rev/cccss/17/</w:t>
        </w:r>
      </w:hyperlink>
      <w:r w:rsidRPr="00B660C5">
        <w:t>.</w:t>
      </w:r>
    </w:p>
  </w:footnote>
  <w:footnote w:id="182">
    <w:p w14:paraId="6EAD1230" w14:textId="77777777" w:rsidR="007B7556" w:rsidRPr="008A4A4D" w:rsidRDefault="007B7556" w:rsidP="00C42121">
      <w:pPr>
        <w:pStyle w:val="nota"/>
      </w:pPr>
      <w:r>
        <w:rPr>
          <w:rStyle w:val="Refdenotaalpie"/>
        </w:rPr>
        <w:footnoteRef/>
      </w:r>
      <w:r w:rsidRPr="008A4A4D">
        <w:t xml:space="preserve"> </w:t>
      </w:r>
      <w:r w:rsidRPr="00B660C5">
        <w:t xml:space="preserve">Vid. CABAÑAS GARCÍA, J.C., «El recurso de amparo que queremos (reflexiones a propósito de la Ley Orgánica 6/2007, de 24 de mayo, de reforma parcial de la Ley Orgánica del Tribunal Constitucional)», </w:t>
      </w:r>
      <w:r w:rsidRPr="00B660C5">
        <w:rPr>
          <w:i/>
        </w:rPr>
        <w:t>Revista Española de Derecho Constitucional</w:t>
      </w:r>
      <w:r w:rsidRPr="00B660C5">
        <w:t>, 2010, núm. 88, pág. 79. Este autor añade además que se ha reducido de manera considerable el tiempo de respuesta de nuestro TC ante los</w:t>
      </w:r>
      <w:r>
        <w:t xml:space="preserve"> asuntos que se le presentan: </w:t>
      </w:r>
      <w:r w:rsidRPr="00C917AF">
        <w:rPr>
          <w:i/>
        </w:rPr>
        <w:t>«No cabe duda que la reducción del tiempo de respuesta es saludable siempre, y en este momento tal circunstancia no sólo deviene evidente, sino inédita desde hace mucho tiempo (se ha pasado de una espera de más de dos años, a menos de seis meses con carácter general para proveer sobre la admisión a trámite del recurso)».</w:t>
      </w:r>
    </w:p>
  </w:footnote>
  <w:footnote w:id="183">
    <w:p w14:paraId="613C6712" w14:textId="77777777" w:rsidR="007B7556" w:rsidRDefault="007B7556" w:rsidP="002B2B15">
      <w:pPr>
        <w:pStyle w:val="nota"/>
      </w:pPr>
      <w:r>
        <w:rPr>
          <w:rStyle w:val="Refdenotaalpie"/>
        </w:rPr>
        <w:footnoteRef/>
      </w:r>
      <w:r>
        <w:t xml:space="preserve"> Para más información sobre este punto confróntese:</w:t>
      </w:r>
    </w:p>
    <w:p w14:paraId="34E4DD1E" w14:textId="7A2578FF" w:rsidR="007B7556" w:rsidRDefault="007B7556" w:rsidP="006F44C0">
      <w:pPr>
        <w:pStyle w:val="nota"/>
      </w:pPr>
      <w:r>
        <w:t xml:space="preserve">ADAN DOMENECH, F., “Documentación de la actividad procesal y nulidad de actuaciones”, </w:t>
      </w:r>
      <w:r w:rsidRPr="00B555C2">
        <w:rPr>
          <w:i/>
          <w:iCs/>
        </w:rPr>
        <w:t>Revista General de Derecho Procesal</w:t>
      </w:r>
      <w:r>
        <w:rPr>
          <w:i/>
          <w:iCs/>
        </w:rPr>
        <w:t>,</w:t>
      </w:r>
      <w:r>
        <w:t xml:space="preserve"> núm. 30, 2013.ANDRÉS CIURANA, B., </w:t>
      </w:r>
      <w:r w:rsidRPr="00B555C2">
        <w:rPr>
          <w:i/>
          <w:iCs/>
        </w:rPr>
        <w:t>La invalidez de actuaciones en el proceso civil</w:t>
      </w:r>
      <w:r>
        <w:t xml:space="preserve">, Valencia, 2005.ÁLVAREZ DE LINERA, J., </w:t>
      </w:r>
      <w:r w:rsidRPr="002B2B15">
        <w:rPr>
          <w:i/>
        </w:rPr>
        <w:t>La nulidad de actuaciones en el proceso penal,</w:t>
      </w:r>
      <w:r>
        <w:t xml:space="preserve"> Oviedo, 1982. ARMENTA DEU T., CORDÓN MORENO F., TAPIA FERNANDEZ I., MUERZA ESPARZA J.J., </w:t>
      </w:r>
      <w:r w:rsidRPr="00B555C2">
        <w:rPr>
          <w:i/>
          <w:iCs/>
        </w:rPr>
        <w:t>Comentarios a la Ley de Enjuiciamiento Civil</w:t>
      </w:r>
      <w:r>
        <w:t xml:space="preserve">, Pamplona, 2011. AA.VV., José González Olleros, </w:t>
      </w:r>
      <w:r w:rsidRPr="002B2B15">
        <w:t xml:space="preserve">(Coord.), </w:t>
      </w:r>
      <w:r>
        <w:t>“</w:t>
      </w:r>
      <w:r w:rsidRPr="002B2B15">
        <w:t>Nulidad</w:t>
      </w:r>
      <w:r>
        <w:t xml:space="preserve"> de actuaciones. Jurisprudencia al detalle”, </w:t>
      </w:r>
      <w:proofErr w:type="spellStart"/>
      <w:r w:rsidRPr="00B555C2">
        <w:rPr>
          <w:i/>
          <w:iCs/>
        </w:rPr>
        <w:t>SespinNETrevista</w:t>
      </w:r>
      <w:proofErr w:type="spellEnd"/>
      <w:r>
        <w:t xml:space="preserve">, núm. 69, febrero 2006. CARRASCO DURÁN, M., "La definición constitucional del derecho a la tutela judicial efectiva", </w:t>
      </w:r>
      <w:r w:rsidRPr="00336FA1">
        <w:rPr>
          <w:i/>
          <w:iCs/>
        </w:rPr>
        <w:t xml:space="preserve">UNED. Revista de Derecho Político, </w:t>
      </w:r>
      <w:r>
        <w:t xml:space="preserve">núm. 107, 2020. DE LAMO RUBIO, J., </w:t>
      </w:r>
      <w:r w:rsidRPr="002B2B15">
        <w:rPr>
          <w:i/>
        </w:rPr>
        <w:t>Nulidad de actuaciones judiciales. Régimen jurídico actual y perspectivas</w:t>
      </w:r>
      <w:r w:rsidRPr="002B2B15">
        <w:t>,</w:t>
      </w:r>
      <w:r>
        <w:t xml:space="preserve"> Valencia, 1998. GARBERÍ LLOBREGAT, J., “Doctrina nulidad de actuaciones e indefensión por falta de emplazamiento: dos exigencias condicionantes del éxito de la pretensión de nulidad (materiales no aportados por quienes fueron parte y responsabilidad directa del tribunal en la falta de emplazamiento), La</w:t>
      </w:r>
      <w:r w:rsidRPr="00B555C2">
        <w:rPr>
          <w:i/>
          <w:iCs/>
        </w:rPr>
        <w:t xml:space="preserve"> Ley</w:t>
      </w:r>
      <w:r>
        <w:t>, núm. 6233, 2005. HERNÁNDEZ GALILEA, J. M</w:t>
      </w:r>
      <w:r w:rsidRPr="00336FA1">
        <w:rPr>
          <w:i/>
          <w:iCs/>
        </w:rPr>
        <w:t>., La nueva regulación de la nulidad procesal. El sistema de ineficacia de la LOPJ,</w:t>
      </w:r>
      <w:r>
        <w:t xml:space="preserve"> Barcelona, 1995. LOURIDO RICO, A. M., </w:t>
      </w:r>
      <w:r w:rsidRPr="00B555C2">
        <w:t>La nulidad de actuaciones: una perspectiva procesal</w:t>
      </w:r>
      <w:r>
        <w:t xml:space="preserve">, Granada, 2004. MARÍN CASTÁN, F., (Dir.), </w:t>
      </w:r>
      <w:r w:rsidRPr="00B555C2">
        <w:t>Comentarios a la Ley de Enjuiciamiento Civil</w:t>
      </w:r>
      <w:r>
        <w:t xml:space="preserve">, Valencia, 2015. MONTERO AROCA, J., GÓMEZ COLOMER, J. L., BARONA VILAR, S., </w:t>
      </w:r>
      <w:r w:rsidRPr="00B555C2">
        <w:rPr>
          <w:i/>
          <w:iCs/>
        </w:rPr>
        <w:t>Derecho Jurisdiccional I,</w:t>
      </w:r>
      <w:r>
        <w:t xml:space="preserve"> Valencia, 2019. NIEVA FENOLL, J</w:t>
      </w:r>
      <w:r w:rsidRPr="00B555C2">
        <w:rPr>
          <w:i/>
          <w:iCs/>
        </w:rPr>
        <w:t>., Derecho Procesal I</w:t>
      </w:r>
      <w:r>
        <w:t>. Introducción, Valencia, 2019. RODRÍGUEZ CARBAJO, J. R., “</w:t>
      </w:r>
      <w:r w:rsidRPr="00F054C6">
        <w:t>La</w:t>
      </w:r>
      <w:r>
        <w:t xml:space="preserve"> nulidad de actuaciones”, </w:t>
      </w:r>
      <w:r w:rsidRPr="00B555C2">
        <w:rPr>
          <w:i/>
          <w:iCs/>
        </w:rPr>
        <w:t>Actualidad Administrativa</w:t>
      </w:r>
      <w:r>
        <w:t xml:space="preserve">, núm. 14, pág. 1748, Tomo 2, 2010. TASCÓN LOPEZ, R., “Las vías para remediar la nulidad de las actuaciones procesales en el orden social de la jurisdicción”, </w:t>
      </w:r>
      <w:r w:rsidRPr="00B555C2">
        <w:rPr>
          <w:i/>
          <w:iCs/>
        </w:rPr>
        <w:t>Temas laborales</w:t>
      </w:r>
      <w:r>
        <w:t xml:space="preserve">, núm. 86, 2006, págs. 43-68. RICHARD GONZÁLEZ, M., </w:t>
      </w:r>
      <w:r w:rsidRPr="00B555C2">
        <w:rPr>
          <w:i/>
          <w:iCs/>
        </w:rPr>
        <w:t>Tratamiento procesal de la nulidad de actuaciones</w:t>
      </w:r>
      <w:r>
        <w:t xml:space="preserve">, Navarra, 2008. TAPIA FERNÁNDEZ, I., </w:t>
      </w:r>
      <w:r w:rsidRPr="00B555C2">
        <w:rPr>
          <w:i/>
          <w:iCs/>
        </w:rPr>
        <w:t>Lecciones de Derecho Procesal, vol. I: Introducción</w:t>
      </w:r>
      <w:r>
        <w:t xml:space="preserve">, Palma de Mallorca 2016. </w:t>
      </w:r>
      <w:r w:rsidRPr="00FE28BF">
        <w:t xml:space="preserve">TEMPRANO CARMEN, </w:t>
      </w:r>
      <w:r>
        <w:t>“</w:t>
      </w:r>
      <w:r w:rsidRPr="00F054C6">
        <w:t>La nulidad de actuaciones contra las resoluciones de los letrados de la Administración de Justicia. El recurso de reposición como remedio inadecuado para solicitar la nulidad de Actuaciones”,</w:t>
      </w:r>
      <w:r w:rsidRPr="00FE28BF">
        <w:t xml:space="preserve"> </w:t>
      </w:r>
      <w:r w:rsidRPr="00F054C6">
        <w:rPr>
          <w:i/>
          <w:iCs/>
          <w:color w:val="000000" w:themeColor="text1"/>
        </w:rPr>
        <w:t>Diario La Ley</w:t>
      </w:r>
      <w:r w:rsidRPr="00FE28BF">
        <w:t xml:space="preserve">, </w:t>
      </w:r>
      <w:r>
        <w:t>núm.</w:t>
      </w:r>
      <w:r w:rsidRPr="00FE28BF">
        <w:t xml:space="preserve"> 9351, Sección Tribuna, 2019</w:t>
      </w:r>
      <w:r>
        <w:t>.</w:t>
      </w:r>
    </w:p>
  </w:footnote>
  <w:footnote w:id="184">
    <w:p w14:paraId="4B03A748" w14:textId="77777777" w:rsidR="007B7556" w:rsidRDefault="007B7556" w:rsidP="006F44C0">
      <w:pPr>
        <w:pStyle w:val="nota"/>
      </w:pPr>
      <w:r>
        <w:rPr>
          <w:rStyle w:val="Refdenotaalpie"/>
        </w:rPr>
        <w:footnoteRef/>
      </w:r>
      <w:r>
        <w:t xml:space="preserve"> Para el presente apartado nos hemos basado en la monografía: </w:t>
      </w:r>
      <w:r w:rsidRPr="00A731AC">
        <w:rPr>
          <w:rStyle w:val="notaCar"/>
          <w:rFonts w:eastAsiaTheme="minorHAnsi"/>
        </w:rPr>
        <w:t>RICHARD GONZÁLEZ, M., Tratamiento procesal de la nulidad de actuaciones, Navarra, 2008.</w:t>
      </w:r>
    </w:p>
  </w:footnote>
  <w:footnote w:id="185">
    <w:p w14:paraId="663557C3" w14:textId="77777777" w:rsidR="007B7556" w:rsidRDefault="007B7556" w:rsidP="006F44C0">
      <w:pPr>
        <w:pStyle w:val="nota"/>
      </w:pPr>
      <w:r>
        <w:rPr>
          <w:rStyle w:val="Refdenotaalpie"/>
        </w:rPr>
        <w:footnoteRef/>
      </w:r>
      <w:r>
        <w:t xml:space="preserve"> Podemos consultar en este apartado:</w:t>
      </w:r>
    </w:p>
    <w:p w14:paraId="2774AF2E" w14:textId="77777777" w:rsidR="007B7556" w:rsidRDefault="007B7556" w:rsidP="006F44C0">
      <w:pPr>
        <w:pStyle w:val="nota"/>
      </w:pPr>
      <w:r w:rsidRPr="00380106">
        <w:t>GARRIGA ARIÑO, F.</w:t>
      </w:r>
      <w:r>
        <w:t>,</w:t>
      </w:r>
      <w:r w:rsidRPr="00380106">
        <w:t xml:space="preserve"> </w:t>
      </w:r>
      <w:r>
        <w:t>“</w:t>
      </w:r>
      <w:r w:rsidRPr="00380106">
        <w:t>La nulidad de las actuaciones. Evolución de su regulación</w:t>
      </w:r>
      <w:r>
        <w:t>”,</w:t>
      </w:r>
      <w:r w:rsidRPr="00380106">
        <w:t xml:space="preserve"> </w:t>
      </w:r>
      <w:r>
        <w:t>e</w:t>
      </w:r>
      <w:r w:rsidRPr="00380106">
        <w:t xml:space="preserve">n </w:t>
      </w:r>
      <w:r>
        <w:t xml:space="preserve">AAVV., </w:t>
      </w:r>
      <w:r w:rsidRPr="004420C9">
        <w:rPr>
          <w:i/>
          <w:iCs/>
        </w:rPr>
        <w:t xml:space="preserve">Realismo jurídico y experiencia procesal: Liber </w:t>
      </w:r>
      <w:proofErr w:type="spellStart"/>
      <w:r w:rsidRPr="004420C9">
        <w:rPr>
          <w:i/>
          <w:iCs/>
        </w:rPr>
        <w:t>Amicorum</w:t>
      </w:r>
      <w:proofErr w:type="spellEnd"/>
      <w:r w:rsidRPr="004420C9">
        <w:rPr>
          <w:i/>
          <w:iCs/>
        </w:rPr>
        <w:t xml:space="preserve"> Manuel Serra Domínguez</w:t>
      </w:r>
      <w:r>
        <w:t xml:space="preserve">, </w:t>
      </w:r>
      <w:r w:rsidRPr="00380106">
        <w:t>Barcelona</w:t>
      </w:r>
      <w:r>
        <w:t xml:space="preserve">, 2009, </w:t>
      </w:r>
      <w:r w:rsidRPr="00380106">
        <w:t>p</w:t>
      </w:r>
      <w:r>
        <w:t>ágs</w:t>
      </w:r>
      <w:r w:rsidRPr="00380106">
        <w:t>. 537- 570.</w:t>
      </w:r>
    </w:p>
  </w:footnote>
  <w:footnote w:id="186">
    <w:p w14:paraId="42713B4C" w14:textId="77777777" w:rsidR="007B7556" w:rsidRPr="005708EE" w:rsidRDefault="007B7556" w:rsidP="002B2B15">
      <w:pPr>
        <w:pStyle w:val="nota"/>
      </w:pPr>
      <w:r>
        <w:rPr>
          <w:rStyle w:val="Refdenotaalpie"/>
        </w:rPr>
        <w:footnoteRef/>
      </w:r>
      <w:r w:rsidRPr="005708EE">
        <w:t xml:space="preserve"> </w:t>
      </w:r>
      <w:r>
        <w:t xml:space="preserve">RICHARD GONZÁLEZ, M., </w:t>
      </w:r>
      <w:r w:rsidRPr="005708EE">
        <w:rPr>
          <w:i/>
        </w:rPr>
        <w:t>Tratamiento procesal de la nulidad de actuaciones</w:t>
      </w:r>
      <w:r>
        <w:t>, Navarra, 2008, pág. 21.</w:t>
      </w:r>
    </w:p>
  </w:footnote>
  <w:footnote w:id="187">
    <w:p w14:paraId="0CFCA64F" w14:textId="3C4EE4BE" w:rsidR="007B7556" w:rsidRPr="00896155" w:rsidRDefault="007B7556" w:rsidP="006F44C0">
      <w:pPr>
        <w:pStyle w:val="Textonotapie"/>
      </w:pPr>
      <w:r>
        <w:rPr>
          <w:rStyle w:val="Refdenotaalpie"/>
        </w:rPr>
        <w:footnoteRef/>
      </w:r>
      <w:r>
        <w:t xml:space="preserve"> </w:t>
      </w:r>
      <w:proofErr w:type="spellStart"/>
      <w:r w:rsidR="004B058B" w:rsidRPr="00DB22B2">
        <w:rPr>
          <w:color w:val="000000" w:themeColor="text1"/>
        </w:rPr>
        <w:t>Ibídem</w:t>
      </w:r>
      <w:proofErr w:type="spellEnd"/>
      <w:r w:rsidRPr="00DB22B2">
        <w:rPr>
          <w:color w:val="000000" w:themeColor="text1"/>
        </w:rPr>
        <w:t>,</w:t>
      </w:r>
      <w:r w:rsidRPr="00DB22B2">
        <w:rPr>
          <w:color w:val="000000" w:themeColor="text1"/>
          <w:lang w:val="es-ES_tradnl"/>
        </w:rPr>
        <w:t xml:space="preserve"> </w:t>
      </w:r>
      <w:proofErr w:type="spellStart"/>
      <w:r w:rsidR="004B058B" w:rsidRPr="00DB22B2">
        <w:rPr>
          <w:color w:val="000000" w:themeColor="text1"/>
          <w:lang w:val="es-ES_tradnl"/>
        </w:rPr>
        <w:t>pág</w:t>
      </w:r>
      <w:proofErr w:type="spellEnd"/>
      <w:r w:rsidR="004B058B" w:rsidRPr="00DB22B2">
        <w:rPr>
          <w:color w:val="000000" w:themeColor="text1"/>
        </w:rPr>
        <w:t>.</w:t>
      </w:r>
      <w:r w:rsidRPr="00DB22B2">
        <w:rPr>
          <w:color w:val="000000" w:themeColor="text1"/>
        </w:rPr>
        <w:t xml:space="preserve"> 24.</w:t>
      </w:r>
    </w:p>
  </w:footnote>
  <w:footnote w:id="188">
    <w:p w14:paraId="5384D40E" w14:textId="55E851B2" w:rsidR="007B7556" w:rsidRPr="00A731AC" w:rsidRDefault="007B7556" w:rsidP="002B2B15">
      <w:pPr>
        <w:pStyle w:val="nota"/>
        <w:rPr>
          <w:color w:val="FF0000"/>
        </w:rPr>
      </w:pPr>
      <w:r>
        <w:rPr>
          <w:rStyle w:val="Refdenotaalpie"/>
        </w:rPr>
        <w:footnoteRef/>
      </w:r>
      <w:r>
        <w:t xml:space="preserve"> </w:t>
      </w:r>
      <w:proofErr w:type="spellStart"/>
      <w:r w:rsidR="004B058B">
        <w:t>Ibídem</w:t>
      </w:r>
      <w:proofErr w:type="spellEnd"/>
      <w:r>
        <w:t>, pág. 24.</w:t>
      </w:r>
    </w:p>
  </w:footnote>
  <w:footnote w:id="189">
    <w:p w14:paraId="29C7EF22" w14:textId="4632FDA9" w:rsidR="007B7556" w:rsidRDefault="007B7556" w:rsidP="002B2B15">
      <w:pPr>
        <w:pStyle w:val="nota"/>
      </w:pPr>
      <w:r>
        <w:rPr>
          <w:rStyle w:val="Refdenotaalpie"/>
        </w:rPr>
        <w:footnoteRef/>
      </w:r>
      <w:r>
        <w:t xml:space="preserve"> </w:t>
      </w:r>
      <w:proofErr w:type="spellStart"/>
      <w:r w:rsidR="004B058B" w:rsidRPr="00DB22B2">
        <w:rPr>
          <w:color w:val="000000" w:themeColor="text1"/>
        </w:rPr>
        <w:t>Ibídem</w:t>
      </w:r>
      <w:proofErr w:type="spellEnd"/>
      <w:r w:rsidRPr="00DB22B2">
        <w:rPr>
          <w:color w:val="000000" w:themeColor="text1"/>
        </w:rPr>
        <w:t xml:space="preserve">, </w:t>
      </w:r>
      <w:r w:rsidRPr="00DB22B2">
        <w:rPr>
          <w:color w:val="000000" w:themeColor="text1"/>
          <w:lang w:val="es-ES_tradnl"/>
        </w:rPr>
        <w:t>págs.</w:t>
      </w:r>
      <w:r w:rsidRPr="00DB22B2">
        <w:rPr>
          <w:color w:val="000000" w:themeColor="text1"/>
        </w:rPr>
        <w:t xml:space="preserve"> 25 y ss.</w:t>
      </w:r>
    </w:p>
  </w:footnote>
  <w:footnote w:id="190">
    <w:p w14:paraId="762DC137" w14:textId="77777777" w:rsidR="007B7556" w:rsidRPr="00FA5161" w:rsidRDefault="007B7556" w:rsidP="006F44C0">
      <w:pPr>
        <w:pStyle w:val="nota"/>
      </w:pPr>
      <w:r>
        <w:rPr>
          <w:rStyle w:val="Refdenotaalpie"/>
        </w:rPr>
        <w:footnoteRef/>
      </w:r>
      <w:r w:rsidRPr="00FA5161">
        <w:t xml:space="preserve"> En la STC Pleno 185/1990, de 15 de noviembre, el TC estimó que el art. 240.2 de la LOPJ no era contrario:</w:t>
      </w:r>
    </w:p>
    <w:p w14:paraId="545A6153" w14:textId="77777777" w:rsidR="007B7556" w:rsidRDefault="007B7556" w:rsidP="006F44C0">
      <w:pPr>
        <w:pStyle w:val="nota"/>
      </w:pPr>
      <w:r w:rsidRPr="00FA5161">
        <w:t xml:space="preserve">1º) Al art. 53.2 de la CE, porque era posible acudir en amparo y directamente ante el TC, por lo que esta posibilidad directa no era contraria a dicha norma constitucional. El art. 53.3 de la CE se refiere, primero, a un amparo judicial y, después, al amparo constitucional, y configura al segundo como subsidiario, pero si las circunstancias imponen que el mismo tenga que operar como directo o único ello no implica vulneración de la norma constitucional. </w:t>
      </w:r>
      <w:r>
        <w:t xml:space="preserve">Desde esa declaración el Tribunal insta: </w:t>
      </w:r>
    </w:p>
    <w:p w14:paraId="2A54A138" w14:textId="77777777" w:rsidR="007B7556" w:rsidRPr="00FA5161" w:rsidRDefault="007B7556" w:rsidP="001A4310">
      <w:pPr>
        <w:pStyle w:val="nota"/>
        <w:numPr>
          <w:ilvl w:val="0"/>
          <w:numId w:val="11"/>
        </w:numPr>
      </w:pPr>
      <w:r w:rsidRPr="00FA5161">
        <w:t xml:space="preserve">Al legislativo para que regule una vía procesal en la que se pueda declarar la nulidad por los tribunales ordinarios sin necesidad de acudir al amparo constitucional, </w:t>
      </w:r>
    </w:p>
    <w:p w14:paraId="0BB9A2AF" w14:textId="77777777" w:rsidR="007B7556" w:rsidRPr="00FA5161" w:rsidRDefault="007B7556" w:rsidP="001A4310">
      <w:pPr>
        <w:pStyle w:val="nota"/>
        <w:numPr>
          <w:ilvl w:val="0"/>
          <w:numId w:val="11"/>
        </w:numPr>
      </w:pPr>
      <w:r w:rsidRPr="00FA5161">
        <w:t>A los tribunales ordinarios para que apliquen de modo amplio los sistemas procesales de rescisión de sentencias firmes ya existentes en el ordenamiento jurídico con el fin de que no lleguen muchos amparos ante el propio TC.</w:t>
      </w:r>
    </w:p>
    <w:p w14:paraId="6BA2D609" w14:textId="77777777" w:rsidR="007B7556" w:rsidRPr="00FA5161" w:rsidRDefault="007B7556" w:rsidP="006F44C0">
      <w:pPr>
        <w:pStyle w:val="nota"/>
      </w:pPr>
      <w:r w:rsidRPr="00FA5161">
        <w:t>2º) Al art. 24.1 de la CE, debido a que  «</w:t>
      </w:r>
      <w:r w:rsidRPr="00FA5161">
        <w:rPr>
          <w:i/>
        </w:rPr>
        <w:t>el inciso cuestionado del art. 240.2 de la LOPJ  únicamente resultaría, pues lesivo del derecho a la tutela judicial efectiva si del art. 24.1 de la CE, en relación con su art. 53.2, se derivase la exigencia constitucional de que, frente a la lesión de derechos fundamentales imputable a un órgano judicial en el proceso, hubiera de aplicarse en todo caso un medio de corrección de aquélla por los propios tribunales ordinarios y no sólo mediante el recurso de amparo constitucional</w:t>
      </w:r>
      <w:r w:rsidRPr="00FA5161">
        <w:t>».</w:t>
      </w:r>
    </w:p>
  </w:footnote>
  <w:footnote w:id="191">
    <w:p w14:paraId="60F9F587" w14:textId="77777777" w:rsidR="007B7556" w:rsidRPr="00FA5161" w:rsidRDefault="007B7556" w:rsidP="006F44C0">
      <w:pPr>
        <w:pStyle w:val="nota"/>
      </w:pPr>
      <w:r>
        <w:rPr>
          <w:rStyle w:val="Refdenotaalpie"/>
        </w:rPr>
        <w:footnoteRef/>
      </w:r>
      <w:r w:rsidRPr="00FA5161">
        <w:t xml:space="preserve"> Puede consultarse: </w:t>
      </w:r>
      <w:bookmarkStart w:id="398" w:name="_Hlk5985505"/>
      <w:r w:rsidRPr="00FA5161">
        <w:t xml:space="preserve">AGUILERA MORALES, M., “El incidente de nulidad de actuaciones ex artículo 241 LOPJ: una mala solución para un gran problema”, </w:t>
      </w:r>
      <w:r w:rsidRPr="00FA5161">
        <w:rPr>
          <w:i/>
        </w:rPr>
        <w:t xml:space="preserve">Revista General de Derecho Procesal, </w:t>
      </w:r>
      <w:r w:rsidRPr="00FA5161">
        <w:t>núm. 31, 2013. Págs. 31-35.</w:t>
      </w:r>
      <w:bookmarkEnd w:id="398"/>
    </w:p>
  </w:footnote>
  <w:footnote w:id="192">
    <w:p w14:paraId="704D295C" w14:textId="77777777" w:rsidR="007B7556" w:rsidRDefault="007B7556" w:rsidP="002B2B15">
      <w:pPr>
        <w:pStyle w:val="nota"/>
      </w:pPr>
      <w:r>
        <w:rPr>
          <w:rStyle w:val="Refdenotaalpie"/>
        </w:rPr>
        <w:footnoteRef/>
      </w:r>
      <w:r>
        <w:t xml:space="preserve"> RICHARD GONZÁLEZ, M., </w:t>
      </w:r>
      <w:r w:rsidRPr="00346EE5">
        <w:rPr>
          <w:i/>
          <w:iCs/>
        </w:rPr>
        <w:t>Tratamiento procesal de la nulidad de actuaciones,</w:t>
      </w:r>
      <w:r>
        <w:t xml:space="preserve"> Navarra, 2008, págs. 44-47.</w:t>
      </w:r>
    </w:p>
  </w:footnote>
  <w:footnote w:id="193">
    <w:p w14:paraId="5B38AF26" w14:textId="77777777" w:rsidR="007B7556" w:rsidRDefault="007B7556" w:rsidP="006F44C0">
      <w:pPr>
        <w:pStyle w:val="nota"/>
      </w:pPr>
      <w:r>
        <w:rPr>
          <w:rStyle w:val="Refdenotaalpie"/>
        </w:rPr>
        <w:footnoteRef/>
      </w:r>
      <w:r>
        <w:t xml:space="preserve"> GUERRERO FERNÁNDEZ, P., “La nulidad de actuaciones en la Ley de Enjuiciamiento Civil”, </w:t>
      </w:r>
      <w:r w:rsidRPr="00DE2E02">
        <w:rPr>
          <w:i/>
          <w:iCs/>
        </w:rPr>
        <w:t>La Notaría – Boletín</w:t>
      </w:r>
      <w:r>
        <w:t>, núm. 11/2002, noviembre 2002, págs. 44-56.</w:t>
      </w:r>
    </w:p>
  </w:footnote>
  <w:footnote w:id="194">
    <w:p w14:paraId="28A4210B" w14:textId="77777777" w:rsidR="007B7556" w:rsidRPr="005B2AB0" w:rsidRDefault="007B7556" w:rsidP="002B2B15">
      <w:pPr>
        <w:pStyle w:val="nota"/>
      </w:pPr>
      <w:r w:rsidRPr="005B2AB0">
        <w:rPr>
          <w:rStyle w:val="Refdenotaalpie"/>
        </w:rPr>
        <w:footnoteRef/>
      </w:r>
      <w:r w:rsidRPr="005B2AB0">
        <w:t xml:space="preserve"> Antes de la reforma introducida por la L.O. 19/2003, de 23 de diciembre, de modificación de la L.O. 6/1985, de 1 de julio, del Poder Judicial, el artículo 238 establecía lo siguiente:</w:t>
      </w:r>
    </w:p>
    <w:p w14:paraId="3B946D7A" w14:textId="77777777" w:rsidR="007B7556" w:rsidRPr="005B2AB0" w:rsidRDefault="007B7556" w:rsidP="002B2B15">
      <w:pPr>
        <w:pStyle w:val="nota"/>
        <w:rPr>
          <w:i/>
          <w:iCs/>
        </w:rPr>
      </w:pPr>
      <w:r w:rsidRPr="005B2AB0">
        <w:rPr>
          <w:i/>
          <w:iCs/>
        </w:rPr>
        <w:t>“Los actos judiciales serán nulos de pleno derecho en los casos siguientes:</w:t>
      </w:r>
    </w:p>
    <w:p w14:paraId="4838A9ED" w14:textId="77777777" w:rsidR="007B7556" w:rsidRPr="005B2AB0" w:rsidRDefault="007B7556" w:rsidP="002B2B15">
      <w:pPr>
        <w:pStyle w:val="nota"/>
        <w:rPr>
          <w:i/>
          <w:iCs/>
        </w:rPr>
      </w:pPr>
      <w:r w:rsidRPr="005B2AB0">
        <w:rPr>
          <w:i/>
          <w:iCs/>
        </w:rPr>
        <w:t>1.º Cuando se produzcan con manifiesta falta de jurisdicción o de competencia objetiva o funcional.</w:t>
      </w:r>
    </w:p>
    <w:p w14:paraId="40DBC350" w14:textId="77777777" w:rsidR="007B7556" w:rsidRPr="005B2AB0" w:rsidRDefault="007B7556" w:rsidP="002B2B15">
      <w:pPr>
        <w:pStyle w:val="nota"/>
        <w:rPr>
          <w:i/>
          <w:iCs/>
        </w:rPr>
      </w:pPr>
      <w:r w:rsidRPr="005B2AB0">
        <w:rPr>
          <w:i/>
          <w:iCs/>
        </w:rPr>
        <w:t>2.º Cuando se realicen bajo violencia o bajo intimidación racional y fundada de un mal inminente y grave.</w:t>
      </w:r>
    </w:p>
    <w:p w14:paraId="49E0A236" w14:textId="77777777" w:rsidR="007B7556" w:rsidRDefault="007B7556" w:rsidP="002B2B15">
      <w:pPr>
        <w:pStyle w:val="nota"/>
      </w:pPr>
      <w:r w:rsidRPr="005B2AB0">
        <w:rPr>
          <w:i/>
          <w:iCs/>
        </w:rPr>
        <w:t>3.º Cuando se prescinda total y absolutamente de las normas esenciales de procedimiento establecidas por la ley o con infracción de los principios de audiencia, asistencia y defensa, siempre que efectivamente se haya producido indefensión”.</w:t>
      </w:r>
    </w:p>
  </w:footnote>
  <w:footnote w:id="195">
    <w:p w14:paraId="49BBDCC4" w14:textId="77777777" w:rsidR="007B7556" w:rsidRDefault="007B7556" w:rsidP="006F44C0">
      <w:pPr>
        <w:pStyle w:val="nota"/>
      </w:pPr>
      <w:r>
        <w:rPr>
          <w:rStyle w:val="Refdenotaalpie"/>
        </w:rPr>
        <w:footnoteRef/>
      </w:r>
      <w:r>
        <w:t xml:space="preserve"> El artículo 225 LEC establece que los actos procesales serán nulos de pleno derecho en los casos siguientes:</w:t>
      </w:r>
    </w:p>
    <w:p w14:paraId="47111B4D" w14:textId="77777777" w:rsidR="007B7556" w:rsidRPr="002F59DE" w:rsidRDefault="007B7556" w:rsidP="006F44C0">
      <w:pPr>
        <w:pStyle w:val="nota"/>
        <w:rPr>
          <w:i/>
          <w:iCs/>
        </w:rPr>
      </w:pPr>
      <w:r w:rsidRPr="002F59DE">
        <w:rPr>
          <w:i/>
          <w:iCs/>
        </w:rPr>
        <w:t>“1.º Cuando se produzcan por o ante Tribunal con falta de jurisdicción o de competencia objetiva o funcional.</w:t>
      </w:r>
    </w:p>
    <w:p w14:paraId="7651397A" w14:textId="77777777" w:rsidR="007B7556" w:rsidRPr="002F59DE" w:rsidRDefault="007B7556" w:rsidP="006F44C0">
      <w:pPr>
        <w:pStyle w:val="nota"/>
        <w:rPr>
          <w:i/>
          <w:iCs/>
        </w:rPr>
      </w:pPr>
      <w:r w:rsidRPr="002F59DE">
        <w:rPr>
          <w:i/>
          <w:iCs/>
        </w:rPr>
        <w:t>2.º Cuando se realicen bajo violencia o intimidación.</w:t>
      </w:r>
    </w:p>
    <w:p w14:paraId="2516FBBA" w14:textId="77777777" w:rsidR="007B7556" w:rsidRPr="002F59DE" w:rsidRDefault="007B7556" w:rsidP="006F44C0">
      <w:pPr>
        <w:pStyle w:val="nota"/>
        <w:rPr>
          <w:i/>
          <w:iCs/>
        </w:rPr>
      </w:pPr>
      <w:r w:rsidRPr="002F59DE">
        <w:rPr>
          <w:i/>
          <w:iCs/>
        </w:rPr>
        <w:t>3.º Cuando se prescinda de normas esenciales del procedimiento, siempre que, por esa causa, haya podido producirse indefensión.</w:t>
      </w:r>
    </w:p>
    <w:p w14:paraId="7DC3D287" w14:textId="77777777" w:rsidR="007B7556" w:rsidRPr="002F59DE" w:rsidRDefault="007B7556" w:rsidP="006F44C0">
      <w:pPr>
        <w:pStyle w:val="nota"/>
        <w:rPr>
          <w:i/>
          <w:iCs/>
        </w:rPr>
      </w:pPr>
      <w:r w:rsidRPr="002F59DE">
        <w:rPr>
          <w:i/>
          <w:iCs/>
        </w:rPr>
        <w:t>4.º Cuando se realicen sin intervención de abogado, en los casos en que la ley la establezca como obligatoria.</w:t>
      </w:r>
    </w:p>
    <w:p w14:paraId="5C707B94" w14:textId="77777777" w:rsidR="007B7556" w:rsidRPr="002F59DE" w:rsidRDefault="007B7556" w:rsidP="006F44C0">
      <w:pPr>
        <w:pStyle w:val="nota"/>
        <w:rPr>
          <w:i/>
          <w:iCs/>
        </w:rPr>
      </w:pPr>
      <w:r w:rsidRPr="002F59DE">
        <w:rPr>
          <w:i/>
          <w:iCs/>
        </w:rPr>
        <w:t>5.º Cuando se celebren vistas sin la preceptiva intervención del Letrado de la Administración de Justicia.</w:t>
      </w:r>
    </w:p>
    <w:p w14:paraId="6241C464" w14:textId="77777777" w:rsidR="007B7556" w:rsidRPr="002F59DE" w:rsidRDefault="007B7556" w:rsidP="006F44C0">
      <w:pPr>
        <w:pStyle w:val="nota"/>
        <w:rPr>
          <w:i/>
          <w:iCs/>
        </w:rPr>
      </w:pPr>
      <w:r w:rsidRPr="002F59DE">
        <w:rPr>
          <w:i/>
          <w:iCs/>
        </w:rPr>
        <w:t>6.º Cuando se resolvieran mediante diligencias de ordenación o decreto cuestiones que, conforme a la ley, hayan de ser resueltas por medio de providencia, auto o sentencia.</w:t>
      </w:r>
    </w:p>
    <w:p w14:paraId="10181230" w14:textId="77777777" w:rsidR="007B7556" w:rsidRPr="002F59DE" w:rsidRDefault="007B7556" w:rsidP="006F44C0">
      <w:pPr>
        <w:pStyle w:val="nota"/>
      </w:pPr>
      <w:r w:rsidRPr="002F59DE">
        <w:rPr>
          <w:i/>
          <w:iCs/>
        </w:rPr>
        <w:t>7.º En los demás casos en que esta ley así lo establezca”.</w:t>
      </w:r>
    </w:p>
  </w:footnote>
  <w:footnote w:id="196">
    <w:p w14:paraId="067E7775" w14:textId="77777777" w:rsidR="007B7556" w:rsidRDefault="007B7556" w:rsidP="006F44C0">
      <w:pPr>
        <w:pStyle w:val="nota"/>
      </w:pPr>
      <w:r>
        <w:rPr>
          <w:rStyle w:val="Refdenotaalpie"/>
        </w:rPr>
        <w:footnoteRef/>
      </w:r>
      <w:r>
        <w:t xml:space="preserve"> Puede consultarse, entre otros:</w:t>
      </w:r>
    </w:p>
    <w:p w14:paraId="3CB989F0" w14:textId="77777777" w:rsidR="007B7556" w:rsidRDefault="007B7556" w:rsidP="006F44C0">
      <w:pPr>
        <w:pStyle w:val="nota"/>
      </w:pPr>
      <w:bookmarkStart w:id="437" w:name="_Hlk5985540"/>
      <w:r>
        <w:t xml:space="preserve">GARNICA MARTÍN, J. F., </w:t>
      </w:r>
      <w:r>
        <w:rPr>
          <w:i/>
        </w:rPr>
        <w:t>Comentarios a la nueva Ley de Enjuiciamiento Civil</w:t>
      </w:r>
      <w:r>
        <w:t xml:space="preserve"> (coord. M. Á. Fernández-Ballesteros, J. M. </w:t>
      </w:r>
      <w:proofErr w:type="spellStart"/>
      <w:r>
        <w:t>Rifá</w:t>
      </w:r>
      <w:proofErr w:type="spellEnd"/>
      <w:r>
        <w:t xml:space="preserve"> Soler, y J. F. Valls </w:t>
      </w:r>
      <w:proofErr w:type="spellStart"/>
      <w:r>
        <w:t>Gombau</w:t>
      </w:r>
      <w:proofErr w:type="spellEnd"/>
      <w:r>
        <w:t>), Madrid, 2000.</w:t>
      </w:r>
    </w:p>
    <w:p w14:paraId="34ED8C23" w14:textId="77777777" w:rsidR="007B7556" w:rsidRDefault="007B7556" w:rsidP="006F44C0">
      <w:pPr>
        <w:pStyle w:val="nota"/>
      </w:pPr>
      <w:r>
        <w:t xml:space="preserve">MORENO CATENA, V., </w:t>
      </w:r>
      <w:r>
        <w:rPr>
          <w:i/>
        </w:rPr>
        <w:t>Derecho procesal civil. Parte General</w:t>
      </w:r>
      <w:r>
        <w:t>, (con V. CORTÉS DOMÍNGUEZ y V. GIMENO SENDRA), Madrid, 2001.</w:t>
      </w:r>
    </w:p>
    <w:p w14:paraId="1825ED4A" w14:textId="77777777" w:rsidR="007B7556" w:rsidRDefault="007B7556" w:rsidP="006F44C0">
      <w:pPr>
        <w:pStyle w:val="nota"/>
      </w:pPr>
      <w:r>
        <w:t>MORENO CATENA, V., Lecciones</w:t>
      </w:r>
      <w:r>
        <w:rPr>
          <w:i/>
        </w:rPr>
        <w:t xml:space="preserve"> de Derecho procesal penal</w:t>
      </w:r>
      <w:r>
        <w:t xml:space="preserve"> (con V. GIMENO SENDRA y</w:t>
      </w:r>
    </w:p>
    <w:p w14:paraId="020CE9CE" w14:textId="77777777" w:rsidR="007B7556" w:rsidRDefault="007B7556" w:rsidP="006F44C0">
      <w:pPr>
        <w:pStyle w:val="nota"/>
      </w:pPr>
      <w:r>
        <w:t>V. CORTÉS DOMÍNGUEZ), Madrid, 2003.</w:t>
      </w:r>
    </w:p>
    <w:p w14:paraId="447246F9" w14:textId="77777777" w:rsidR="007B7556" w:rsidRDefault="007B7556" w:rsidP="006F44C0">
      <w:pPr>
        <w:pStyle w:val="nota"/>
      </w:pPr>
      <w:r>
        <w:t xml:space="preserve">MORENO CATENA, V., </w:t>
      </w:r>
      <w:r>
        <w:rPr>
          <w:i/>
        </w:rPr>
        <w:t>Derecho procesal civil. Parte general</w:t>
      </w:r>
      <w:r>
        <w:t xml:space="preserve"> (con V. CORTÉS DOMÍNGUEZ), Madrid, 2011.</w:t>
      </w:r>
      <w:bookmarkEnd w:id="437"/>
    </w:p>
  </w:footnote>
  <w:footnote w:id="197">
    <w:p w14:paraId="6F198EB4" w14:textId="77777777" w:rsidR="007B7556" w:rsidRDefault="007B7556" w:rsidP="006F44C0">
      <w:pPr>
        <w:pStyle w:val="nota"/>
      </w:pPr>
      <w:r>
        <w:rPr>
          <w:rStyle w:val="Refdenotaalpie"/>
        </w:rPr>
        <w:footnoteRef/>
      </w:r>
      <w:r>
        <w:t xml:space="preserve"> </w:t>
      </w:r>
      <w:r w:rsidRPr="002B71D0">
        <w:t>Este supuesto de nulidad de actuaciones procesales enlaza, directamente, con las previsiones efectuadas en los arts. 5 y 7, LJCA sobre el carácter improrrogable tanto de la Jurisdicción Contencioso – Administrativa como de su propia competencia.</w:t>
      </w:r>
    </w:p>
  </w:footnote>
  <w:footnote w:id="198">
    <w:p w14:paraId="428494D7" w14:textId="77777777" w:rsidR="007B7556" w:rsidRDefault="007B7556" w:rsidP="002B2B15">
      <w:pPr>
        <w:pStyle w:val="nota"/>
      </w:pPr>
      <w:r>
        <w:rPr>
          <w:rStyle w:val="Refdenotaalpie"/>
        </w:rPr>
        <w:footnoteRef/>
      </w:r>
      <w:r>
        <w:t xml:space="preserve"> GIMENO SENDRA, J. V., </w:t>
      </w:r>
      <w:r w:rsidRPr="00E368C5">
        <w:rPr>
          <w:i/>
          <w:iCs/>
        </w:rPr>
        <w:t>Fundamentos de Derecho Procesal</w:t>
      </w:r>
      <w:r w:rsidRPr="00E368C5">
        <w:t>,</w:t>
      </w:r>
      <w:r>
        <w:t xml:space="preserve"> Madrid, 1981, pág. 28.</w:t>
      </w:r>
    </w:p>
  </w:footnote>
  <w:footnote w:id="199">
    <w:p w14:paraId="734EC2E9" w14:textId="77777777" w:rsidR="007B7556" w:rsidRDefault="007B7556" w:rsidP="002B2B15">
      <w:pPr>
        <w:pStyle w:val="nota"/>
      </w:pPr>
      <w:r>
        <w:rPr>
          <w:rStyle w:val="Refdenotaalpie"/>
        </w:rPr>
        <w:footnoteRef/>
      </w:r>
      <w:r>
        <w:t xml:space="preserve"> RICHARD GONZÁLEZ, M., </w:t>
      </w:r>
      <w:r w:rsidRPr="00346EE5">
        <w:t>Tratamiento procesal de la nulidad de actuaciones,</w:t>
      </w:r>
      <w:r>
        <w:t xml:space="preserve"> Navarra, 2008, pág.57.</w:t>
      </w:r>
    </w:p>
  </w:footnote>
  <w:footnote w:id="200">
    <w:p w14:paraId="2F985770" w14:textId="77777777" w:rsidR="007B7556" w:rsidRDefault="007B7556" w:rsidP="002B2B15">
      <w:pPr>
        <w:pStyle w:val="nota"/>
      </w:pPr>
      <w:r>
        <w:rPr>
          <w:rStyle w:val="Refdenotaalpie"/>
        </w:rPr>
        <w:footnoteRef/>
      </w:r>
      <w:r>
        <w:t xml:space="preserve"> </w:t>
      </w:r>
      <w:r w:rsidRPr="000C3A7D">
        <w:t xml:space="preserve">GALLEGO GARCIA, </w:t>
      </w:r>
      <w:r>
        <w:t>R</w:t>
      </w:r>
      <w:r w:rsidRPr="000C3A7D">
        <w:t>., Comentarios a la Ley de Enjuiciamiento Civil, (Dir</w:t>
      </w:r>
      <w:r>
        <w:t>.</w:t>
      </w:r>
      <w:r w:rsidRPr="000C3A7D">
        <w:t xml:space="preserve"> Fernando </w:t>
      </w:r>
      <w:r>
        <w:t>T</w:t>
      </w:r>
      <w:r w:rsidRPr="000C3A7D">
        <w:t xml:space="preserve">oribio </w:t>
      </w:r>
      <w:r>
        <w:t>F</w:t>
      </w:r>
      <w:r w:rsidRPr="000C3A7D">
        <w:t>uentes) Valladolid, 2012, pág. 390</w:t>
      </w:r>
      <w:r>
        <w:t>.</w:t>
      </w:r>
    </w:p>
  </w:footnote>
  <w:footnote w:id="201">
    <w:p w14:paraId="025F21A8" w14:textId="77777777" w:rsidR="007B7556" w:rsidRDefault="007B7556" w:rsidP="006F44C0">
      <w:pPr>
        <w:pStyle w:val="nota"/>
      </w:pPr>
      <w:r>
        <w:rPr>
          <w:rStyle w:val="Refdenotaalpie"/>
        </w:rPr>
        <w:footnoteRef/>
      </w:r>
      <w:r>
        <w:t xml:space="preserve"> Según la LECrim, la asistencia del abogado consistirá en:</w:t>
      </w:r>
    </w:p>
    <w:p w14:paraId="169AE5D4" w14:textId="77777777" w:rsidR="007B7556" w:rsidRPr="009265A0" w:rsidRDefault="007B7556" w:rsidP="006F44C0">
      <w:pPr>
        <w:pStyle w:val="nota"/>
        <w:rPr>
          <w:i/>
          <w:iCs/>
        </w:rPr>
      </w:pPr>
      <w:r w:rsidRPr="009265A0">
        <w:rPr>
          <w:i/>
          <w:iCs/>
        </w:rPr>
        <w:t>“a) Solicitar, en su caso, que se informe al detenido o preso de los derechos establecidos en el apartado 2 y que se proceda, si fuera necesario, al reconocimiento médico señalado en su letra i).</w:t>
      </w:r>
    </w:p>
    <w:p w14:paraId="4F6FA78C" w14:textId="77777777" w:rsidR="007B7556" w:rsidRPr="009265A0" w:rsidRDefault="007B7556" w:rsidP="006F44C0">
      <w:pPr>
        <w:pStyle w:val="nota"/>
        <w:rPr>
          <w:i/>
          <w:iCs/>
        </w:rPr>
      </w:pPr>
      <w:r w:rsidRPr="009265A0">
        <w:rPr>
          <w:i/>
          <w:iCs/>
        </w:rPr>
        <w:t>b) Intervenir en las diligencias de declaración del detenido, en las diligencias de reconocimiento de que sea objeto y en las de reconstrucción de los hechos en que participe el detenido. El abogado podrá solicitar al juez o funcionario que hubiesen practicado la diligencia en la que haya intervenido, una vez terminada ésta, la declaración o ampliación de los extremos que considere convenientes, así como la consignación en el acta de cualquier incidencia que haya tenido lugar durante su práctica.</w:t>
      </w:r>
    </w:p>
    <w:p w14:paraId="097B72D0" w14:textId="77777777" w:rsidR="007B7556" w:rsidRPr="009265A0" w:rsidRDefault="007B7556" w:rsidP="006F44C0">
      <w:pPr>
        <w:pStyle w:val="nota"/>
        <w:rPr>
          <w:i/>
          <w:iCs/>
        </w:rPr>
      </w:pPr>
      <w:r w:rsidRPr="009265A0">
        <w:rPr>
          <w:i/>
          <w:iCs/>
        </w:rPr>
        <w:t>c) Informar al detenido de las consecuencias de la prestación o denegación de consentimiento a la práctica de diligencias que se le soliciten.</w:t>
      </w:r>
    </w:p>
    <w:p w14:paraId="5FF05DF1" w14:textId="77777777" w:rsidR="007B7556" w:rsidRPr="009265A0" w:rsidRDefault="007B7556" w:rsidP="006F44C0">
      <w:pPr>
        <w:pStyle w:val="nota"/>
        <w:rPr>
          <w:i/>
          <w:iCs/>
        </w:rPr>
      </w:pPr>
      <w:r w:rsidRPr="009265A0">
        <w:rPr>
          <w:i/>
          <w:iCs/>
        </w:rPr>
        <w:t>Si el detenido se opusiera a la recogida de las muestras mediante frotis bucal, conforme a las previsiones de la Ley Orgánica 10/2007, de 8 de octubre, reguladora de la base de datos policial sobre identificadores obtenidos a partir del ADN, el juez de instrucción, a instancia de la Policía Judicial o del Ministerio Fiscal, podrá imponer la ejecución forzosa de tal diligencia mediante el recurso a las medidas coactivas mínimas indispensables, que deberán ser proporcionadas a las circunstancias del caso y respetuosas con su dignidad.</w:t>
      </w:r>
    </w:p>
    <w:p w14:paraId="2350D23A" w14:textId="77777777" w:rsidR="007B7556" w:rsidRDefault="007B7556" w:rsidP="006F44C0">
      <w:pPr>
        <w:pStyle w:val="nota"/>
      </w:pPr>
      <w:r w:rsidRPr="009265A0">
        <w:rPr>
          <w:i/>
          <w:iCs/>
        </w:rPr>
        <w:t>d) Entrevistarse reservadamente con el detenido, incluso antes de que se le reciba declaración por la policía, el fiscal o la autoridad judicial, sin perjuicio de lo dispuesto en el artículo 527”.</w:t>
      </w:r>
    </w:p>
  </w:footnote>
  <w:footnote w:id="202">
    <w:p w14:paraId="6E9DAF38" w14:textId="77777777" w:rsidR="007B7556" w:rsidRDefault="007B7556" w:rsidP="002B2B15">
      <w:pPr>
        <w:pStyle w:val="nota"/>
      </w:pPr>
      <w:r>
        <w:rPr>
          <w:rStyle w:val="Refdenotaalpie"/>
        </w:rPr>
        <w:footnoteRef/>
      </w:r>
      <w:r>
        <w:t xml:space="preserve"> RICHARD GONZÁLEZ, M., </w:t>
      </w:r>
      <w:r w:rsidRPr="00346EE5">
        <w:t>Tratamiento procesal de la nulidad de actuaciones,</w:t>
      </w:r>
      <w:r>
        <w:t xml:space="preserve"> Navarra, 2008, pág. 81.</w:t>
      </w:r>
    </w:p>
  </w:footnote>
  <w:footnote w:id="203">
    <w:p w14:paraId="3257E15E" w14:textId="77777777" w:rsidR="007B7556" w:rsidRDefault="007B7556" w:rsidP="002B2B15">
      <w:pPr>
        <w:pStyle w:val="nota"/>
      </w:pPr>
      <w:r>
        <w:rPr>
          <w:rStyle w:val="Refdenotaalpie"/>
        </w:rPr>
        <w:footnoteRef/>
      </w:r>
      <w:r>
        <w:t xml:space="preserve"> </w:t>
      </w:r>
      <w:r w:rsidRPr="00976DC2">
        <w:t>GORIGOITÍA ABBOTT</w:t>
      </w:r>
      <w:r>
        <w:t>, F., “I</w:t>
      </w:r>
      <w:r w:rsidRPr="00976DC2">
        <w:t>rregularidad, invalidez e ineficacia en el contexto de la nulidad procesal</w:t>
      </w:r>
      <w:r>
        <w:t xml:space="preserve">”, </w:t>
      </w:r>
      <w:r w:rsidRPr="00976DC2">
        <w:t>Revista de derecho (Coquimbo)</w:t>
      </w:r>
      <w:r>
        <w:t>, versión On-line, vol.20 no.1, 2013, pág. 1.</w:t>
      </w:r>
    </w:p>
  </w:footnote>
  <w:footnote w:id="204">
    <w:p w14:paraId="706DADE2" w14:textId="4B47FC78" w:rsidR="007B7556" w:rsidRDefault="007B7556" w:rsidP="002B2B15">
      <w:pPr>
        <w:pStyle w:val="nota"/>
      </w:pPr>
      <w:r>
        <w:rPr>
          <w:rStyle w:val="Refdenotaalpie"/>
        </w:rPr>
        <w:footnoteRef/>
      </w:r>
      <w:r>
        <w:t xml:space="preserve"> </w:t>
      </w:r>
      <w:proofErr w:type="spellStart"/>
      <w:r w:rsidR="004B058B">
        <w:t>Ibídem</w:t>
      </w:r>
      <w:proofErr w:type="spellEnd"/>
      <w:r>
        <w:t xml:space="preserve"> pág. 52.</w:t>
      </w:r>
    </w:p>
  </w:footnote>
  <w:footnote w:id="205">
    <w:p w14:paraId="3AB4B608" w14:textId="77777777" w:rsidR="007B7556" w:rsidRDefault="007B7556" w:rsidP="002B2B15">
      <w:pPr>
        <w:pStyle w:val="nota"/>
      </w:pPr>
      <w:r>
        <w:rPr>
          <w:rStyle w:val="Refdenotaalpie"/>
        </w:rPr>
        <w:footnoteRef/>
      </w:r>
      <w:r>
        <w:t xml:space="preserve"> Para una visión más completa de este apartado, puede consultarse: </w:t>
      </w:r>
    </w:p>
    <w:p w14:paraId="41B81F5B" w14:textId="77777777" w:rsidR="007B7556" w:rsidRDefault="007B7556" w:rsidP="002B2B15">
      <w:pPr>
        <w:pStyle w:val="nota"/>
      </w:pPr>
      <w:r w:rsidRPr="008D5C33">
        <w:t xml:space="preserve">MONTERO AROCA, </w:t>
      </w:r>
      <w:r>
        <w:t xml:space="preserve">J., </w:t>
      </w:r>
      <w:r w:rsidRPr="008D5C33">
        <w:t xml:space="preserve">GÓMEZ COLOMER, </w:t>
      </w:r>
      <w:r>
        <w:t xml:space="preserve">J. L., </w:t>
      </w:r>
      <w:r w:rsidRPr="008D5C33">
        <w:t>BARONA VILA</w:t>
      </w:r>
      <w:r>
        <w:t xml:space="preserve">, S., </w:t>
      </w:r>
      <w:r w:rsidRPr="008D5C33">
        <w:rPr>
          <w:i/>
          <w:iCs/>
        </w:rPr>
        <w:t>Derecho Jurisdiccional. Vol. 1: Parte general,</w:t>
      </w:r>
      <w:r w:rsidRPr="008D5C33">
        <w:t xml:space="preserve"> </w:t>
      </w:r>
      <w:r>
        <w:t xml:space="preserve">Valencia, </w:t>
      </w:r>
      <w:r w:rsidRPr="008D5C33">
        <w:t>2016.</w:t>
      </w:r>
    </w:p>
    <w:p w14:paraId="4F97C6B7" w14:textId="77777777" w:rsidR="007B7556" w:rsidRDefault="007B7556" w:rsidP="002B2B15">
      <w:pPr>
        <w:pStyle w:val="nota"/>
      </w:pPr>
      <w:r w:rsidRPr="008D5C33">
        <w:t xml:space="preserve">MONTERO AROCA, </w:t>
      </w:r>
      <w:r>
        <w:t xml:space="preserve">J., </w:t>
      </w:r>
      <w:r w:rsidRPr="008D5C33">
        <w:t xml:space="preserve">GÓMEZ COLOMER, </w:t>
      </w:r>
      <w:r>
        <w:t xml:space="preserve">J. L., </w:t>
      </w:r>
      <w:r w:rsidRPr="008D5C33">
        <w:t xml:space="preserve">BARONA VILAR, </w:t>
      </w:r>
      <w:r>
        <w:t xml:space="preserve">S., </w:t>
      </w:r>
      <w:r w:rsidRPr="008D5C33">
        <w:t>PÍA CALDERÓN CUADRADO</w:t>
      </w:r>
      <w:r>
        <w:t xml:space="preserve">, M., </w:t>
      </w:r>
      <w:r w:rsidRPr="008D5C33">
        <w:rPr>
          <w:i/>
          <w:iCs/>
        </w:rPr>
        <w:t>Derecho Jurisdiccional. Vol. 2: Proceso civil</w:t>
      </w:r>
      <w:r>
        <w:t>, Valencia,</w:t>
      </w:r>
      <w:r w:rsidRPr="008D5C33">
        <w:t xml:space="preserve"> 2016.</w:t>
      </w:r>
    </w:p>
  </w:footnote>
  <w:footnote w:id="206">
    <w:p w14:paraId="0CAF4076" w14:textId="77777777" w:rsidR="007B7556" w:rsidRDefault="007B7556" w:rsidP="002B2B15">
      <w:pPr>
        <w:pStyle w:val="nota"/>
      </w:pPr>
      <w:r>
        <w:rPr>
          <w:rStyle w:val="Refdenotaalpie"/>
        </w:rPr>
        <w:footnoteRef/>
      </w:r>
      <w:r>
        <w:t xml:space="preserve"> Para más información sobre la evolución normativa de esta figura, puede consultarse: </w:t>
      </w:r>
      <w:bookmarkStart w:id="476" w:name="_Hlk29339382"/>
    </w:p>
    <w:p w14:paraId="3A48AA83" w14:textId="77777777" w:rsidR="007B7556" w:rsidRDefault="007B7556" w:rsidP="002B2B15">
      <w:pPr>
        <w:pStyle w:val="nota"/>
      </w:pPr>
      <w:r>
        <w:t xml:space="preserve">BELLIDO PENADÉS, R., “El incidente de nulidad de actuaciones como medio de tutela de derechos fundamentales”, </w:t>
      </w:r>
      <w:r w:rsidRPr="0047318A">
        <w:rPr>
          <w:i/>
          <w:iCs/>
        </w:rPr>
        <w:t>Revista General de Derecho Constitucional</w:t>
      </w:r>
      <w:r>
        <w:rPr>
          <w:i/>
          <w:iCs/>
        </w:rPr>
        <w:t xml:space="preserve">, </w:t>
      </w:r>
      <w:r>
        <w:t>núm. 25, 2017, págs. 5 y ss.</w:t>
      </w:r>
    </w:p>
    <w:p w14:paraId="10C22D8C" w14:textId="77777777" w:rsidR="007B7556" w:rsidRDefault="007B7556" w:rsidP="006F44C0">
      <w:pPr>
        <w:pStyle w:val="nota"/>
      </w:pPr>
      <w:r w:rsidRPr="00C63380">
        <w:t>NOGUEIRA GUSTAVINO, M.</w:t>
      </w:r>
      <w:r>
        <w:t>,</w:t>
      </w:r>
      <w:r w:rsidRPr="00C63380">
        <w:t xml:space="preserve"> </w:t>
      </w:r>
      <w:r>
        <w:t>“</w:t>
      </w:r>
      <w:r w:rsidRPr="00C63380">
        <w:t>Contracciones y dilataciones en la reforma de la Ley Orgánica del Tribunal Constitucional: Parto prematuro del incidente de nulidad de actuaciones e incongruencia omisiva</w:t>
      </w:r>
      <w:r>
        <w:t>”,</w:t>
      </w:r>
      <w:r w:rsidRPr="00C63380">
        <w:t xml:space="preserve"> </w:t>
      </w:r>
      <w:r w:rsidRPr="00C63380">
        <w:rPr>
          <w:i/>
          <w:iCs/>
        </w:rPr>
        <w:t>Teoría y Derecho,</w:t>
      </w:r>
      <w:r w:rsidRPr="00C63380">
        <w:t xml:space="preserve"> </w:t>
      </w:r>
      <w:r>
        <w:t>núm.,</w:t>
      </w:r>
      <w:r w:rsidRPr="00C63380">
        <w:t>3,</w:t>
      </w:r>
      <w:r>
        <w:t>2008,</w:t>
      </w:r>
      <w:r w:rsidRPr="00C63380">
        <w:t xml:space="preserve"> 206-232.</w:t>
      </w:r>
    </w:p>
    <w:bookmarkEnd w:id="476"/>
  </w:footnote>
  <w:footnote w:id="207">
    <w:p w14:paraId="045A120E" w14:textId="77777777" w:rsidR="007B7556" w:rsidRDefault="007B7556" w:rsidP="002B2B15">
      <w:pPr>
        <w:pStyle w:val="nota"/>
      </w:pPr>
      <w:r>
        <w:rPr>
          <w:rStyle w:val="Refdenotaalpie"/>
        </w:rPr>
        <w:footnoteRef/>
      </w:r>
      <w:r>
        <w:t xml:space="preserve"> L</w:t>
      </w:r>
      <w:r w:rsidRPr="00851377">
        <w:t xml:space="preserve">a Ley 13/2009, de 3 de noviembre, de reforma de la legislación procesal para la implantación de la nueva Oficina judicial, modificó el art. 228 de la LEC </w:t>
      </w:r>
      <w:r>
        <w:t>adecuando su contenido a la modificación del art. 241 LOPJ mediante la LO 6/2007.</w:t>
      </w:r>
    </w:p>
  </w:footnote>
  <w:footnote w:id="208">
    <w:p w14:paraId="0E734D6C" w14:textId="77777777" w:rsidR="007B7556" w:rsidRDefault="007B7556" w:rsidP="002B2B15">
      <w:pPr>
        <w:pStyle w:val="nota"/>
      </w:pPr>
      <w:r>
        <w:rPr>
          <w:rStyle w:val="Refdenotaalpie"/>
        </w:rPr>
        <w:footnoteRef/>
      </w:r>
      <w:r>
        <w:t xml:space="preserve"> </w:t>
      </w:r>
      <w:bookmarkStart w:id="483" w:name="_Hlk29339403"/>
      <w:r w:rsidRPr="00FA5161">
        <w:t>GÓMEZ FERNÁNDEZ, I. Y MONTESINOS PADILLA, C.,</w:t>
      </w:r>
      <w:r>
        <w:t xml:space="preserve"> “</w:t>
      </w:r>
      <w:r w:rsidRPr="00097136">
        <w:t>Una década de incidente de nulidad de actuaciones: ¿aclaración, reforma o supresión?”,</w:t>
      </w:r>
      <w:r w:rsidRPr="00FA5161">
        <w:t xml:space="preserve"> </w:t>
      </w:r>
      <w:r w:rsidRPr="00FA5161">
        <w:rPr>
          <w:i/>
        </w:rPr>
        <w:t>Revista de Derecho Constitucional</w:t>
      </w:r>
      <w:r w:rsidRPr="00FA5161">
        <w:t>, núm. 113, 2018, pág</w:t>
      </w:r>
      <w:r>
        <w:t>. 74.</w:t>
      </w:r>
      <w:bookmarkEnd w:id="483"/>
    </w:p>
  </w:footnote>
  <w:footnote w:id="209">
    <w:p w14:paraId="786DF3C2" w14:textId="0AFF3879" w:rsidR="007B7556" w:rsidRDefault="007B7556" w:rsidP="006F44C0">
      <w:pPr>
        <w:pStyle w:val="nota"/>
      </w:pPr>
      <w:r>
        <w:rPr>
          <w:rStyle w:val="Refdenotaalpie"/>
        </w:rPr>
        <w:footnoteRef/>
      </w:r>
      <w:r>
        <w:t xml:space="preserve"> </w:t>
      </w:r>
      <w:r w:rsidRPr="00084BBE">
        <w:t>CHOZAS ALONSO</w:t>
      </w:r>
      <w:r>
        <w:t>, J. M., “La expansión del incidente de nulidad de actuaciones por motivos procesales. A propósito de la STC 43/2010, de 26 de julio”, Derecho</w:t>
      </w:r>
      <w:r w:rsidRPr="00084BBE">
        <w:rPr>
          <w:i/>
          <w:iCs/>
        </w:rPr>
        <w:t xml:space="preserve"> Privado y Constitución</w:t>
      </w:r>
      <w:r>
        <w:rPr>
          <w:i/>
          <w:iCs/>
        </w:rPr>
        <w:t xml:space="preserve">, </w:t>
      </w:r>
      <w:r>
        <w:t>núm. 25, enero-diciembre 2011, pág. 339.</w:t>
      </w:r>
    </w:p>
  </w:footnote>
  <w:footnote w:id="210">
    <w:p w14:paraId="2D2D5D47" w14:textId="77777777" w:rsidR="007B7556" w:rsidRDefault="007B7556" w:rsidP="006F44C0">
      <w:pPr>
        <w:pStyle w:val="nota"/>
      </w:pPr>
      <w:r>
        <w:rPr>
          <w:rStyle w:val="Refdenotaalpie"/>
        </w:rPr>
        <w:footnoteRef/>
      </w:r>
      <w:r>
        <w:t xml:space="preserve"> CARRASCO DURÁN, M., “La tutela de los derechos fundamentales a través del incidente</w:t>
      </w:r>
    </w:p>
    <w:p w14:paraId="406033C0" w14:textId="77777777" w:rsidR="007B7556" w:rsidRDefault="007B7556" w:rsidP="006F44C0">
      <w:pPr>
        <w:pStyle w:val="nota"/>
      </w:pPr>
      <w:r>
        <w:t xml:space="preserve">de nulidad de actuaciones”, </w:t>
      </w:r>
      <w:r w:rsidRPr="00097136">
        <w:rPr>
          <w:i/>
          <w:iCs/>
        </w:rPr>
        <w:t>Revista Española de Derecho Constitucional</w:t>
      </w:r>
      <w:r>
        <w:t>, núm. 95, mayo-agosto 2012, págs. 67-68.</w:t>
      </w:r>
    </w:p>
  </w:footnote>
  <w:footnote w:id="211">
    <w:p w14:paraId="45AE271D" w14:textId="77777777" w:rsidR="007B7556" w:rsidRDefault="007B7556" w:rsidP="002B2B15">
      <w:pPr>
        <w:pStyle w:val="nota"/>
      </w:pPr>
      <w:r>
        <w:rPr>
          <w:rStyle w:val="Refdenotaalpie"/>
        </w:rPr>
        <w:footnoteRef/>
      </w:r>
      <w:r>
        <w:t xml:space="preserve"> Puede consultarse en este punto: </w:t>
      </w:r>
      <w:bookmarkStart w:id="518" w:name="_Hlk29339428"/>
      <w:r>
        <w:t xml:space="preserve">DOIG DÍAZ, Y., “Análisis del nuevo incidente de nulidad de actuaciones en la Ley Orgánica 6/2007 de reforma del art. 241 LOPJ”, </w:t>
      </w:r>
      <w:r w:rsidRPr="000C5031">
        <w:rPr>
          <w:i/>
          <w:iCs/>
        </w:rPr>
        <w:t>Diario La Ley</w:t>
      </w:r>
      <w:r>
        <w:t>, núm. 6889, Sección Doctrina, 2008.</w:t>
      </w:r>
    </w:p>
    <w:bookmarkEnd w:id="518"/>
  </w:footnote>
  <w:footnote w:id="212">
    <w:p w14:paraId="451F5F9F" w14:textId="77777777" w:rsidR="007B7556" w:rsidRDefault="007B7556" w:rsidP="002B2B15">
      <w:pPr>
        <w:pStyle w:val="nota"/>
      </w:pPr>
      <w:r>
        <w:rPr>
          <w:rStyle w:val="Refdenotaalpie"/>
        </w:rPr>
        <w:footnoteRef/>
      </w:r>
      <w:r>
        <w:t xml:space="preserve"> Entre otras, las SSTC 206/2016, 151/2016, 150/2016, 136/2016, 49/2016, 23/2016, 16/2016, 204/2015, 96/2015 y 91/2015 (proscripción de la indefensión); la STC 180/2015 (defectos en actos de comunicación); la STC 167/2015 (defectos en actos de emplazamiento) y las SSTC 220/2016, 219/2016, 198/2016, 204/2014, 57/2014 y 9/2014 (incongruencia omisiva).</w:t>
      </w:r>
    </w:p>
  </w:footnote>
  <w:footnote w:id="213">
    <w:p w14:paraId="5FA439AA" w14:textId="77777777" w:rsidR="007B7556" w:rsidRDefault="007B7556" w:rsidP="002B2B15">
      <w:pPr>
        <w:pStyle w:val="nota"/>
      </w:pPr>
      <w:r>
        <w:rPr>
          <w:rStyle w:val="Refdenotaalpie"/>
        </w:rPr>
        <w:footnoteRef/>
      </w:r>
      <w:r>
        <w:t xml:space="preserve"> </w:t>
      </w:r>
      <w:r w:rsidRPr="00FA5161">
        <w:t xml:space="preserve">GÓMEZ FERNÁNDEZ, I. Y MONTESINOS PADILLA, C., Una década de incidente de nulidad de actuaciones: ¿aclaración, reforma o supresión?, </w:t>
      </w:r>
      <w:r w:rsidRPr="00FA5161">
        <w:rPr>
          <w:i/>
        </w:rPr>
        <w:t>Revista de Derecho Constitucional</w:t>
      </w:r>
      <w:r w:rsidRPr="00FA5161">
        <w:t>, núm. 113, 2018, pág</w:t>
      </w:r>
      <w:r>
        <w:t>. 80.</w:t>
      </w:r>
    </w:p>
  </w:footnote>
  <w:footnote w:id="214">
    <w:p w14:paraId="3A4525F8" w14:textId="77777777" w:rsidR="007B7556" w:rsidRDefault="007B7556" w:rsidP="002B2B15">
      <w:pPr>
        <w:pStyle w:val="nota"/>
      </w:pPr>
      <w:r>
        <w:rPr>
          <w:rStyle w:val="Refdenotaalpie"/>
        </w:rPr>
        <w:footnoteRef/>
      </w:r>
      <w:r>
        <w:t xml:space="preserve"> </w:t>
      </w:r>
      <w:r w:rsidRPr="002B2B15">
        <w:rPr>
          <w:rStyle w:val="notaCar"/>
          <w:sz w:val="22"/>
        </w:rPr>
        <w:t>Para ampliar la información sobre este punto puede consultarse:</w:t>
      </w:r>
    </w:p>
    <w:p w14:paraId="4A9556FF" w14:textId="3B92B3D7" w:rsidR="007B7556" w:rsidRDefault="007B7556" w:rsidP="002B2B15">
      <w:pPr>
        <w:pStyle w:val="nota"/>
      </w:pPr>
      <w:r>
        <w:t xml:space="preserve">BANACLOCHE PALAO, J., “La reforma del incidente de nulidad de actuaciones y el pretendido amparo judicial”, en C. </w:t>
      </w:r>
      <w:proofErr w:type="spellStart"/>
      <w:r>
        <w:t>Banacloche</w:t>
      </w:r>
      <w:proofErr w:type="spellEnd"/>
      <w:r>
        <w:t xml:space="preserve"> Palao, J. </w:t>
      </w:r>
      <w:proofErr w:type="spellStart"/>
      <w:r>
        <w:t>Banacloche</w:t>
      </w:r>
      <w:proofErr w:type="spellEnd"/>
      <w:r>
        <w:t xml:space="preserve"> Pérez-Roldán, B. </w:t>
      </w:r>
      <w:proofErr w:type="spellStart"/>
      <w:r>
        <w:t>Banacloche</w:t>
      </w:r>
      <w:proofErr w:type="spellEnd"/>
      <w:r>
        <w:t xml:space="preserve"> Palao (</w:t>
      </w:r>
      <w:r w:rsidR="004B058B">
        <w:t>coord.</w:t>
      </w:r>
      <w:r w:rsidRPr="008872F4">
        <w:t xml:space="preserve">), </w:t>
      </w:r>
      <w:r w:rsidRPr="008872F4">
        <w:rPr>
          <w:i/>
          <w:iCs/>
        </w:rPr>
        <w:t xml:space="preserve">Justicia y Derecho tributario. Libro homenaje al profesor Julio </w:t>
      </w:r>
      <w:proofErr w:type="spellStart"/>
      <w:r w:rsidRPr="008872F4">
        <w:rPr>
          <w:i/>
          <w:iCs/>
        </w:rPr>
        <w:t>Banacloche</w:t>
      </w:r>
      <w:proofErr w:type="spellEnd"/>
      <w:r w:rsidRPr="008872F4">
        <w:rPr>
          <w:i/>
          <w:iCs/>
        </w:rPr>
        <w:t xml:space="preserve"> Pérez</w:t>
      </w:r>
      <w:r>
        <w:t xml:space="preserve">, Madrid, 2008. BARBER BURUSCO, S., </w:t>
      </w:r>
      <w:r w:rsidRPr="008872F4">
        <w:t xml:space="preserve">“La reciente doctrina del Tribunal Constitucional sobre el incidente de nulidad de actuaciones”, </w:t>
      </w:r>
      <w:r w:rsidRPr="008872F4">
        <w:rPr>
          <w:i/>
          <w:iCs/>
        </w:rPr>
        <w:t>Actualidad Jurídica Aranzadi</w:t>
      </w:r>
      <w:r>
        <w:rPr>
          <w:i/>
          <w:iCs/>
        </w:rPr>
        <w:t>,</w:t>
      </w:r>
      <w:r w:rsidRPr="008872F4">
        <w:t xml:space="preserve"> n</w:t>
      </w:r>
      <w:r>
        <w:t>ú</w:t>
      </w:r>
      <w:r w:rsidRPr="008872F4">
        <w:t>m.880, 2014.</w:t>
      </w:r>
      <w:r>
        <w:t xml:space="preserve"> </w:t>
      </w:r>
      <w:r w:rsidRPr="008872F4">
        <w:t xml:space="preserve">CASTRO MARTÍN, J. L., MORENILLA ALLARD, P., </w:t>
      </w:r>
      <w:r>
        <w:t>“</w:t>
      </w:r>
      <w:r w:rsidRPr="008872F4">
        <w:t>Sobre</w:t>
      </w:r>
      <w:r>
        <w:t xml:space="preserve"> la inconstitucionalidad del artículo 241.1. LOPJ, en cuanto que atribuye la competencia para el conocimiento y resolución del incidente excepcional de nulidad de actuaciones al mismo Tribunal que dictó la resolución judicial firme cuya rescisión se postula”, </w:t>
      </w:r>
      <w:r w:rsidRPr="008872F4">
        <w:rPr>
          <w:i/>
          <w:iCs/>
        </w:rPr>
        <w:t>Diario La Ley</w:t>
      </w:r>
      <w:r>
        <w:t>, núm. 7784, Sección Doctrina, 2012. DOIG DÍAZ, Y., “El renovado incidente de nulidad de actuaciones. A propósito de la modificación de la LOTC. Práctica de Tribunales</w:t>
      </w:r>
      <w:r w:rsidRPr="008872F4">
        <w:rPr>
          <w:i/>
          <w:iCs/>
        </w:rPr>
        <w:t>”, Revista de Derecho Procesal Civil y Mercantil</w:t>
      </w:r>
      <w:r>
        <w:t xml:space="preserve">, núm.46,2008. FERNÁNDEZ CABALLERO, G., “El incidente excepcional de nulidad de actuaciones. Teoría e incidencia práctica en el proceso civil tras su modificación por la ley orgánica 6/2007”, </w:t>
      </w:r>
      <w:r w:rsidRPr="008872F4">
        <w:rPr>
          <w:i/>
          <w:iCs/>
        </w:rPr>
        <w:t>Revista Internacional de Estudios de Derecho Procesal y Arbitraje,</w:t>
      </w:r>
      <w:r>
        <w:t xml:space="preserve"> núm. 2, 2012. GONZALEZ ALONSO A</w:t>
      </w:r>
      <w:r w:rsidRPr="002B2B15">
        <w:rPr>
          <w:i/>
        </w:rPr>
        <w:t>., La tutela jurisdiccional de los derechos del artículo 24.1 de la Constitución Española,</w:t>
      </w:r>
      <w:r w:rsidRPr="002B2B15">
        <w:t xml:space="preserve"> 2012, Tesis en acceso abierto en: digitool-uam.greendata.es</w:t>
      </w:r>
      <w:r>
        <w:t xml:space="preserve">. </w:t>
      </w:r>
      <w:r w:rsidRPr="002B2B15">
        <w:t xml:space="preserve">LEDESMA, P., “La nulidad de actuaciones. En R. Bustos Gisbert, M. Fernández de Frutos y E. </w:t>
      </w:r>
      <w:proofErr w:type="spellStart"/>
      <w:r w:rsidRPr="002B2B15">
        <w:t>Fossas</w:t>
      </w:r>
      <w:proofErr w:type="spellEnd"/>
      <w:r w:rsidRPr="002B2B15">
        <w:t xml:space="preserve"> </w:t>
      </w:r>
      <w:proofErr w:type="spellStart"/>
      <w:r w:rsidRPr="002B2B15">
        <w:t>Espalader</w:t>
      </w:r>
      <w:proofErr w:type="spellEnd"/>
      <w:r w:rsidRPr="002B2B15">
        <w:t xml:space="preserve"> (</w:t>
      </w:r>
      <w:proofErr w:type="spellStart"/>
      <w:r w:rsidRPr="002B2B15">
        <w:t>dirs</w:t>
      </w:r>
      <w:proofErr w:type="spellEnd"/>
      <w:r w:rsidRPr="002B2B15">
        <w:rPr>
          <w:i/>
        </w:rPr>
        <w:t>.). La protección jurisdiccional de los derechos</w:t>
      </w:r>
      <w:r w:rsidRPr="002B2B15">
        <w:t>”,</w:t>
      </w:r>
      <w:r>
        <w:t xml:space="preserve"> Actas</w:t>
      </w:r>
      <w:r w:rsidRPr="008872F4">
        <w:rPr>
          <w:i/>
          <w:iCs/>
        </w:rPr>
        <w:t xml:space="preserve"> del XI Congreso de la Asociación de Constitucionalistas de España, </w:t>
      </w:r>
      <w:r>
        <w:t xml:space="preserve">Valencia, 2015. MEGINO FERNÁNDEZ, D., </w:t>
      </w:r>
      <w:r w:rsidRPr="008872F4">
        <w:rPr>
          <w:i/>
          <w:iCs/>
        </w:rPr>
        <w:t>El incidente de nulidad de actuaciones,</w:t>
      </w:r>
      <w:r>
        <w:t xml:space="preserve"> Lisboa, 2010.  Morenilla Allard, P., “De nuevo sobre la inconstitucionalidad del incidente de nulidad de actuaciones”, </w:t>
      </w:r>
      <w:r w:rsidRPr="002B2B15">
        <w:rPr>
          <w:i/>
        </w:rPr>
        <w:t>Diario</w:t>
      </w:r>
      <w:r w:rsidRPr="002B2B15">
        <w:rPr>
          <w:i/>
          <w:iCs/>
        </w:rPr>
        <w:t xml:space="preserve"> </w:t>
      </w:r>
      <w:r w:rsidRPr="008872F4">
        <w:rPr>
          <w:i/>
          <w:iCs/>
        </w:rPr>
        <w:t>La Ley</w:t>
      </w:r>
      <w:r>
        <w:t xml:space="preserve">. Sección Doctrina, 8089, núm. 2, 2013. VALDÉS DAL-RÉ, F., “El incidente de nulidad de actuaciones: su controvertida reforma por la Ley 6/2007”, </w:t>
      </w:r>
      <w:r w:rsidRPr="008872F4">
        <w:rPr>
          <w:i/>
          <w:iCs/>
        </w:rPr>
        <w:t>Derecho de las Relaciones Laborales</w:t>
      </w:r>
      <w:r>
        <w:t>, núm. 2, 2015.</w:t>
      </w:r>
    </w:p>
  </w:footnote>
  <w:footnote w:id="215">
    <w:p w14:paraId="5E3760D5" w14:textId="77777777" w:rsidR="007B7556" w:rsidRDefault="007B7556" w:rsidP="002B2B15">
      <w:pPr>
        <w:pStyle w:val="nota"/>
      </w:pPr>
      <w:r>
        <w:rPr>
          <w:rStyle w:val="Refdenotaalpie"/>
        </w:rPr>
        <w:footnoteRef/>
      </w:r>
      <w:r>
        <w:t xml:space="preserve"> BACHMAIER WINTER, L., “La reforma de la LOTC y la ampliación del incidente de nulidad de actuaciones”, </w:t>
      </w:r>
      <w:r w:rsidRPr="00EB79FC">
        <w:rPr>
          <w:i/>
          <w:iCs/>
        </w:rPr>
        <w:t>Revista General de Derecho Procesal</w:t>
      </w:r>
      <w:r>
        <w:t xml:space="preserve">, núm., </w:t>
      </w:r>
      <w:r w:rsidRPr="00EB79FC">
        <w:t>13, octubre 2007</w:t>
      </w:r>
      <w:r>
        <w:t xml:space="preserve">, </w:t>
      </w:r>
      <w:r w:rsidRPr="00CC28C1">
        <w:t>págs.16-18.</w:t>
      </w:r>
    </w:p>
  </w:footnote>
  <w:footnote w:id="216">
    <w:p w14:paraId="0D8AB050" w14:textId="77777777" w:rsidR="007B7556" w:rsidRPr="00FA5161" w:rsidRDefault="007B7556" w:rsidP="006F44C0">
      <w:pPr>
        <w:pStyle w:val="nota"/>
      </w:pPr>
      <w:r>
        <w:rPr>
          <w:rStyle w:val="Refdenotaalpie"/>
        </w:rPr>
        <w:footnoteRef/>
      </w:r>
      <w:r w:rsidRPr="00FA5161">
        <w:t xml:space="preserve"> Circular 2/2013, de 11 de enero, sobre intervención del Fiscal en el incidente de nulidad de actuaciones.  Fiscalía General del Estado.</w:t>
      </w:r>
    </w:p>
  </w:footnote>
  <w:footnote w:id="217">
    <w:p w14:paraId="1C9A93E1" w14:textId="77777777" w:rsidR="007B7556" w:rsidRPr="00FA5161" w:rsidRDefault="007B7556" w:rsidP="006F44C0">
      <w:pPr>
        <w:pStyle w:val="nota"/>
      </w:pPr>
      <w:r>
        <w:rPr>
          <w:rStyle w:val="Refdenotaalpie"/>
        </w:rPr>
        <w:footnoteRef/>
      </w:r>
      <w:r w:rsidRPr="00FA5161">
        <w:t xml:space="preserve"> </w:t>
      </w:r>
      <w:bookmarkStart w:id="529" w:name="_Hlk29339449"/>
      <w:r w:rsidRPr="00FA5161">
        <w:t xml:space="preserve">ARAGÓN REYES, M., “El incidente de nulidad de actuaciones como remedio previo al recurso de amparo. La función del Ministerio Fiscal”, </w:t>
      </w:r>
      <w:r w:rsidRPr="00FA5161">
        <w:rPr>
          <w:i/>
        </w:rPr>
        <w:t>UNED. Teoría y Realidad Constituciona</w:t>
      </w:r>
      <w:r w:rsidRPr="00FA5161">
        <w:t>l, núm. 28, 2011, págs. 371-380</w:t>
      </w:r>
      <w:bookmarkEnd w:id="529"/>
      <w:r w:rsidRPr="00FA5161">
        <w:t>.</w:t>
      </w:r>
    </w:p>
  </w:footnote>
  <w:footnote w:id="218">
    <w:p w14:paraId="7127D5A8" w14:textId="77777777" w:rsidR="007B7556" w:rsidRPr="00FA5161" w:rsidRDefault="007B7556" w:rsidP="006F44C0">
      <w:pPr>
        <w:pStyle w:val="nota"/>
      </w:pPr>
      <w:r>
        <w:rPr>
          <w:rStyle w:val="Refdenotaalpie"/>
        </w:rPr>
        <w:footnoteRef/>
      </w:r>
      <w:r w:rsidRPr="00FA5161">
        <w:t xml:space="preserve"> Circular 2/2013, de 11 de enero, sobre intervención del Fiscal en el incidente de nulidad de actuaciones.  Fiscalía General del Estado</w:t>
      </w:r>
      <w:r>
        <w:t>, pág. 17.</w:t>
      </w:r>
    </w:p>
  </w:footnote>
  <w:footnote w:id="219">
    <w:p w14:paraId="203C93B5" w14:textId="2832C435" w:rsidR="007B7556" w:rsidRDefault="007B7556" w:rsidP="00DF0D77">
      <w:pPr>
        <w:pStyle w:val="nota"/>
      </w:pPr>
      <w:r>
        <w:rPr>
          <w:rStyle w:val="Refdenotaalpie"/>
        </w:rPr>
        <w:footnoteRef/>
      </w:r>
      <w:r w:rsidRPr="00FA5161">
        <w:t xml:space="preserve"> </w:t>
      </w:r>
      <w:proofErr w:type="spellStart"/>
      <w:r w:rsidR="004B058B">
        <w:t>Ibídem</w:t>
      </w:r>
      <w:proofErr w:type="spellEnd"/>
      <w:r>
        <w:t>.</w:t>
      </w:r>
    </w:p>
  </w:footnote>
  <w:footnote w:id="220">
    <w:p w14:paraId="4EFB3C07" w14:textId="77777777" w:rsidR="007B7556" w:rsidRDefault="007B7556" w:rsidP="006F44C0">
      <w:pPr>
        <w:pStyle w:val="nota"/>
      </w:pPr>
      <w:r>
        <w:rPr>
          <w:rStyle w:val="Refdenotaalpie"/>
        </w:rPr>
        <w:footnoteRef/>
      </w:r>
      <w:r>
        <w:t xml:space="preserve"> FERNÁNDEZ CABALLERO, G., “El incidente excepcional de nulidad de actuaciones. Teoría e incidencia práctica en el proceso civil tras su modificación por la ley orgánica 6/2007”, </w:t>
      </w:r>
      <w:r w:rsidRPr="00D57F95">
        <w:rPr>
          <w:i/>
          <w:iCs/>
        </w:rPr>
        <w:t>Revista Internacional de Estudios de Derecho Procesal y Arbitraje</w:t>
      </w:r>
      <w:r>
        <w:t>, núm. 2, 2012, págs. 15-17.</w:t>
      </w:r>
    </w:p>
    <w:p w14:paraId="173AB801" w14:textId="77777777" w:rsidR="007B7556" w:rsidRDefault="007B7556" w:rsidP="006F44C0">
      <w:pPr>
        <w:pStyle w:val="nota"/>
      </w:pPr>
    </w:p>
  </w:footnote>
  <w:footnote w:id="221">
    <w:p w14:paraId="42B1C193" w14:textId="77777777" w:rsidR="007B7556" w:rsidRDefault="007B7556" w:rsidP="00B86E49">
      <w:pPr>
        <w:pStyle w:val="nota"/>
      </w:pPr>
      <w:r>
        <w:rPr>
          <w:rStyle w:val="Refdenotaalpie"/>
        </w:rPr>
        <w:footnoteRef/>
      </w:r>
      <w:r>
        <w:t xml:space="preserve"> Puede consultarse: </w:t>
      </w:r>
      <w:r w:rsidRPr="003339B6">
        <w:t>SOSPEDRA NAVAS, F. J., “Recurso de amparo: incidente de nulidad de actuaciones”, Práctica de los Procesos Jurisdiccionales. Proceso Penal. Tomo II, octubre de 2011.</w:t>
      </w:r>
    </w:p>
  </w:footnote>
  <w:footnote w:id="222">
    <w:p w14:paraId="385BFB9F" w14:textId="77777777" w:rsidR="007B7556" w:rsidRDefault="007B7556" w:rsidP="00B86E49">
      <w:pPr>
        <w:pStyle w:val="nota"/>
      </w:pPr>
      <w:r>
        <w:rPr>
          <w:rStyle w:val="Refdenotaalpie"/>
        </w:rPr>
        <w:footnoteRef/>
      </w:r>
      <w:r>
        <w:t xml:space="preserve"> Puede consultarse, acerca del procedimiento: </w:t>
      </w:r>
    </w:p>
    <w:p w14:paraId="3BD0C6B9" w14:textId="77777777" w:rsidR="007B7556" w:rsidRDefault="007B7556" w:rsidP="00B86E49">
      <w:pPr>
        <w:pStyle w:val="nota"/>
      </w:pPr>
      <w:r w:rsidRPr="003339B6">
        <w:t xml:space="preserve">FONTESTAD PORTALÉS, L., “El incidente de nulidad de actuaciones: un sistema de amparo "ordinario" frente al amparo constitucional”. Texto íntegro disponible en: </w:t>
      </w:r>
      <w:hyperlink r:id="rId8" w:history="1">
        <w:r w:rsidRPr="003339B6">
          <w:rPr>
            <w:rStyle w:val="Hipervnculo"/>
            <w:rFonts w:eastAsiaTheme="majorEastAsia"/>
          </w:rPr>
          <w:t>https://riuma.uma.es/xmlui/handle/10630/10232</w:t>
        </w:r>
      </w:hyperlink>
    </w:p>
  </w:footnote>
  <w:footnote w:id="223">
    <w:p w14:paraId="53647761" w14:textId="77777777" w:rsidR="007B7556" w:rsidRDefault="007B7556" w:rsidP="00B86E49">
      <w:pPr>
        <w:pStyle w:val="nota"/>
      </w:pPr>
      <w:r>
        <w:rPr>
          <w:rStyle w:val="Refdenotaalpie"/>
        </w:rPr>
        <w:footnoteRef/>
      </w:r>
      <w:r>
        <w:t xml:space="preserve"> Entre otros autores que mantienen esta postura:</w:t>
      </w:r>
    </w:p>
    <w:p w14:paraId="5044ABB7" w14:textId="77777777" w:rsidR="007B7556" w:rsidRDefault="007B7556" w:rsidP="00B86E49">
      <w:pPr>
        <w:pStyle w:val="nota"/>
      </w:pPr>
      <w:r>
        <w:t>MORENILLA ALLARD, P., “El nuevo incidente de nulidad de actuaciones”, La Ley, 4 de agosto de 1998, núm. 4598, pág. 2.</w:t>
      </w:r>
    </w:p>
    <w:p w14:paraId="757C5F66" w14:textId="77777777" w:rsidR="007B7556" w:rsidRDefault="007B7556" w:rsidP="00B86E49">
      <w:pPr>
        <w:pStyle w:val="nota"/>
      </w:pPr>
      <w:r>
        <w:t>DÍEZ-PICAZO GIIMÉNEZ, I., “La reforma del artículo 240 de la Ley Orgánica del Poder Judicial: luces y sombras”, Tribunales de Justicia, núm. 2, febrero 1998, pág. 138.</w:t>
      </w:r>
    </w:p>
  </w:footnote>
  <w:footnote w:id="224">
    <w:p w14:paraId="3F64B6AE" w14:textId="77777777" w:rsidR="007B7556" w:rsidRDefault="007B7556" w:rsidP="006F44C0">
      <w:pPr>
        <w:pStyle w:val="nota"/>
      </w:pPr>
      <w:r>
        <w:rPr>
          <w:rStyle w:val="Refdenotaalpie"/>
        </w:rPr>
        <w:footnoteRef/>
      </w:r>
      <w:r>
        <w:t xml:space="preserve"> ÁLVAREZ SÁNCHEZ DE MOVELLÁN, P., </w:t>
      </w:r>
      <w:r w:rsidRPr="00EF3270">
        <w:rPr>
          <w:i/>
          <w:iCs/>
        </w:rPr>
        <w:t>El incidente de nulidad de actuaciones. Solución o problema frente a la resolución firme</w:t>
      </w:r>
      <w:r>
        <w:t>, Madrid, 2015, págs. 182-183.</w:t>
      </w:r>
    </w:p>
  </w:footnote>
  <w:footnote w:id="225">
    <w:p w14:paraId="15C0F6F9" w14:textId="77777777" w:rsidR="007B7556" w:rsidRDefault="007B7556" w:rsidP="006F44C0">
      <w:pPr>
        <w:pStyle w:val="nota"/>
      </w:pPr>
      <w:r>
        <w:rPr>
          <w:rStyle w:val="Refdenotaalpie"/>
        </w:rPr>
        <w:footnoteRef/>
      </w:r>
      <w:r w:rsidRPr="00FA5161">
        <w:t xml:space="preserve"> Para una mayor profundización sobre este punto puede consultarse: </w:t>
      </w:r>
      <w:bookmarkStart w:id="551" w:name="_Hlk5985604"/>
    </w:p>
    <w:p w14:paraId="0C987235" w14:textId="00BB3542" w:rsidR="007B7556" w:rsidRDefault="007B7556" w:rsidP="006F44C0">
      <w:pPr>
        <w:pStyle w:val="nota"/>
      </w:pPr>
      <w:r>
        <w:t xml:space="preserve">BELADÍEZ ROJO, M., “La función constitucional del incidente de nulidad de actuaciones del art. 241 LOPJ”, en L. Arroyo Jiménez, M. </w:t>
      </w:r>
      <w:proofErr w:type="spellStart"/>
      <w:r>
        <w:t>Beladiez</w:t>
      </w:r>
      <w:proofErr w:type="spellEnd"/>
      <w:r>
        <w:t xml:space="preserve"> Rojo, C. Ortega Carballo y J. M. Rodríguez de Santiago. </w:t>
      </w:r>
      <w:r w:rsidRPr="004453CA">
        <w:rPr>
          <w:i/>
          <w:iCs/>
        </w:rPr>
        <w:t>El juez del derecho administrativo. Libro homenaje a Javier Delgado Barrio</w:t>
      </w:r>
      <w:r>
        <w:t xml:space="preserve">, Madrid, 2015. CARRASCO DURÁN, M., “El incidente de nulidad de actuaciones: problemas y algunas soluciones”, </w:t>
      </w:r>
      <w:r w:rsidRPr="004453CA">
        <w:rPr>
          <w:i/>
          <w:iCs/>
        </w:rPr>
        <w:t>Revista Aranzadi Doctrinal</w:t>
      </w:r>
      <w:r>
        <w:t xml:space="preserve">, núm.3, 2013. </w:t>
      </w:r>
      <w:r w:rsidRPr="00FA5161">
        <w:t xml:space="preserve">CARRASCO DURÁN, M., “La tutela de los derechos fundamentales a través del incidente de nulidad de actuaciones”, </w:t>
      </w:r>
      <w:r w:rsidRPr="00FA5161">
        <w:rPr>
          <w:i/>
        </w:rPr>
        <w:t>Revista Española de Derecho Constitucional</w:t>
      </w:r>
      <w:r w:rsidRPr="00FA5161">
        <w:t>, núm. 95, mayo-agosto 2012, págs. 65-93.</w:t>
      </w:r>
      <w:r>
        <w:t xml:space="preserve"> CARRETERO SÁNCHEZ, S., “Acerca de la nulidad de actuaciones y su complicada clarificación constitucional”, </w:t>
      </w:r>
      <w:r w:rsidRPr="004453CA">
        <w:rPr>
          <w:i/>
          <w:iCs/>
        </w:rPr>
        <w:t>Diario La Ley</w:t>
      </w:r>
      <w:r>
        <w:t xml:space="preserve">, 8291, 2014. GARCÍA-VILLARUBIA BERNABÉ, M., “A vueltas con el incidente de nulidad de actuaciones y el recurso de amparo. Examen de la cuestión a la vista de los recientes avances legislativos y jurisprudencial”, </w:t>
      </w:r>
      <w:r w:rsidRPr="004453CA">
        <w:rPr>
          <w:i/>
          <w:iCs/>
        </w:rPr>
        <w:t>Diario La Ley,</w:t>
      </w:r>
      <w:r>
        <w:t xml:space="preserve"> núm. 6156, 2004. GORRIZ GOMEZ, B.</w:t>
      </w:r>
      <w:r w:rsidR="004B058B">
        <w:t>, “</w:t>
      </w:r>
      <w:r>
        <w:t xml:space="preserve">Modificación de la doctrina constitucional sobre la necesidad de interponer el incidente de nulidad de actuaciones con carácter previo al recurso de amparo (STC 216/2013, de 19 diciembre)”, </w:t>
      </w:r>
      <w:r w:rsidRPr="004453CA">
        <w:rPr>
          <w:i/>
          <w:iCs/>
        </w:rPr>
        <w:t>Diario La Ley</w:t>
      </w:r>
      <w:r>
        <w:t>, núm. 8275, Sección Tribuna, 2014. MONTESINOS PADILLA, C., La Tutela Multinivel de los Derechos Desde una Perspectiva Jurídico Procesal, Valencia, 2017.  NAVARRO MASSIP, Y., “El incidente de nulidad de actuaciones en el proceso penal y el recurso de amparo: entre la inutilidad y la intrascendencia</w:t>
      </w:r>
      <w:r w:rsidR="004B058B">
        <w:t>”, Aranzadi</w:t>
      </w:r>
      <w:r w:rsidRPr="004453CA">
        <w:rPr>
          <w:i/>
          <w:iCs/>
        </w:rPr>
        <w:t xml:space="preserve"> Doctrinal</w:t>
      </w:r>
      <w:r>
        <w:t xml:space="preserve">, núm.5, 2009. SOSPEDRA NAVAS, F. J., “Los requisitos procesales del recurso de amparo: el incidente excepcional de nulidad de actuaciones y la especial trascendencia constitucional”, </w:t>
      </w:r>
      <w:r w:rsidRPr="004453CA">
        <w:rPr>
          <w:i/>
          <w:iCs/>
        </w:rPr>
        <w:t>Cuadernos de Derecho Local</w:t>
      </w:r>
      <w:r>
        <w:t xml:space="preserve">, núm. 39, 2015. TRIANA REYES, B., “¿Qué hacer antes de acudir al amparo?: el Tribunal Supremo contesta”, </w:t>
      </w:r>
      <w:r w:rsidRPr="004453CA">
        <w:rPr>
          <w:i/>
          <w:iCs/>
        </w:rPr>
        <w:t>Diario La Ley</w:t>
      </w:r>
      <w:r>
        <w:t xml:space="preserve">, núm. 9129, Sección Tribuna, 2018. VILLALVILLA MUÑOZ, J. M., “El intrincado laberinto del incidente de nulidad y el recurso de amparo”, </w:t>
      </w:r>
      <w:r w:rsidRPr="004453CA">
        <w:rPr>
          <w:i/>
          <w:iCs/>
        </w:rPr>
        <w:t>Anuario contencioso para abogados 2011: los casos más relevantes sobre litigación y arbitraje en 2010 de los grandes despachos</w:t>
      </w:r>
      <w:r>
        <w:t>, Madrid, 2011.</w:t>
      </w:r>
    </w:p>
    <w:bookmarkEnd w:id="551"/>
    <w:p w14:paraId="4F620058" w14:textId="77777777" w:rsidR="007B7556" w:rsidRPr="00FA5161" w:rsidRDefault="007B7556" w:rsidP="006F44C0">
      <w:pPr>
        <w:pStyle w:val="nota"/>
      </w:pPr>
    </w:p>
  </w:footnote>
  <w:footnote w:id="226">
    <w:p w14:paraId="7DB4066F" w14:textId="77777777" w:rsidR="007B7556" w:rsidRDefault="007B7556" w:rsidP="00B86E49">
      <w:pPr>
        <w:pStyle w:val="nota"/>
      </w:pPr>
      <w:r>
        <w:rPr>
          <w:rStyle w:val="Refdenotaalpie"/>
        </w:rPr>
        <w:footnoteRef/>
      </w:r>
      <w:r>
        <w:t xml:space="preserve"> Puede consultarse: </w:t>
      </w:r>
      <w:bookmarkStart w:id="571" w:name="_Hlk5985633"/>
      <w:r>
        <w:t xml:space="preserve">FERNÁNDEZ SEGADO, F., “Los </w:t>
      </w:r>
      <w:proofErr w:type="spellStart"/>
      <w:r>
        <w:t>overruling</w:t>
      </w:r>
      <w:proofErr w:type="spellEnd"/>
      <w:r>
        <w:t xml:space="preserve"> de la jurisprudencia constitucional”, </w:t>
      </w:r>
      <w:r>
        <w:rPr>
          <w:i/>
        </w:rPr>
        <w:t>Foro, Nueva época</w:t>
      </w:r>
      <w:r>
        <w:t>, núm. 3, 2006, págs. 27-92.</w:t>
      </w:r>
      <w:bookmarkEnd w:id="571"/>
    </w:p>
  </w:footnote>
  <w:footnote w:id="227">
    <w:p w14:paraId="7E67C1B0" w14:textId="77777777" w:rsidR="007B7556" w:rsidRDefault="007B7556" w:rsidP="00B86E49">
      <w:pPr>
        <w:pStyle w:val="nota"/>
      </w:pPr>
      <w:r>
        <w:rPr>
          <w:rStyle w:val="Refdenotaalpie"/>
        </w:rPr>
        <w:footnoteRef/>
      </w:r>
      <w:r>
        <w:t xml:space="preserve"> </w:t>
      </w:r>
      <w:bookmarkStart w:id="572" w:name="_Hlk5985651"/>
      <w:r>
        <w:t>LOZANO CUTANDA B., CORDÓN MORENO, F., "</w:t>
      </w:r>
      <w:proofErr w:type="spellStart"/>
      <w:r>
        <w:t>Overruling</w:t>
      </w:r>
      <w:proofErr w:type="spellEnd"/>
      <w:r>
        <w:t xml:space="preserve"> de la jurisprudencia constitucional sobre el requisito de interponer el incidente de nulidad de actuaciones con carácter previo al recurso de amparo (STC 216/2013)", </w:t>
      </w:r>
      <w:r>
        <w:rPr>
          <w:i/>
        </w:rPr>
        <w:t>Diario La Ley,</w:t>
      </w:r>
      <w:r>
        <w:t xml:space="preserve"> 28 de enero de 2014.</w:t>
      </w:r>
      <w:bookmarkEnd w:id="572"/>
    </w:p>
  </w:footnote>
  <w:footnote w:id="228">
    <w:p w14:paraId="6D7E7665" w14:textId="175CED32" w:rsidR="007B7556" w:rsidRDefault="007B7556" w:rsidP="00B86E49">
      <w:pPr>
        <w:pStyle w:val="nota"/>
      </w:pPr>
      <w:r>
        <w:rPr>
          <w:rStyle w:val="Refdenotaalpie"/>
        </w:rPr>
        <w:footnoteRef/>
      </w:r>
      <w:r>
        <w:t xml:space="preserve"> </w:t>
      </w:r>
      <w:proofErr w:type="spellStart"/>
      <w:r w:rsidR="004B058B">
        <w:t>Ibídem</w:t>
      </w:r>
      <w:proofErr w:type="spellEnd"/>
      <w:r>
        <w:t>.</w:t>
      </w:r>
    </w:p>
  </w:footnote>
  <w:footnote w:id="229">
    <w:p w14:paraId="2790EB77" w14:textId="4A88E6CC" w:rsidR="007B7556" w:rsidRDefault="007B7556" w:rsidP="006F44C0">
      <w:pPr>
        <w:pStyle w:val="Textonotapie"/>
      </w:pPr>
      <w:r>
        <w:rPr>
          <w:rStyle w:val="Refdenotaalpie"/>
        </w:rPr>
        <w:footnoteRef/>
      </w:r>
      <w:r w:rsidRPr="00A731AC">
        <w:rPr>
          <w:rStyle w:val="notaCar"/>
          <w:rFonts w:eastAsiaTheme="minorHAnsi"/>
        </w:rPr>
        <w:t xml:space="preserve"> </w:t>
      </w:r>
      <w:proofErr w:type="spellStart"/>
      <w:r w:rsidR="004B058B" w:rsidRPr="00A731AC">
        <w:rPr>
          <w:rStyle w:val="notaCar"/>
          <w:rFonts w:eastAsiaTheme="minorHAnsi"/>
        </w:rPr>
        <w:t>Ibídem</w:t>
      </w:r>
      <w:proofErr w:type="spellEnd"/>
      <w:r w:rsidRPr="00A731AC">
        <w:rPr>
          <w:rStyle w:val="notaCar"/>
          <w:rFonts w:eastAsiaTheme="minorHAnsi"/>
        </w:rPr>
        <w:t>.</w:t>
      </w:r>
    </w:p>
  </w:footnote>
  <w:footnote w:id="230">
    <w:p w14:paraId="7DA607EC" w14:textId="77777777" w:rsidR="007B7556" w:rsidRPr="00FA5161" w:rsidRDefault="007B7556" w:rsidP="006F44C0">
      <w:pPr>
        <w:pStyle w:val="nota"/>
      </w:pPr>
      <w:r>
        <w:rPr>
          <w:rStyle w:val="Refdenotaalpie"/>
        </w:rPr>
        <w:footnoteRef/>
      </w:r>
      <w:r w:rsidRPr="00FA5161">
        <w:t xml:space="preserve"> </w:t>
      </w:r>
      <w:bookmarkStart w:id="594" w:name="_Hlk5985669"/>
      <w:r w:rsidRPr="00FA5161">
        <w:t xml:space="preserve">GÓMEZ FERNÁNDEZ, I. Y MONTESINOS PADILLA, C., Una década de incidente de nulidad de actuaciones: ¿aclaración, reforma o supresión?, </w:t>
      </w:r>
      <w:r w:rsidRPr="00FA5161">
        <w:rPr>
          <w:i/>
        </w:rPr>
        <w:t>Revista de Derecho Constitucional</w:t>
      </w:r>
      <w:r w:rsidRPr="00FA5161">
        <w:t>, núm. 113, 2018, págs. 85-86.</w:t>
      </w:r>
      <w:bookmarkEnd w:id="594"/>
    </w:p>
  </w:footnote>
  <w:footnote w:id="231">
    <w:p w14:paraId="658AE4D0" w14:textId="3BC9CB77" w:rsidR="007B7556" w:rsidRDefault="007B7556" w:rsidP="00B86E49">
      <w:pPr>
        <w:pStyle w:val="nota"/>
      </w:pPr>
      <w:r>
        <w:rPr>
          <w:rStyle w:val="Refdenotaalpie"/>
        </w:rPr>
        <w:footnoteRef/>
      </w:r>
      <w:r>
        <w:t xml:space="preserve"> </w:t>
      </w:r>
      <w:proofErr w:type="spellStart"/>
      <w:r w:rsidR="004B058B">
        <w:t>Ibídem</w:t>
      </w:r>
      <w:proofErr w:type="spellEnd"/>
      <w:r>
        <w:t>.</w:t>
      </w:r>
    </w:p>
  </w:footnote>
  <w:footnote w:id="232">
    <w:p w14:paraId="62CAD025" w14:textId="77777777" w:rsidR="007B7556" w:rsidRPr="008A4A4D" w:rsidRDefault="007B7556" w:rsidP="00105658">
      <w:pPr>
        <w:pStyle w:val="nota"/>
      </w:pPr>
      <w:r>
        <w:rPr>
          <w:rStyle w:val="Refdenotaalpie"/>
        </w:rPr>
        <w:footnoteRef/>
      </w:r>
      <w:r w:rsidRPr="008A4A4D">
        <w:t xml:space="preserve"> </w:t>
      </w:r>
      <w:r>
        <w:t xml:space="preserve">BELADÍEZ ROJO, M., “El recurso de amparo y la especial trascendencia constitucional”, </w:t>
      </w:r>
      <w:r>
        <w:rPr>
          <w:i/>
        </w:rPr>
        <w:t xml:space="preserve">Revista General de Derecho Constitucional, </w:t>
      </w:r>
      <w:r>
        <w:t>núm. 25, octubre 2017, pág. 6.</w:t>
      </w:r>
    </w:p>
  </w:footnote>
  <w:footnote w:id="233">
    <w:p w14:paraId="199FFC7A" w14:textId="2A06E513" w:rsidR="007B7556" w:rsidRPr="008A4A4D" w:rsidRDefault="007B7556" w:rsidP="00105658">
      <w:pPr>
        <w:pStyle w:val="nota"/>
      </w:pPr>
      <w:r>
        <w:rPr>
          <w:rStyle w:val="Refdenotaalpie"/>
        </w:rPr>
        <w:footnoteRef/>
      </w:r>
      <w:r w:rsidRPr="008A4A4D">
        <w:t xml:space="preserve"> </w:t>
      </w:r>
      <w:proofErr w:type="spellStart"/>
      <w:r>
        <w:t>Ibídem</w:t>
      </w:r>
      <w:proofErr w:type="spellEnd"/>
      <w:r>
        <w:t>, pág. 7.</w:t>
      </w:r>
    </w:p>
  </w:footnote>
  <w:footnote w:id="234">
    <w:p w14:paraId="29A5906A" w14:textId="77777777" w:rsidR="007B7556" w:rsidRPr="008A4A4D" w:rsidRDefault="007B7556" w:rsidP="00105658">
      <w:pPr>
        <w:pStyle w:val="nota"/>
      </w:pPr>
      <w:r>
        <w:rPr>
          <w:rStyle w:val="Refdenotaalpie"/>
        </w:rPr>
        <w:footnoteRef/>
      </w:r>
      <w:r w:rsidRPr="008A4A4D">
        <w:t xml:space="preserve"> </w:t>
      </w:r>
      <w:r>
        <w:t xml:space="preserve">Esta afirmación también fue puesta de manifiesto por BELADÍEZ ROJO, M., “El recurso de amparo y la especial trascendencia constitucional”, </w:t>
      </w:r>
      <w:r>
        <w:rPr>
          <w:i/>
        </w:rPr>
        <w:t xml:space="preserve">Revista General de Derecho Constitucional, </w:t>
      </w:r>
      <w:r>
        <w:t>núm. 25, octubre 2017, pág. 8.</w:t>
      </w:r>
    </w:p>
  </w:footnote>
  <w:footnote w:id="235">
    <w:p w14:paraId="4FA1FFE8" w14:textId="029E52A3" w:rsidR="007B7556" w:rsidRPr="008A4A4D" w:rsidRDefault="007B7556" w:rsidP="00105658">
      <w:pPr>
        <w:pStyle w:val="nota"/>
      </w:pPr>
      <w:r>
        <w:rPr>
          <w:rStyle w:val="Refdenotaalpie"/>
        </w:rPr>
        <w:footnoteRef/>
      </w:r>
      <w:r w:rsidRPr="008A4A4D">
        <w:t xml:space="preserve"> </w:t>
      </w:r>
      <w:r>
        <w:t xml:space="preserve">BELADÍEZ ROJO, M., “El recurso de amparo y la especial trascendencia constitucional”, </w:t>
      </w:r>
      <w:r>
        <w:rPr>
          <w:i/>
        </w:rPr>
        <w:t xml:space="preserve">Revista General de Derecho Constitucional, </w:t>
      </w:r>
      <w:r>
        <w:t xml:space="preserve">núm. 25, octubre 2017, nota 11. </w:t>
      </w:r>
      <w:r w:rsidRPr="00247883">
        <w:t xml:space="preserve"> </w:t>
      </w:r>
      <w:r>
        <w:t xml:space="preserve">La autora manifiesta que </w:t>
      </w:r>
      <w:r w:rsidRPr="007F5AD7">
        <w:rPr>
          <w:i/>
        </w:rPr>
        <w:t>“La Constitución garantiza el derecho a un recurso para tutelar los derechos fundamentales (art. 53.2 en relación con el art. 24 CE) pero este derecho se satisface con un recurso ante los órganos judiciales. La Constitución no exige, además, un recurso de amparo constitucional que, subsidiariamente, garantice esta tutela”.</w:t>
      </w:r>
      <w:r>
        <w:rPr>
          <w:i/>
        </w:rPr>
        <w:t xml:space="preserve"> </w:t>
      </w:r>
      <w:r w:rsidRPr="00247883">
        <w:t>En este sentido</w:t>
      </w:r>
      <w:r>
        <w:t xml:space="preserve"> </w:t>
      </w:r>
      <w:r w:rsidRPr="00247883">
        <w:t>se ha</w:t>
      </w:r>
      <w:r>
        <w:t>n</w:t>
      </w:r>
      <w:r w:rsidRPr="00247883">
        <w:t xml:space="preserve"> pronunciado </w:t>
      </w:r>
      <w:r>
        <w:t>también otros muchos autores, podemos destacar: DÍEZ-PICAZO GIMÉNEZ, I</w:t>
      </w:r>
      <w:r w:rsidRPr="002B3F6C">
        <w:t>.</w:t>
      </w:r>
      <w:r>
        <w:t>,</w:t>
      </w:r>
      <w:r w:rsidRPr="002B3F6C">
        <w:t xml:space="preserve"> "El artículo 53.2 de la Constitución: interpretación y alternativas de desarrollo.”, Andrés de la Oliva e Ignacio Díez-Picazo, </w:t>
      </w:r>
      <w:r w:rsidRPr="002B3F6C">
        <w:rPr>
          <w:i/>
        </w:rPr>
        <w:t>Tribunal Constitucional, jurisdicción ordinaria y derechos fundamentales</w:t>
      </w:r>
      <w:r w:rsidRPr="002B3F6C">
        <w:t xml:space="preserve">, </w:t>
      </w:r>
      <w:r>
        <w:t xml:space="preserve">Madrid, 1996. </w:t>
      </w:r>
      <w:r w:rsidRPr="008A358E">
        <w:t xml:space="preserve">BACHMAIER WINTER, L., “La reforma del recurso de amparo en la Ley Orgánica 6/2007, de 24 de mayo”, </w:t>
      </w:r>
      <w:r w:rsidRPr="008A358E">
        <w:rPr>
          <w:i/>
        </w:rPr>
        <w:t>La Ley: Revista jurídica española de doctrina, jurisprudencia y bibliografía,</w:t>
      </w:r>
      <w:r w:rsidRPr="008A358E">
        <w:t xml:space="preserve"> núm. 4, 2007, págs. 1616-1621</w:t>
      </w:r>
      <w:r>
        <w:t xml:space="preserve">. REQUEJO PAJES, J.L. </w:t>
      </w:r>
      <w:r w:rsidRPr="00247883">
        <w:t xml:space="preserve">“Debate sobre las crónicas”, </w:t>
      </w:r>
      <w:r w:rsidRPr="002B3F6C">
        <w:rPr>
          <w:i/>
        </w:rPr>
        <w:t>La defensa de los derechos fundamentales: Tribunal Constitucional y Poder Judicial</w:t>
      </w:r>
      <w:r>
        <w:t xml:space="preserve">, </w:t>
      </w:r>
      <w:r w:rsidRPr="00247883">
        <w:t>Actas</w:t>
      </w:r>
      <w:r w:rsidRPr="002B3F6C">
        <w:rPr>
          <w:i/>
        </w:rPr>
        <w:t xml:space="preserve"> de la Asociación de Letrados del Tribunal Constitucional. Tribunal Constitucional</w:t>
      </w:r>
      <w:r>
        <w:t xml:space="preserve">, </w:t>
      </w:r>
      <w:r w:rsidRPr="00247883">
        <w:t xml:space="preserve">Centro de Estudios Políticos y </w:t>
      </w:r>
      <w:r>
        <w:t>Constitucionales, 2010.</w:t>
      </w:r>
    </w:p>
  </w:footnote>
  <w:footnote w:id="236">
    <w:p w14:paraId="14E3597A" w14:textId="33BCD2AA" w:rsidR="007B7556" w:rsidRPr="008A4A4D" w:rsidRDefault="007B7556" w:rsidP="00105658">
      <w:pPr>
        <w:pStyle w:val="nota"/>
      </w:pPr>
      <w:r>
        <w:rPr>
          <w:rStyle w:val="Refdenotaalpie"/>
        </w:rPr>
        <w:footnoteRef/>
      </w:r>
      <w:r w:rsidRPr="008A4A4D">
        <w:t xml:space="preserve"> </w:t>
      </w:r>
      <w:r>
        <w:t xml:space="preserve">HERNADEZ RAMOS, M., </w:t>
      </w:r>
      <w:r w:rsidRPr="00F9530E">
        <w:rPr>
          <w:i/>
        </w:rPr>
        <w:t>El nuevo trámite de admisión del recurso de amparo constitucional</w:t>
      </w:r>
      <w:r>
        <w:t xml:space="preserve">, </w:t>
      </w:r>
      <w:r w:rsidRPr="00F9530E">
        <w:t>Madrid 2009, pág. 191</w:t>
      </w:r>
      <w:r>
        <w:t xml:space="preserve"> y ss.</w:t>
      </w:r>
    </w:p>
  </w:footnote>
  <w:footnote w:id="237">
    <w:p w14:paraId="70EC49E6" w14:textId="77777777" w:rsidR="007B7556" w:rsidRPr="008A4A4D" w:rsidRDefault="007B7556" w:rsidP="00105658">
      <w:pPr>
        <w:pStyle w:val="nota"/>
      </w:pPr>
      <w:r>
        <w:rPr>
          <w:rStyle w:val="Refdenotaalpie"/>
        </w:rPr>
        <w:footnoteRef/>
      </w:r>
      <w:r w:rsidRPr="008A4A4D">
        <w:t xml:space="preserve"> </w:t>
      </w:r>
      <w:r>
        <w:t xml:space="preserve">CABAÑAS GARCIA, J.C., </w:t>
      </w:r>
      <w:r w:rsidRPr="006A65C9">
        <w:t>“El recurso de amparo que queremos. Reflexiones a propósito de la Ley Orgánica 6/2007, de 24 de mayo, de reforma parcial de la Ley Orgán</w:t>
      </w:r>
      <w:r>
        <w:t>ica del Tribunal Constitucional</w:t>
      </w:r>
      <w:r w:rsidRPr="006A65C9">
        <w:t>”</w:t>
      </w:r>
      <w:r>
        <w:t>,</w:t>
      </w:r>
      <w:r w:rsidRPr="006A65C9">
        <w:t xml:space="preserve"> </w:t>
      </w:r>
      <w:r w:rsidRPr="006A65C9">
        <w:rPr>
          <w:i/>
        </w:rPr>
        <w:t>Revista Española de Derecho Constitucional,</w:t>
      </w:r>
      <w:r w:rsidRPr="006A65C9">
        <w:t xml:space="preserve"> núm. 88, enero-abril</w:t>
      </w:r>
      <w:r>
        <w:t xml:space="preserve"> 2010, pág. 47 y ss.</w:t>
      </w:r>
    </w:p>
  </w:footnote>
  <w:footnote w:id="238">
    <w:p w14:paraId="33DBFFAE" w14:textId="77777777" w:rsidR="007B7556" w:rsidRPr="00BD4339" w:rsidRDefault="007B7556" w:rsidP="00105658">
      <w:pPr>
        <w:pStyle w:val="nota"/>
        <w:rPr>
          <w:i/>
          <w:iCs/>
        </w:rPr>
      </w:pPr>
      <w:r>
        <w:rPr>
          <w:rStyle w:val="Refdenotaalpie"/>
        </w:rPr>
        <w:footnoteRef/>
      </w:r>
      <w:r w:rsidRPr="003219DB">
        <w:t xml:space="preserve"> De acuerdo con la Exposición de Motivos de la LO 6/2007, </w:t>
      </w:r>
      <w:r w:rsidRPr="003219DB">
        <w:rPr>
          <w:i/>
          <w:iCs/>
        </w:rPr>
        <w:t>«frente al sistema anterior de causas de inadmisión tasadas, la reforma introduce un sistema en el que el recurrente debe alegar y acreditar que el contenido del recurso justifica una decisión sobre el fondo por parte del Tribunal en razón de su especial trascendencia constitucional, dada su importancia para la interpretación, aplicación o general eficacia de la Constitución. Por tanto, se invierte el juicio de admisibilidad, ya que se pasa de comprobar la inexistencia de causas de inadmisión a la verificación de la existencia de una relevancia constitucional en el recurso de amparo formulado».</w:t>
      </w:r>
    </w:p>
  </w:footnote>
  <w:footnote w:id="239">
    <w:p w14:paraId="19EC8B42" w14:textId="77777777" w:rsidR="007B7556" w:rsidRPr="008C5B91" w:rsidRDefault="007B7556" w:rsidP="00105658">
      <w:pPr>
        <w:pStyle w:val="nota"/>
      </w:pPr>
      <w:r>
        <w:rPr>
          <w:rStyle w:val="Refdenotaalpie"/>
        </w:rPr>
        <w:footnoteRef/>
      </w:r>
      <w:r w:rsidRPr="008C5B91">
        <w:t xml:space="preserve"> DE LA OLIVA SANTOS, A., «La perversión jurídica del amparo constitucional en España», </w:t>
      </w:r>
      <w:r w:rsidRPr="008C5B91">
        <w:rPr>
          <w:i/>
        </w:rPr>
        <w:t>Actualidad Jurídica Aranzadi</w:t>
      </w:r>
      <w:r w:rsidRPr="008C5B91">
        <w:t xml:space="preserve">, 2008, </w:t>
      </w:r>
      <w:proofErr w:type="spellStart"/>
      <w:r w:rsidRPr="008C5B91">
        <w:t>nº</w:t>
      </w:r>
      <w:proofErr w:type="spellEnd"/>
      <w:r w:rsidRPr="008C5B91">
        <w:t xml:space="preserve"> 751, págs. 15-16.</w:t>
      </w:r>
    </w:p>
  </w:footnote>
  <w:footnote w:id="240">
    <w:p w14:paraId="22A71CAC" w14:textId="77777777" w:rsidR="007B7556" w:rsidRPr="008C5B91" w:rsidRDefault="007B7556" w:rsidP="006F44C0">
      <w:pPr>
        <w:pStyle w:val="nota"/>
      </w:pPr>
      <w:r>
        <w:rPr>
          <w:rStyle w:val="Refdenotaalpie"/>
        </w:rPr>
        <w:footnoteRef/>
      </w:r>
      <w:r w:rsidRPr="008C5B91">
        <w:t xml:space="preserve"> Por tanto, tras la reforma, el recurso deja de tener la finalidad de amparar a sujetos jurídicos perjudicados por la violación de libertades y derechos fundamentales y se sustituye esa finalidad por la de declarar el sentido que el TC quiere atribuir a ciertos preceptos de la Norma Fundamental. Sobre este punto, vid., DE LA OLIVA SANTOS, A., «La perversión jurídica del amparo constitucional en España», </w:t>
      </w:r>
      <w:r w:rsidRPr="008C5B91">
        <w:rPr>
          <w:i/>
        </w:rPr>
        <w:t>Actualidad Jurídica Aranzadi</w:t>
      </w:r>
      <w:r w:rsidRPr="008C5B91">
        <w:t xml:space="preserve">, 2008, </w:t>
      </w:r>
      <w:proofErr w:type="spellStart"/>
      <w:r w:rsidRPr="008C5B91">
        <w:t>nº</w:t>
      </w:r>
      <w:proofErr w:type="spellEnd"/>
      <w:r w:rsidRPr="008C5B91">
        <w:t xml:space="preserve"> 751, págs. 15-16.</w:t>
      </w:r>
    </w:p>
  </w:footnote>
  <w:footnote w:id="241">
    <w:p w14:paraId="0003C715" w14:textId="77777777" w:rsidR="007B7556" w:rsidRPr="008C5B91" w:rsidRDefault="007B7556" w:rsidP="006F44C0">
      <w:pPr>
        <w:pStyle w:val="nota"/>
      </w:pPr>
      <w:r>
        <w:rPr>
          <w:rStyle w:val="Refdenotaalpie"/>
        </w:rPr>
        <w:footnoteRef/>
      </w:r>
      <w:r w:rsidRPr="008C5B91">
        <w:t xml:space="preserve"> CARRILLO, M., «La objetivación del recurso de amparo: Una necesidad ineludible», </w:t>
      </w:r>
      <w:r w:rsidRPr="008C5B91">
        <w:rPr>
          <w:i/>
        </w:rPr>
        <w:t>Revista Vasca de Administración Pública</w:t>
      </w:r>
      <w:r w:rsidRPr="008C5B91">
        <w:t xml:space="preserve">, 2008, </w:t>
      </w:r>
      <w:proofErr w:type="spellStart"/>
      <w:r w:rsidRPr="008C5B91">
        <w:t>nº</w:t>
      </w:r>
      <w:proofErr w:type="spellEnd"/>
      <w:r w:rsidRPr="008C5B91">
        <w:t xml:space="preserve"> 81, pág. 101.</w:t>
      </w:r>
    </w:p>
  </w:footnote>
  <w:footnote w:id="242">
    <w:p w14:paraId="2BF926E1" w14:textId="77777777" w:rsidR="007B7556" w:rsidRPr="008C5B91" w:rsidRDefault="007B7556" w:rsidP="006F44C0">
      <w:pPr>
        <w:pStyle w:val="nota"/>
      </w:pPr>
      <w:r>
        <w:rPr>
          <w:rStyle w:val="Refdenotaalpie"/>
        </w:rPr>
        <w:footnoteRef/>
      </w:r>
      <w:r w:rsidRPr="008C5B91">
        <w:t xml:space="preserve"> Para más información sobre el </w:t>
      </w:r>
      <w:proofErr w:type="spellStart"/>
      <w:r w:rsidRPr="008C5B91">
        <w:rPr>
          <w:i/>
        </w:rPr>
        <w:t>certiorari</w:t>
      </w:r>
      <w:proofErr w:type="spellEnd"/>
      <w:r w:rsidRPr="008C5B91">
        <w:t xml:space="preserve">: AHUMADA RUIZ, M.A., «El </w:t>
      </w:r>
      <w:proofErr w:type="spellStart"/>
      <w:r w:rsidRPr="008C5B91">
        <w:t>certiorari</w:t>
      </w:r>
      <w:proofErr w:type="spellEnd"/>
      <w:r w:rsidRPr="008C5B91">
        <w:t xml:space="preserve">. Ejercicio discrecional de la Jurisdicción de apelación por el Tribunal Supremo de los Estados Unidos», </w:t>
      </w:r>
      <w:r w:rsidRPr="008C5B91">
        <w:rPr>
          <w:i/>
        </w:rPr>
        <w:t>Revista Española de Derecho Constitucional</w:t>
      </w:r>
      <w:r w:rsidRPr="008C5B91">
        <w:t xml:space="preserve">, 1994, </w:t>
      </w:r>
      <w:proofErr w:type="spellStart"/>
      <w:r w:rsidRPr="008C5B91">
        <w:t>nº</w:t>
      </w:r>
      <w:proofErr w:type="spellEnd"/>
      <w:r w:rsidRPr="008C5B91">
        <w:t xml:space="preserve"> 41, págs. 89-138.</w:t>
      </w:r>
    </w:p>
  </w:footnote>
  <w:footnote w:id="243">
    <w:p w14:paraId="10554CB3" w14:textId="77777777" w:rsidR="007B7556" w:rsidRPr="008C5B91" w:rsidRDefault="007B7556" w:rsidP="006F44C0">
      <w:pPr>
        <w:pStyle w:val="nota"/>
      </w:pPr>
      <w:r>
        <w:rPr>
          <w:rStyle w:val="Refdenotaalpie"/>
        </w:rPr>
        <w:footnoteRef/>
      </w:r>
      <w:r w:rsidRPr="008C5B91">
        <w:t xml:space="preserve"> ROMBOLI, R., «La reforma del recurso de amparo ante el Tribunal Constitucional en España, y la introducción de un recurso individual y directo en Italia», </w:t>
      </w:r>
      <w:r w:rsidRPr="008C5B91">
        <w:rPr>
          <w:i/>
        </w:rPr>
        <w:t>Revista de Derecho Constitucional Europeo,</w:t>
      </w:r>
      <w:r w:rsidRPr="008C5B91">
        <w:t xml:space="preserve"> 2009, núm. 11, pág. 350.</w:t>
      </w:r>
    </w:p>
  </w:footnote>
  <w:footnote w:id="244">
    <w:p w14:paraId="336C30DA" w14:textId="77777777" w:rsidR="007B7556" w:rsidRPr="00E36F5C" w:rsidRDefault="007B7556" w:rsidP="00105658">
      <w:pPr>
        <w:pStyle w:val="nota"/>
      </w:pPr>
      <w:r>
        <w:rPr>
          <w:rStyle w:val="Refdenotaalpie"/>
        </w:rPr>
        <w:footnoteRef/>
      </w:r>
      <w:r w:rsidRPr="00E36F5C">
        <w:t xml:space="preserve"> Así lo reconoce la propia STC 155/20</w:t>
      </w:r>
      <w:r>
        <w:t>09, en su fundamento jurídico 2º</w:t>
      </w:r>
      <w:r w:rsidRPr="00E36F5C">
        <w:t>: «El carácter notablemente</w:t>
      </w:r>
    </w:p>
    <w:p w14:paraId="589AF7C5" w14:textId="77777777" w:rsidR="007B7556" w:rsidRPr="00E36F5C" w:rsidRDefault="007B7556" w:rsidP="00105658">
      <w:pPr>
        <w:pStyle w:val="nota"/>
      </w:pPr>
      <w:r w:rsidRPr="00E36F5C">
        <w:t>abierto e indeterminado, tanto de la noción de «especial trascendencia constitucional»</w:t>
      </w:r>
      <w:r>
        <w:t xml:space="preserve"> </w:t>
      </w:r>
      <w:r w:rsidRPr="00E36F5C">
        <w:t>[...].</w:t>
      </w:r>
    </w:p>
  </w:footnote>
  <w:footnote w:id="245">
    <w:p w14:paraId="4C201738" w14:textId="77777777" w:rsidR="007B7556" w:rsidRPr="00917958" w:rsidRDefault="007B7556" w:rsidP="006F44C0">
      <w:pPr>
        <w:pStyle w:val="nota"/>
      </w:pPr>
      <w:r>
        <w:rPr>
          <w:rStyle w:val="Refdenotaalpie"/>
        </w:rPr>
        <w:footnoteRef/>
      </w:r>
      <w:r w:rsidRPr="00917958">
        <w:t xml:space="preserve"> </w:t>
      </w:r>
      <w:r>
        <w:t>HERNÁNDEZ RAMOS, M., “</w:t>
      </w:r>
      <w:r w:rsidRPr="00917958">
        <w:t>Incertidumbre jurídica del recurrente en amparo en España. La mejorable interpretación del Tribunal Constitucional español del nuevo trámite de admisión”, en GRÁNDEZ CASTRO, P.P., (Coord</w:t>
      </w:r>
      <w:r>
        <w:t>.</w:t>
      </w:r>
      <w:r w:rsidRPr="00917958">
        <w:t xml:space="preserve">), </w:t>
      </w:r>
      <w:r w:rsidRPr="00917958">
        <w:rPr>
          <w:i/>
        </w:rPr>
        <w:t>El debate en torno a los límites al recurso de agravio constitucional</w:t>
      </w:r>
      <w:r>
        <w:t>, Pastrana, Lima, Perú, 2015, pág. 157.</w:t>
      </w:r>
    </w:p>
  </w:footnote>
  <w:footnote w:id="246">
    <w:p w14:paraId="0627AEFE" w14:textId="77777777" w:rsidR="007B7556" w:rsidRPr="00DE23EA" w:rsidRDefault="007B7556" w:rsidP="00105658">
      <w:pPr>
        <w:pStyle w:val="nota"/>
      </w:pPr>
      <w:r>
        <w:rPr>
          <w:rStyle w:val="Refdenotaalpie"/>
        </w:rPr>
        <w:footnoteRef/>
      </w:r>
      <w:r>
        <w:t xml:space="preserve"> ORTEGA GUTIERREZ, D., “L</w:t>
      </w:r>
      <w:r w:rsidRPr="00DE23EA">
        <w:t>a especial trascendencia constitucional</w:t>
      </w:r>
      <w:r>
        <w:t xml:space="preserve"> </w:t>
      </w:r>
      <w:r w:rsidRPr="00DE23EA">
        <w:t>como concepto jurídico indeterminado.</w:t>
      </w:r>
      <w:r>
        <w:t xml:space="preserve"> D</w:t>
      </w:r>
      <w:r w:rsidRPr="00DE23EA">
        <w:t>e la reforma de 2</w:t>
      </w:r>
      <w:r>
        <w:t xml:space="preserve">007 de la LOTC a la STC </w:t>
      </w:r>
      <w:r w:rsidRPr="00DE23EA">
        <w:t>155/2009, de 25 de junio</w:t>
      </w:r>
      <w:r>
        <w:t xml:space="preserve">”, </w:t>
      </w:r>
      <w:r w:rsidRPr="00DE23EA">
        <w:rPr>
          <w:i/>
        </w:rPr>
        <w:t>UNED. Teoría y Realidad Constitucional</w:t>
      </w:r>
      <w:r w:rsidRPr="00DE23EA">
        <w:t xml:space="preserve">, </w:t>
      </w:r>
      <w:r>
        <w:t>núm. 25, 2010, pág. 504.</w:t>
      </w:r>
    </w:p>
  </w:footnote>
  <w:footnote w:id="247">
    <w:p w14:paraId="3B70EC1D" w14:textId="77777777" w:rsidR="007B7556" w:rsidRPr="005740AA" w:rsidRDefault="007B7556" w:rsidP="00105658">
      <w:pPr>
        <w:pStyle w:val="nota"/>
      </w:pPr>
      <w:r>
        <w:rPr>
          <w:rStyle w:val="Refdenotaalpie"/>
        </w:rPr>
        <w:footnoteRef/>
      </w:r>
      <w:r w:rsidRPr="005740AA">
        <w:t xml:space="preserve"> </w:t>
      </w:r>
      <w:r>
        <w:t>P</w:t>
      </w:r>
      <w:r w:rsidRPr="005740AA">
        <w:t>ublicado en el BOE núm. 200, de 19 de agosto</w:t>
      </w:r>
      <w:r>
        <w:t>.</w:t>
      </w:r>
    </w:p>
  </w:footnote>
  <w:footnote w:id="248">
    <w:p w14:paraId="761EE3F5" w14:textId="77777777" w:rsidR="007B7556" w:rsidRPr="003D01B2" w:rsidRDefault="007B7556" w:rsidP="00105658">
      <w:pPr>
        <w:pStyle w:val="nota"/>
      </w:pPr>
      <w:r>
        <w:rPr>
          <w:rStyle w:val="Refdenotaalpie"/>
        </w:rPr>
        <w:footnoteRef/>
      </w:r>
      <w:r w:rsidRPr="003D01B2">
        <w:t xml:space="preserve"> </w:t>
      </w:r>
      <w:r>
        <w:t>Cfr. PÉREZ TREMPS, P., “La especial trascendencia constitucional del recurso de amparo como categoría constitucional: entre ‘morir de éxito’ o ‘vivir en el fracaso’”, UNED. Teoría y Realidad Constitucional, núm. 41, 2018, págs. 258-259.</w:t>
      </w:r>
    </w:p>
  </w:footnote>
  <w:footnote w:id="249">
    <w:p w14:paraId="1A1C1C87" w14:textId="77777777" w:rsidR="007B7556" w:rsidRPr="00852306" w:rsidRDefault="007B7556" w:rsidP="00105658">
      <w:pPr>
        <w:pStyle w:val="nota"/>
      </w:pPr>
      <w:r>
        <w:rPr>
          <w:rStyle w:val="Refdenotaalpie"/>
        </w:rPr>
        <w:footnoteRef/>
      </w:r>
      <w:r w:rsidRPr="00852306">
        <w:t xml:space="preserve"> Otros Autos que van en la </w:t>
      </w:r>
      <w:r>
        <w:t xml:space="preserve">línea de lo estudiado intentando concretar el requisito de especial trascendencia constitucional son los ATC </w:t>
      </w:r>
      <w:r w:rsidRPr="00852306">
        <w:t>166/2009, de 27 de mayo; y 165/2009, de 25 de mayo.</w:t>
      </w:r>
    </w:p>
  </w:footnote>
  <w:footnote w:id="250">
    <w:p w14:paraId="437F1786" w14:textId="09011A8F" w:rsidR="007B7556" w:rsidRPr="00D547FB" w:rsidRDefault="007B7556" w:rsidP="00105658">
      <w:pPr>
        <w:pStyle w:val="nota"/>
      </w:pPr>
      <w:r>
        <w:rPr>
          <w:rStyle w:val="Refdenotaalpie"/>
        </w:rPr>
        <w:footnoteRef/>
      </w:r>
      <w:r w:rsidRPr="00D547FB">
        <w:t xml:space="preserve"> «</w:t>
      </w:r>
      <w:r w:rsidRPr="00890D4A">
        <w:t xml:space="preserve">Tales casos serán los siguientes: a) </w:t>
      </w:r>
      <w:r w:rsidRPr="00D547FB">
        <w:t>el de un recurso que plantee un problema o una faceta de un derecho fundamental susceptible de amparo sobre el que no haya doctrina del Tribunal Constitucional, supuesto ya enunciado en la STC 70/2009, de 23 de marzo...»</w:t>
      </w:r>
    </w:p>
  </w:footnote>
  <w:footnote w:id="251">
    <w:p w14:paraId="7DB63728" w14:textId="77777777" w:rsidR="007B7556" w:rsidRPr="006F22DB" w:rsidRDefault="007B7556" w:rsidP="00105658">
      <w:pPr>
        <w:pStyle w:val="nota"/>
      </w:pPr>
      <w:r>
        <w:rPr>
          <w:rStyle w:val="Refdenotaalpie"/>
        </w:rPr>
        <w:footnoteRef/>
      </w:r>
      <w:r w:rsidRPr="006F22DB">
        <w:t xml:space="preserve"> MONTAÑÉS PARDO, M.A.: “La especial trascendencia constitucional como presupuesto del recurso de amparo”, Revista Otrosí</w:t>
      </w:r>
      <w:r>
        <w:t>, núm.</w:t>
      </w:r>
      <w:r w:rsidRPr="006F22DB">
        <w:t xml:space="preserve"> 1, enero 2010, pág. 33.</w:t>
      </w:r>
    </w:p>
  </w:footnote>
  <w:footnote w:id="252">
    <w:p w14:paraId="526F04AC" w14:textId="77777777" w:rsidR="007B7556" w:rsidRPr="009403C0" w:rsidRDefault="007B7556" w:rsidP="00105658">
      <w:pPr>
        <w:pStyle w:val="nota"/>
      </w:pPr>
      <w:r>
        <w:rPr>
          <w:rStyle w:val="Refdenotaalpie"/>
        </w:rPr>
        <w:footnoteRef/>
      </w:r>
      <w:r w:rsidRPr="009403C0">
        <w:t xml:space="preserve"> PÉREZ GURREA</w:t>
      </w:r>
      <w:r>
        <w:t>, R., “E</w:t>
      </w:r>
      <w:r w:rsidRPr="009403C0">
        <w:t>l trámite de admisión del recurso de amparo: la especial trascendencia constitucional</w:t>
      </w:r>
      <w:r>
        <w:t xml:space="preserve">”, </w:t>
      </w:r>
      <w:r w:rsidRPr="00900D41">
        <w:rPr>
          <w:i/>
        </w:rPr>
        <w:t>Revista General de Derecho Procesal</w:t>
      </w:r>
      <w:r>
        <w:t>, núm.</w:t>
      </w:r>
      <w:r w:rsidRPr="009403C0">
        <w:t xml:space="preserve"> 27</w:t>
      </w:r>
      <w:r>
        <w:t xml:space="preserve">, </w:t>
      </w:r>
      <w:r w:rsidRPr="009403C0">
        <w:t>2012</w:t>
      </w:r>
      <w:r>
        <w:t>, págs. 12 y 13.</w:t>
      </w:r>
    </w:p>
  </w:footnote>
  <w:footnote w:id="253">
    <w:p w14:paraId="0813202A" w14:textId="77777777" w:rsidR="007B7556" w:rsidRPr="00CC5CBD" w:rsidRDefault="007B7556" w:rsidP="00105658">
      <w:pPr>
        <w:pStyle w:val="nota"/>
      </w:pPr>
      <w:r w:rsidRPr="00CC5CBD">
        <w:rPr>
          <w:rStyle w:val="Refdenotaalpie"/>
        </w:rPr>
        <w:footnoteRef/>
      </w:r>
      <w:r w:rsidRPr="00CC5CBD">
        <w:t xml:space="preserve"> CABAÑAS GARCÍA, J.C.</w:t>
      </w:r>
      <w:r>
        <w:t xml:space="preserve">, </w:t>
      </w:r>
      <w:r w:rsidRPr="00CC5CBD">
        <w:t>“El recurso de amparo que queremos: Reflexiones a propósito de la LO 6/2007, de 24 de mayo,</w:t>
      </w:r>
      <w:r>
        <w:t xml:space="preserve"> de reforma parcial de la LOTC</w:t>
      </w:r>
      <w:r w:rsidRPr="00CC5CBD">
        <w:t>”, R</w:t>
      </w:r>
      <w:r>
        <w:t xml:space="preserve">evista </w:t>
      </w:r>
      <w:r w:rsidRPr="00CC5CBD">
        <w:t>E</w:t>
      </w:r>
      <w:r>
        <w:t xml:space="preserve">spañola de </w:t>
      </w:r>
      <w:r w:rsidRPr="00CC5CBD">
        <w:t>D</w:t>
      </w:r>
      <w:r>
        <w:t xml:space="preserve">erecho </w:t>
      </w:r>
      <w:r w:rsidRPr="00CC5CBD">
        <w:t>C</w:t>
      </w:r>
      <w:r>
        <w:t>onstitucional, núm. 88, 2010, págs</w:t>
      </w:r>
      <w:r w:rsidRPr="00CC5CBD">
        <w:t>. 62 y 63</w:t>
      </w:r>
      <w:r>
        <w:t>.</w:t>
      </w:r>
    </w:p>
  </w:footnote>
  <w:footnote w:id="254">
    <w:p w14:paraId="60C5B164" w14:textId="77777777" w:rsidR="007B7556" w:rsidRPr="00D547FB" w:rsidRDefault="007B7556" w:rsidP="00105658">
      <w:pPr>
        <w:pStyle w:val="nota"/>
      </w:pPr>
      <w:r>
        <w:rPr>
          <w:rStyle w:val="Refdenotaalpie"/>
        </w:rPr>
        <w:footnoteRef/>
      </w:r>
      <w:r w:rsidRPr="00D547FB">
        <w:t xml:space="preserve"> </w:t>
      </w:r>
      <w:r w:rsidRPr="00890D4A">
        <w:rPr>
          <w:i/>
        </w:rPr>
        <w:t>«... b) o que dé ocasión al Tribunal Constitucional para aclarar o cambiar su doctrina, como consecuencia de un proceso de reflexión interna, como acontece en el caso que ahora nos ocupa, o por el surgimiento de nuevas realidades sociales o de cambios normativos relevantes para la configuración del contenido del derecho fundamental, o de un cambio en la doctrina de los órganos de garantía encargados de la interpretación de los tratados y acuerdos internacionales a los que se refiere el artículo 10.2 CE...».</w:t>
      </w:r>
    </w:p>
  </w:footnote>
  <w:footnote w:id="255">
    <w:p w14:paraId="1B3323C5" w14:textId="77777777" w:rsidR="007B7556" w:rsidRPr="00E92B0B" w:rsidRDefault="007B7556" w:rsidP="00105658">
      <w:pPr>
        <w:pStyle w:val="nota"/>
      </w:pPr>
      <w:r w:rsidRPr="00E92B0B">
        <w:rPr>
          <w:rStyle w:val="Refdenotaalpie"/>
        </w:rPr>
        <w:footnoteRef/>
      </w:r>
      <w:r w:rsidRPr="00E92B0B">
        <w:t xml:space="preserve"> ORTEGA GUTIÉRREZ</w:t>
      </w:r>
      <w:r>
        <w:t>, D.,</w:t>
      </w:r>
      <w:r w:rsidRPr="00E92B0B">
        <w:t xml:space="preserve"> “La especial trascendencia constitucional como concepto jurídico indeterminado. De la reforma de 2007 de la LOTC   a la STC 155/2009, de 25 de junio”, </w:t>
      </w:r>
      <w:r w:rsidRPr="00E92B0B">
        <w:rPr>
          <w:i/>
        </w:rPr>
        <w:t>UNED, Teoría y Realidad Constitucional</w:t>
      </w:r>
      <w:r>
        <w:t>, núm.</w:t>
      </w:r>
      <w:r w:rsidRPr="00E92B0B">
        <w:t xml:space="preserve"> 25, 2010, pág. 509</w:t>
      </w:r>
      <w:r>
        <w:t>.</w:t>
      </w:r>
    </w:p>
  </w:footnote>
  <w:footnote w:id="256">
    <w:p w14:paraId="13EFF943" w14:textId="77777777" w:rsidR="007B7556" w:rsidRPr="00890D4A" w:rsidRDefault="007B7556" w:rsidP="00105658">
      <w:pPr>
        <w:pStyle w:val="nota"/>
      </w:pPr>
      <w:r>
        <w:rPr>
          <w:rStyle w:val="Refdenotaalpie"/>
        </w:rPr>
        <w:footnoteRef/>
      </w:r>
      <w:r w:rsidRPr="00890D4A">
        <w:t xml:space="preserve"> </w:t>
      </w:r>
      <w:r w:rsidRPr="00890D4A">
        <w:rPr>
          <w:i/>
        </w:rPr>
        <w:t>«... c) o cuando la vulneración del derecho fundamental que se denuncia provenga de la ley o de otra disposición de carácter general...»</w:t>
      </w:r>
    </w:p>
  </w:footnote>
  <w:footnote w:id="257">
    <w:p w14:paraId="783A37C2" w14:textId="77777777" w:rsidR="007B7556" w:rsidRPr="00BA06B5" w:rsidRDefault="007B7556" w:rsidP="00105658">
      <w:pPr>
        <w:pStyle w:val="nota"/>
      </w:pPr>
      <w:r>
        <w:rPr>
          <w:rStyle w:val="Refdenotaalpie"/>
        </w:rPr>
        <w:footnoteRef/>
      </w:r>
      <w:r w:rsidRPr="00BA06B5">
        <w:t xml:space="preserve"> </w:t>
      </w:r>
      <w:r w:rsidRPr="00CC5CBD">
        <w:t>CABAÑAS GARCÍA, J.C.</w:t>
      </w:r>
      <w:r>
        <w:t xml:space="preserve">, </w:t>
      </w:r>
      <w:r w:rsidRPr="00CC5CBD">
        <w:t>“El recurso de amparo que queremos: Reflexiones a propósito de la LO 6/2007, de 24 de mayo,</w:t>
      </w:r>
      <w:r>
        <w:t xml:space="preserve"> de reforma parcial de la LOTC</w:t>
      </w:r>
      <w:r w:rsidRPr="00CC5CBD">
        <w:t xml:space="preserve">”, </w:t>
      </w:r>
      <w:r w:rsidRPr="00BA06B5">
        <w:rPr>
          <w:i/>
        </w:rPr>
        <w:t>Revista Española de Derecho Constitucional</w:t>
      </w:r>
      <w:r>
        <w:t>, núm. 88, 2010, págs. 64 y 65.</w:t>
      </w:r>
    </w:p>
  </w:footnote>
  <w:footnote w:id="258">
    <w:p w14:paraId="6C7A050F" w14:textId="77777777" w:rsidR="007B7556" w:rsidRPr="007867CC" w:rsidRDefault="007B7556" w:rsidP="00105658">
      <w:pPr>
        <w:pStyle w:val="nota"/>
      </w:pPr>
      <w:r>
        <w:rPr>
          <w:rStyle w:val="Refdenotaalpie"/>
        </w:rPr>
        <w:footnoteRef/>
      </w:r>
      <w:r w:rsidRPr="007867CC">
        <w:t xml:space="preserve"> </w:t>
      </w:r>
      <w:r w:rsidRPr="00BF0223">
        <w:rPr>
          <w:i/>
        </w:rPr>
        <w:t>«... d) o si la vulneración del derecho fundamental traiga causa de una reiterada interpretación jurisprudencial de la ley que el Tribunal Constitucional considere lesiva del derecho fundamental y crea necesario proclamar otra interpretación conforme a la Constitución</w:t>
      </w:r>
      <w:r>
        <w:rPr>
          <w:i/>
        </w:rPr>
        <w:t>…</w:t>
      </w:r>
      <w:r w:rsidRPr="00BF0223">
        <w:rPr>
          <w:i/>
        </w:rPr>
        <w:t>»</w:t>
      </w:r>
    </w:p>
  </w:footnote>
  <w:footnote w:id="259">
    <w:p w14:paraId="20210CC2" w14:textId="77777777" w:rsidR="007B7556" w:rsidRPr="00CB1367" w:rsidRDefault="007B7556" w:rsidP="00105658">
      <w:pPr>
        <w:pStyle w:val="nota"/>
      </w:pPr>
      <w:r>
        <w:rPr>
          <w:rStyle w:val="Refdenotaalpie"/>
        </w:rPr>
        <w:footnoteRef/>
      </w:r>
      <w:r>
        <w:t xml:space="preserve"> MONTAÑÉS PARDO, M.A.,</w:t>
      </w:r>
      <w:r w:rsidRPr="006F22DB">
        <w:t xml:space="preserve"> “La especial trascendencia constitucional como presupuesto del recurso de amparo”, </w:t>
      </w:r>
      <w:r w:rsidRPr="006F22DB">
        <w:rPr>
          <w:i/>
        </w:rPr>
        <w:t>Revista Otrosí</w:t>
      </w:r>
      <w:r>
        <w:t>, núm. 1, enero 2010, pág. 35</w:t>
      </w:r>
      <w:r w:rsidRPr="006F22DB">
        <w:t>.</w:t>
      </w:r>
    </w:p>
  </w:footnote>
  <w:footnote w:id="260">
    <w:p w14:paraId="2EF32F24" w14:textId="77777777" w:rsidR="007B7556" w:rsidRPr="00BF0223" w:rsidRDefault="007B7556" w:rsidP="00105658">
      <w:pPr>
        <w:pStyle w:val="nota"/>
      </w:pPr>
      <w:r>
        <w:rPr>
          <w:rStyle w:val="Refdenotaalpie"/>
        </w:rPr>
        <w:footnoteRef/>
      </w:r>
      <w:r w:rsidRPr="00BF0223">
        <w:t xml:space="preserve"> «… e) o bien cuando la doctrina del Tribunal Constitucional sobre el derecho fundamental que se alega en el recurso esté siendo incumplida de modo general y reiterado por la jurisdicción ordinaria, o existan resoluciones judiciales contradictorias sobre el derecho fundamental, ya sea interpretando de manera distinta la doctrina constitucional, ya sea aplicándola en unos casos y desconociéndola en otros...»</w:t>
      </w:r>
    </w:p>
  </w:footnote>
  <w:footnote w:id="261">
    <w:p w14:paraId="4264488D" w14:textId="77777777" w:rsidR="007B7556" w:rsidRPr="000C4F6F" w:rsidRDefault="007B7556" w:rsidP="00105658">
      <w:pPr>
        <w:pStyle w:val="nota"/>
      </w:pPr>
      <w:r>
        <w:rPr>
          <w:rStyle w:val="Refdenotaalpie"/>
        </w:rPr>
        <w:footnoteRef/>
      </w:r>
      <w:r w:rsidRPr="000C4F6F">
        <w:t xml:space="preserve"> </w:t>
      </w:r>
      <w:r w:rsidRPr="00E92B0B">
        <w:t>ORTEGA GUTIÉRREZ</w:t>
      </w:r>
      <w:r>
        <w:t>, D.,</w:t>
      </w:r>
      <w:r w:rsidRPr="00E92B0B">
        <w:t xml:space="preserve"> “La especial trascendencia constitucional como concepto jurídico indeterminado. De la reforma de 2007 de la LOTC   a la STC 155/2009, de 25 de junio”, UNED, Teoría y Realidad Constitucional</w:t>
      </w:r>
      <w:r>
        <w:t>, núm.</w:t>
      </w:r>
      <w:r w:rsidRPr="00E92B0B">
        <w:t xml:space="preserve"> 25, 2010, pág. 509</w:t>
      </w:r>
      <w:r>
        <w:t>.</w:t>
      </w:r>
    </w:p>
  </w:footnote>
  <w:footnote w:id="262">
    <w:p w14:paraId="1C402636" w14:textId="77777777" w:rsidR="007B7556" w:rsidRPr="00EB09C1" w:rsidRDefault="007B7556" w:rsidP="00105658">
      <w:pPr>
        <w:pStyle w:val="nota"/>
      </w:pPr>
      <w:r>
        <w:rPr>
          <w:rStyle w:val="Refdenotaalpie"/>
        </w:rPr>
        <w:footnoteRef/>
      </w:r>
      <w:r w:rsidRPr="00EB09C1">
        <w:t xml:space="preserve"> </w:t>
      </w:r>
      <w:r>
        <w:t>MONTAÑÉS PARDO, M.A.,</w:t>
      </w:r>
      <w:r w:rsidRPr="006F22DB">
        <w:t xml:space="preserve"> “La especial trascendencia constitucional como presupuesto del recurso de amparo”, Revista Otrosí</w:t>
      </w:r>
      <w:r>
        <w:t>, núm. 1, enero 2010, pág. 35</w:t>
      </w:r>
      <w:r w:rsidRPr="006F22DB">
        <w:t>.</w:t>
      </w:r>
    </w:p>
  </w:footnote>
  <w:footnote w:id="263">
    <w:p w14:paraId="6406A90D" w14:textId="2C321ABB" w:rsidR="007B7556" w:rsidRPr="00573A34" w:rsidRDefault="007B7556" w:rsidP="00105658">
      <w:pPr>
        <w:pStyle w:val="nota"/>
      </w:pPr>
      <w:r>
        <w:rPr>
          <w:rStyle w:val="Refdenotaalpie"/>
        </w:rPr>
        <w:footnoteRef/>
      </w:r>
      <w:r w:rsidRPr="00573A34">
        <w:t xml:space="preserve"> «... f) o en el caso de que un órgano judicial incurra en una negativa manifiesta del deber de acatamiento de la doctrina del Tribunal Constitucional (art. 5 de la Ley Orgánica del Poder Judicial: LOPJ) ...».</w:t>
      </w:r>
    </w:p>
  </w:footnote>
  <w:footnote w:id="264">
    <w:p w14:paraId="6E9043D7" w14:textId="77777777" w:rsidR="007B7556" w:rsidRPr="00802590" w:rsidRDefault="007B7556" w:rsidP="00105658">
      <w:pPr>
        <w:pStyle w:val="nota"/>
      </w:pPr>
      <w:r>
        <w:rPr>
          <w:rStyle w:val="Refdenotaalpie"/>
        </w:rPr>
        <w:footnoteRef/>
      </w:r>
      <w:r w:rsidRPr="00802590">
        <w:t xml:space="preserve"> </w:t>
      </w:r>
      <w:r w:rsidRPr="00CC5CBD">
        <w:t>CABAÑAS GARCÍA, J.C.</w:t>
      </w:r>
      <w:r>
        <w:t xml:space="preserve">, </w:t>
      </w:r>
      <w:r w:rsidRPr="00CC5CBD">
        <w:t>“El recurso de amparo que queremos: Reflexiones a propósito de la LO 6/2007, de 24 de mayo,</w:t>
      </w:r>
      <w:r>
        <w:t xml:space="preserve"> de reforma parcial de la LOTC</w:t>
      </w:r>
      <w:r w:rsidRPr="00CC5CBD">
        <w:t xml:space="preserve">”, </w:t>
      </w:r>
      <w:r w:rsidRPr="00BA06B5">
        <w:t>Revista Española de Derecho Constitucional</w:t>
      </w:r>
      <w:r>
        <w:t>, núm. 88, 2010, págs. 66 y 67.</w:t>
      </w:r>
    </w:p>
  </w:footnote>
  <w:footnote w:id="265">
    <w:p w14:paraId="2F87936E" w14:textId="77777777" w:rsidR="007B7556" w:rsidRPr="00FA40B5" w:rsidRDefault="007B7556" w:rsidP="00105658">
      <w:pPr>
        <w:pStyle w:val="nota"/>
      </w:pPr>
      <w:r>
        <w:rPr>
          <w:rStyle w:val="Refdenotaalpie"/>
        </w:rPr>
        <w:footnoteRef/>
      </w:r>
      <w:r w:rsidRPr="00FA40B5">
        <w:t xml:space="preserve"> «... g) o, en fin, cuando el asunto suscitado, sin estar incluido en ninguno de los supuestos anteriores, trascienda del caso concreto porque plantee una cuestión jurídica de relevante y general repercusión social o económica o tenga unas consecuencias políticas generales, consecuencias que podrían concurrir, sobre todo, aunque no exclusivamente, en determinados amparos electorales o parlamentarios».</w:t>
      </w:r>
    </w:p>
  </w:footnote>
  <w:footnote w:id="266">
    <w:p w14:paraId="7F2FB468" w14:textId="77777777" w:rsidR="007B7556" w:rsidRPr="00471E1B" w:rsidRDefault="007B7556" w:rsidP="00105658">
      <w:pPr>
        <w:pStyle w:val="nota"/>
      </w:pPr>
      <w:r>
        <w:rPr>
          <w:rStyle w:val="Refdenotaalpie"/>
        </w:rPr>
        <w:footnoteRef/>
      </w:r>
      <w:r w:rsidRPr="00471E1B">
        <w:t xml:space="preserve"> </w:t>
      </w:r>
      <w:r w:rsidRPr="00434400">
        <w:t>RIPOL CARULLA</w:t>
      </w:r>
      <w:r>
        <w:t>, S., “U</w:t>
      </w:r>
      <w:r w:rsidRPr="00434400">
        <w:t>n nu</w:t>
      </w:r>
      <w:r>
        <w:t>evo marco de relación entre el Tribunal Constitucional y el Tribunal Europeo de Derechos H</w:t>
      </w:r>
      <w:r w:rsidRPr="00434400">
        <w:t>umanos</w:t>
      </w:r>
      <w:r>
        <w:t xml:space="preserve">”, </w:t>
      </w:r>
      <w:r w:rsidRPr="00434400">
        <w:rPr>
          <w:i/>
        </w:rPr>
        <w:t>Revista Española de Derecho Internacional</w:t>
      </w:r>
      <w:r>
        <w:rPr>
          <w:i/>
        </w:rPr>
        <w:t xml:space="preserve">, </w:t>
      </w:r>
      <w:r>
        <w:t xml:space="preserve">vol. LXVI/1, sección ESTUDIOS, </w:t>
      </w:r>
      <w:r w:rsidRPr="00434400">
        <w:t>Madrid, enero-junio 2014</w:t>
      </w:r>
      <w:r>
        <w:t>, pág. 20.</w:t>
      </w:r>
    </w:p>
  </w:footnote>
  <w:footnote w:id="267">
    <w:p w14:paraId="6428E4A1" w14:textId="77777777" w:rsidR="007B7556" w:rsidRPr="00A82793" w:rsidRDefault="007B7556" w:rsidP="006F44C0">
      <w:pPr>
        <w:pStyle w:val="nota"/>
        <w:rPr>
          <w:i/>
        </w:rPr>
      </w:pPr>
      <w:r>
        <w:rPr>
          <w:rStyle w:val="Refdenotaalpie"/>
        </w:rPr>
        <w:footnoteRef/>
      </w:r>
      <w:r w:rsidRPr="00A82793">
        <w:t xml:space="preserve"> </w:t>
      </w:r>
      <w:r>
        <w:t>Estas exigencias aparecen sintetizadas por el TC en la Sentencia 128/2014, FJ 2:</w:t>
      </w:r>
      <w:r w:rsidRPr="00A82793">
        <w:t xml:space="preserve"> </w:t>
      </w:r>
      <w:r>
        <w:t>«</w:t>
      </w:r>
      <w:r w:rsidRPr="00A82793">
        <w:rPr>
          <w:i/>
        </w:rPr>
        <w:t>En cuanto al modo en el que se debe dar cumplimiento a la justificación de la especial transcendencia constitucional del recurso hemos recordado en la STC 178/2012, de 15 de octubre, FJ 3, que “aunque la indicada previsión del art. 49.1 in fine LOTC se configura como una carga procesal de la parte, es también un instrumento de colaboración con la Justicia constitucional, habida cuenta de que el legislador ha querido que la valoración del Tribunal acerca de la especial trascendencia constitucional de cada recurso venga siempre precedida de la iniciativa y apreciaciones de la parte, recogidas en su escrito de demanda”. A la parte recurrente, pues, le es exigible un “esfuerzo argumental” (ATC 154/2010, de 15 de noviembre, FJ 4) que ponga en conexión las vulneraciones constitucionales que alega con los criterios establecidos en el art. 50.1 b) LOTC.</w:t>
      </w:r>
    </w:p>
    <w:p w14:paraId="0FD7CF3B" w14:textId="77777777" w:rsidR="007B7556" w:rsidRPr="00A82793" w:rsidRDefault="007B7556" w:rsidP="006F44C0">
      <w:pPr>
        <w:pStyle w:val="nota"/>
        <w:rPr>
          <w:i/>
        </w:rPr>
      </w:pPr>
      <w:r w:rsidRPr="00A82793">
        <w:rPr>
          <w:i/>
        </w:rPr>
        <w:t>Para satisfacer esta exigencia, como ha recordado la STC 118/2014, de 8 de julio, FJ 2, la demanda de amparo no tiene que ajustarse a un modelo rígido, pero sí responder a los “cánones propios de este tipo de escritos procesales” (STC 17/2011, de 28 de febrero, FJ 2) y “tener en cuenta las precisiones que, con relación a esa específica carga, ha ido efectuando este Tribunal a través de diversas resoluciones que despejan las posibles dudas sobre el modo en el que se tiene que hacer efectiva” (STC 69/2011, de 16 de mayo, FJ 3). Por esta razón, no basta argumentar la existencia de la vulneración de un derecho fundamental (SSTC 17/2011, de 28 de febrero, FJ 2; 69/2011, de 16 de mayo, FJ 3; 143/2011, de 26 de septiembre, FJ 2; y 191/2011, de 12 de diciembre, FJ 3; también AATC 188/2008, de 21 de julio, FJ 2; 289/2008, de 22 de septiembre, FJ 2; 290/2008, de 22 de septiembre, FJ 2; 80/2009, de 9 de marzo, FJ 2; y 186/2010, de 29 de noviembre, FJ único); es preciso que “en la demanda se disocie adecuadamente la argumentación tendente a evidenciar la existencia de la lesión de un derecho fundamental —que sigue siendo, obviamente, un presupuesto inexcusable en cualquier demanda de amparo— y los razonamientos específicamente dirigidos a justificar que el recurso presenta especial trascendencia constitucional” (STC 17/2011, de 28 de febrero, FJ 2). Consecuentemente, “la exposición sobre la verosimilitud de la lesión del derecho fundamental no puede suplir la omisión de una argumentación expresa sobre la trascendencia constitucional del recurso de amparo” (ATC 252/2009, de 19 de octubre, FJ 1). Por lo mismo, tampoco satisface este requisito la demanda que pretende cumplimentar la carga justificativa con una “simple o abstracta mención” de la especial trascendencia constitucional, “huérfana de la más mínima argumentación”, que no permita advertir “por qué el contenido del recurso de amparo justifica una decisión sobre el fondo en atención a su importancia para la interpretación, aplicación o general eficacia de la Constitución o para la determinación del contenido y alcance de los derechos fundamentales” que se aleguen en la demanda (STC 69/2011, de 16 de mayo, FJ 3, citando el ATC 187/2010, de 29 de noviembre, FJ único). En otras palabras, “por situarse en planos diferentes el razonamiento sobre la existencia de la lesión del derecho fundamental y la argumentación relativa a la trascendencia constitucional del recurso de amparo tendente a su restablecimiento y preservación, uno y otra son necesarios, de modo que la exposición sobre la verosimilitud de la lesión del derecho fundamental no puede suplir la omisión de una argumentación expresa sobre la trascendencia constitucional del recurso de amparo” (ATC 252/2009, de 19 de octubre, FJ 1).».</w:t>
      </w:r>
    </w:p>
  </w:footnote>
  <w:footnote w:id="268">
    <w:p w14:paraId="6535BCA2" w14:textId="77777777" w:rsidR="007B7556" w:rsidRPr="00A40C6D" w:rsidRDefault="007B7556" w:rsidP="006F44C0">
      <w:pPr>
        <w:pStyle w:val="nota"/>
      </w:pPr>
      <w:r>
        <w:rPr>
          <w:rStyle w:val="Refdenotaalpie"/>
        </w:rPr>
        <w:footnoteRef/>
      </w:r>
      <w:r w:rsidRPr="00A40C6D">
        <w:t xml:space="preserve"> </w:t>
      </w:r>
      <w:r>
        <w:t>C</w:t>
      </w:r>
      <w:r w:rsidRPr="00A40C6D">
        <w:t xml:space="preserve">omo ya se ha visto, </w:t>
      </w:r>
      <w:r>
        <w:t xml:space="preserve">el art. 51.1 b) LOTC indica que la especial trascendencia constitucional se apreciará </w:t>
      </w:r>
      <w:r w:rsidRPr="00A40C6D">
        <w:t xml:space="preserve">atendiendo a </w:t>
      </w:r>
      <w:r w:rsidRPr="00A40C6D">
        <w:rPr>
          <w:i/>
        </w:rPr>
        <w:t>«su importancia para la interpretación de la Constitución, para su aplicación o para su general eficacia, y para la determinación del contenido y alcance de los derechos fundamentales»,</w:t>
      </w:r>
      <w:r w:rsidRPr="00A40C6D">
        <w:t xml:space="preserve"> criterios éstos que también resultan altamente genéricos y</w:t>
      </w:r>
      <w:r>
        <w:t xml:space="preserve"> </w:t>
      </w:r>
      <w:r w:rsidRPr="00A40C6D">
        <w:t>abstractos.</w:t>
      </w:r>
    </w:p>
  </w:footnote>
  <w:footnote w:id="269">
    <w:p w14:paraId="59928784" w14:textId="77777777" w:rsidR="007B7556" w:rsidRPr="006B0BB5" w:rsidRDefault="007B7556" w:rsidP="006F44C0">
      <w:pPr>
        <w:pStyle w:val="nota"/>
      </w:pPr>
      <w:r>
        <w:rPr>
          <w:rStyle w:val="Refdenotaalpie"/>
        </w:rPr>
        <w:footnoteRef/>
      </w:r>
      <w:r w:rsidRPr="00DF320B">
        <w:t xml:space="preserve"> PÉREZ TREMPS, P., “La especial trascendencia constitucional del recurso de amparo como categoría constitucional: entre ‘morir de éxito’ o ‘vivir en el fracaso’”, </w:t>
      </w:r>
      <w:r w:rsidRPr="00DF320B">
        <w:rPr>
          <w:i/>
          <w:iCs/>
        </w:rPr>
        <w:t>UNED. Teoría y Realidad Constitucional,</w:t>
      </w:r>
      <w:r w:rsidRPr="00DF320B">
        <w:t xml:space="preserve"> núm. 41, 2018, págs. 261-262.</w:t>
      </w:r>
    </w:p>
  </w:footnote>
  <w:footnote w:id="270">
    <w:p w14:paraId="6565A5AC" w14:textId="482CE435" w:rsidR="007B7556" w:rsidRPr="00053F12" w:rsidRDefault="007B7556" w:rsidP="00A257EC">
      <w:pPr>
        <w:pStyle w:val="nota"/>
      </w:pPr>
      <w:r>
        <w:rPr>
          <w:rStyle w:val="Refdenotaalpie"/>
        </w:rPr>
        <w:footnoteRef/>
      </w:r>
      <w:r w:rsidRPr="00DF320B">
        <w:t xml:space="preserve"> </w:t>
      </w:r>
      <w:proofErr w:type="spellStart"/>
      <w:r>
        <w:t>Ibídem</w:t>
      </w:r>
      <w:proofErr w:type="spellEnd"/>
      <w:r>
        <w:t>, págs. 262-263.</w:t>
      </w:r>
    </w:p>
  </w:footnote>
  <w:footnote w:id="271">
    <w:p w14:paraId="0791A5B5" w14:textId="77777777" w:rsidR="007B7556" w:rsidRPr="00C63BEF" w:rsidRDefault="007B7556" w:rsidP="00A257EC">
      <w:pPr>
        <w:pStyle w:val="nota"/>
      </w:pPr>
      <w:r>
        <w:rPr>
          <w:rStyle w:val="Refdenotaalpie"/>
        </w:rPr>
        <w:footnoteRef/>
      </w:r>
      <w:r w:rsidRPr="00DF320B">
        <w:t xml:space="preserve"> Y así ha sido asumido incluso por el Tribunal Europeo de Derechos Humanos en su Sentencia de 20 de enero de 2015, asunto Arribas Antón c. España.</w:t>
      </w:r>
    </w:p>
  </w:footnote>
  <w:footnote w:id="272">
    <w:p w14:paraId="798ECBA5" w14:textId="77777777" w:rsidR="007B7556" w:rsidRPr="00C63BEF" w:rsidRDefault="007B7556" w:rsidP="00A257EC">
      <w:pPr>
        <w:pStyle w:val="nota"/>
      </w:pPr>
      <w:r>
        <w:rPr>
          <w:rStyle w:val="Refdenotaalpie"/>
        </w:rPr>
        <w:footnoteRef/>
      </w:r>
      <w:r w:rsidRPr="00DF320B">
        <w:t xml:space="preserve"> PÉREZ TREMPS, P., “La especial trascendencia constitucional del recurso de amparo como categoría constitucional: entre ‘morir de éxito’ o ‘vivir en el fracaso’”, </w:t>
      </w:r>
      <w:r w:rsidRPr="00DF320B">
        <w:rPr>
          <w:i/>
          <w:iCs/>
        </w:rPr>
        <w:t>UNED. Teoría y Realidad Constitucional,</w:t>
      </w:r>
      <w:r w:rsidRPr="00DF320B">
        <w:t xml:space="preserve"> núm. 41, 2018, pág. 262.</w:t>
      </w:r>
    </w:p>
  </w:footnote>
  <w:footnote w:id="273">
    <w:p w14:paraId="7627704D" w14:textId="77777777" w:rsidR="007B7556" w:rsidRPr="00E76AF5" w:rsidRDefault="007B7556" w:rsidP="00A257EC">
      <w:pPr>
        <w:pStyle w:val="nota"/>
      </w:pPr>
      <w:r>
        <w:rPr>
          <w:rStyle w:val="Refdenotaalpie"/>
        </w:rPr>
        <w:footnoteRef/>
      </w:r>
      <w:r w:rsidRPr="00DF320B">
        <w:t xml:space="preserve"> La STC 128/2014 FJ 2, establece que </w:t>
      </w:r>
      <w:r w:rsidRPr="00DF320B">
        <w:rPr>
          <w:i/>
          <w:iCs/>
        </w:rPr>
        <w:t>«El carácter abierto tanto del concepto de ‘especial trascendencia constitucional’ como de los tres criterios que la propia Ley ofrece para su caracterización («su importancia para la interpretación de la Constitución, para su aplicación o para su general eficacia, y para la determinación del contenido y alcance de los derechos fundamentales») ha llevado a este Tribunal a realizar un esfuerzo de concreción en la STC 155/2009, … en la que se identifican, sin ánimo exhaustivo, determinados supuestos, como propiciadores de la apreciación de esa especial trascendencia constitucional, ‘en el bien entendido de que esa enumeración no ha de ser considerada como un elenco definitivamente cerrado de casos en los que un recurso de amparo tiene especial trascendencia constitucional, pues a ello se opone el carácter dinámico del ejercicio de la jurisdicción constitucional, en cuyo desempeño no puede descartarse, a partir de la casuística que se presente, la necesidad de perfilar o depurar conceptos, redefinir supuestos contemplados, añadir otros nuevos o excluir alguno inicialmente incluido’ (STC 2/2013)».</w:t>
      </w:r>
    </w:p>
  </w:footnote>
  <w:footnote w:id="274">
    <w:p w14:paraId="620C2172" w14:textId="77777777" w:rsidR="007B7556" w:rsidRDefault="007B7556" w:rsidP="00A257EC">
      <w:pPr>
        <w:pStyle w:val="nota"/>
      </w:pPr>
      <w:r>
        <w:rPr>
          <w:rStyle w:val="Refdenotaalpie"/>
        </w:rPr>
        <w:footnoteRef/>
      </w:r>
      <w:r>
        <w:t xml:space="preserve"> PULIDO QUECEDO, M., “El requisito de la especial transcendencia constitucional, en el recurso de amparo”, </w:t>
      </w:r>
      <w:r>
        <w:rPr>
          <w:i/>
        </w:rPr>
        <w:t>Revista Aranzadi doctrinal</w:t>
      </w:r>
      <w:r>
        <w:t>, núm. 6, 2009, pág.77.</w:t>
      </w:r>
    </w:p>
  </w:footnote>
  <w:footnote w:id="275">
    <w:p w14:paraId="066C0CC7" w14:textId="0DFA4C13" w:rsidR="007B7556" w:rsidRDefault="007B7556" w:rsidP="00A257EC">
      <w:pPr>
        <w:pStyle w:val="nota"/>
      </w:pPr>
      <w:r>
        <w:rPr>
          <w:rStyle w:val="Refdenotaalpie"/>
        </w:rPr>
        <w:footnoteRef/>
      </w:r>
      <w:r>
        <w:t xml:space="preserve"> </w:t>
      </w:r>
      <w:proofErr w:type="spellStart"/>
      <w:r>
        <w:t>Ibídem</w:t>
      </w:r>
      <w:proofErr w:type="spellEnd"/>
      <w:r>
        <w:t>, págs. 73-78</w:t>
      </w:r>
    </w:p>
  </w:footnote>
  <w:footnote w:id="276">
    <w:p w14:paraId="7A32D328" w14:textId="4E0065A5" w:rsidR="007B7556" w:rsidRDefault="007B7556" w:rsidP="00A34614">
      <w:pPr>
        <w:pStyle w:val="nota"/>
      </w:pPr>
      <w:r>
        <w:rPr>
          <w:rStyle w:val="Refdenotaalpie"/>
        </w:rPr>
        <w:footnoteRef/>
      </w:r>
      <w:r>
        <w:t xml:space="preserve"> La STC 70/2009, de 23 de marzo, versa sobre el conflicto originado por la aplicación de un acuerdo de la Administración que forzaba a una jubilación por incapacidad permanente a un profesor de secundaria. Este se basaba en dos informes médicos sobre su salud psíquica que formaban parte de su historial clínico. La relevancia del caso radica en que el TC aplica por primera vez el requisito de admisión de la especial trascendencia constitucional por dos cuestiones muy concretas, primero por acreditar que no había doctrina constitucional al respecto y segundo, para brindar seguridad jurídica en la materia.</w:t>
      </w:r>
    </w:p>
  </w:footnote>
  <w:footnote w:id="277">
    <w:p w14:paraId="0ADB8D76" w14:textId="7ADF5354" w:rsidR="007B7556" w:rsidRPr="00590808" w:rsidRDefault="007B7556" w:rsidP="00A34614">
      <w:pPr>
        <w:pStyle w:val="nota"/>
      </w:pPr>
      <w:r>
        <w:rPr>
          <w:rStyle w:val="Refdenotaalpie"/>
        </w:rPr>
        <w:footnoteRef/>
      </w:r>
      <w:r w:rsidRPr="00590808">
        <w:t xml:space="preserve"> </w:t>
      </w:r>
      <w:r>
        <w:t xml:space="preserve">NARANJO ROMÁN, R., </w:t>
      </w:r>
      <w:r w:rsidRPr="00A34614">
        <w:rPr>
          <w:i/>
        </w:rPr>
        <w:t>La reforma del recurso de amparo: la especial transcendencia constitucional en la jurisprudencia del tribunal constitucional</w:t>
      </w:r>
      <w:r w:rsidRPr="00590808">
        <w:t xml:space="preserve"> </w:t>
      </w:r>
      <w:r w:rsidRPr="00590808">
        <w:rPr>
          <w:rFonts w:ascii="Tahoma" w:hAnsi="Tahoma" w:cs="Tahoma"/>
        </w:rPr>
        <w:t>﻿</w:t>
      </w:r>
      <w:r>
        <w:rPr>
          <w:rFonts w:ascii="Tahoma" w:hAnsi="Tahoma" w:cs="Tahoma"/>
        </w:rPr>
        <w:t>,</w:t>
      </w:r>
      <w:r w:rsidRPr="00590808">
        <w:t xml:space="preserve"> [Tesis Doctoral]</w:t>
      </w:r>
      <w:r>
        <w:t xml:space="preserve">, </w:t>
      </w:r>
      <w:r w:rsidRPr="00590808">
        <w:t>2016</w:t>
      </w:r>
      <w:r>
        <w:t>.</w:t>
      </w:r>
    </w:p>
  </w:footnote>
  <w:footnote w:id="278">
    <w:p w14:paraId="23CE98F3" w14:textId="77777777" w:rsidR="007B7556" w:rsidRPr="00590808" w:rsidRDefault="007B7556" w:rsidP="00325FB3">
      <w:pPr>
        <w:pStyle w:val="nota"/>
      </w:pPr>
      <w:r>
        <w:rPr>
          <w:rStyle w:val="Refdenotaalpie"/>
        </w:rPr>
        <w:footnoteRef/>
      </w:r>
      <w:r w:rsidRPr="00590808">
        <w:t xml:space="preserve"> </w:t>
      </w:r>
      <w:proofErr w:type="spellStart"/>
      <w:r>
        <w:t>Ibídem</w:t>
      </w:r>
      <w:proofErr w:type="spellEnd"/>
      <w:r>
        <w:t>.</w:t>
      </w:r>
    </w:p>
  </w:footnote>
  <w:footnote w:id="279">
    <w:p w14:paraId="47CE54C7" w14:textId="77777777" w:rsidR="007B7556" w:rsidRDefault="007B7556" w:rsidP="00325FB3">
      <w:pPr>
        <w:pStyle w:val="nota"/>
      </w:pPr>
      <w:r>
        <w:rPr>
          <w:rStyle w:val="Refdenotaalpie"/>
        </w:rPr>
        <w:footnoteRef/>
      </w:r>
      <w:r>
        <w:t xml:space="preserve"> BELADÍEZ ROJO, M., “El recurso de amparo y la especial trascendencia constitucional”, </w:t>
      </w:r>
      <w:r>
        <w:rPr>
          <w:i/>
        </w:rPr>
        <w:t>Revista General de Derecho Constitucional,</w:t>
      </w:r>
      <w:r>
        <w:t xml:space="preserve"> núm. 25, octubre 2017, pág. 17.</w:t>
      </w:r>
    </w:p>
  </w:footnote>
  <w:footnote w:id="280">
    <w:p w14:paraId="51974077" w14:textId="77777777" w:rsidR="007B7556" w:rsidRDefault="007B7556" w:rsidP="00325FB3">
      <w:pPr>
        <w:pStyle w:val="nota"/>
      </w:pPr>
      <w:r>
        <w:rPr>
          <w:rStyle w:val="Refdenotaalpie"/>
        </w:rPr>
        <w:footnoteRef/>
      </w:r>
      <w:r>
        <w:t xml:space="preserve"> MONTAÑES PARDO, M.A., “La «especial trascendencia constitucional» como presupuesto del recurso de amparo”, pág. 5. Disponible en </w:t>
      </w:r>
      <w:hyperlink r:id="rId9" w:history="1">
        <w:r>
          <w:rPr>
            <w:rStyle w:val="Hipervnculo"/>
          </w:rPr>
          <w:t>https://docplayer.es/47168913-La-especial-trascendencia-constitucional-como-presupuesto-del-recurso-de-amparo.html</w:t>
        </w:r>
      </w:hyperlink>
    </w:p>
  </w:footnote>
  <w:footnote w:id="281">
    <w:p w14:paraId="3290FDD5" w14:textId="3AC537FB" w:rsidR="007B7556" w:rsidRDefault="007B7556" w:rsidP="00174ECA">
      <w:pPr>
        <w:pStyle w:val="nota"/>
      </w:pPr>
      <w:r>
        <w:rPr>
          <w:rStyle w:val="Refdenotaalpie"/>
        </w:rPr>
        <w:footnoteRef/>
      </w:r>
      <w:r>
        <w:t xml:space="preserve"> ORTEGA GUTIÉRREZ, D., “Especial trascendencia constitucional como concepto jurídico indeterminado. De la reforma de 2007 de la LOTC a la STC 155/2009, de 25 de junio”, </w:t>
      </w:r>
      <w:r w:rsidR="004B058B">
        <w:t>o</w:t>
      </w:r>
      <w:r>
        <w:t>. cit., pág. 497.</w:t>
      </w:r>
    </w:p>
  </w:footnote>
  <w:footnote w:id="282">
    <w:p w14:paraId="7F669DBB" w14:textId="77777777" w:rsidR="007B7556" w:rsidRPr="003D0612" w:rsidRDefault="007B7556" w:rsidP="00174ECA">
      <w:pPr>
        <w:pStyle w:val="nota"/>
      </w:pPr>
      <w:r>
        <w:rPr>
          <w:rStyle w:val="Refdenotaalpie"/>
        </w:rPr>
        <w:footnoteRef/>
      </w:r>
      <w:r w:rsidRPr="00590808">
        <w:t xml:space="preserve"> </w:t>
      </w:r>
      <w:r>
        <w:t>CABAÑAS GARCIA, J. C., “El recurso de amparo que queremos (Reflexiones a propósito de la Ley Orgánica 6/2007, de 24 de mayo, de reforma de la Ley Orgánica del Tribunal Constitucional)”, págs. 62-63.</w:t>
      </w:r>
    </w:p>
  </w:footnote>
  <w:footnote w:id="283">
    <w:p w14:paraId="1EBE0878" w14:textId="77777777" w:rsidR="007B7556" w:rsidRDefault="007B7556" w:rsidP="00174ECA">
      <w:pPr>
        <w:pStyle w:val="nota"/>
      </w:pPr>
      <w:r>
        <w:rPr>
          <w:rStyle w:val="Refdenotaalpie"/>
        </w:rPr>
        <w:footnoteRef/>
      </w:r>
      <w:r>
        <w:t xml:space="preserve"> Dispuso el TC en este caso que “Por lo que se refiere a la pretendida falta de especial trascendencia constitucional del recurso, que alega la representación procesal de la asociación ADICAE, también esta objeción debe ser descartada. En la fase de admisión del presente recurso de amparo este Tribunal constató, de acuerdo con lo exigido por el art. 50.1 b) LOTC (RCL 1979, 2383) , al tratarse de una demanda de amparo interpuesta tras la entrada en vigor de la Ley Orgánica 6/2007, de 24 de mayo (RCL 2007, 1000) , que concurría la especial trascendencia constitucional exigida para la admisión a trámite del presente recurso, sin que encontremos razones para modificar esa inicial apreciación en el momento procesal en que ahora nos hallamos. En efecto, es a este Tribunal a quien corresponde apreciar si el contenido del recurso justifica una decisión sobre el fondo en razón de su especial trascendencia constitucional, atendiendo, conforme al art. 50.1 b) LOTC, a «su importancia para la interpretación de la Constitución, para su aplicación o para su general eficacia y para la determinación del contenido y alcance de los derechos fundamentales», criterios que ha desarrollado la STC 155/2009, de 25 de junio (RTC 2009, 155) , F. 2, y entre los que se encuentra el supuesto reseñado en la letra a), esto es cuando se trata de un «recurso que plantee un problema o una faceta de un derecho fundamental susceptible de amparo sobre el que no haya doctrina del Tribunal Constitucional», supuesto que concurre en el presente caso, al impugnarse una resolución judicial por la que, con fundamento en lo previsto en el art. 256.1.6 </w:t>
      </w:r>
      <w:proofErr w:type="spellStart"/>
      <w:r>
        <w:t>LECiv</w:t>
      </w:r>
      <w:proofErr w:type="spellEnd"/>
      <w:r>
        <w:t xml:space="preserve"> (RCL 2000, 34, 962 y RCL 2001, 1892) , se requiere a la entidad bancaria demandante de amparo para que ponga a disposición de la asociación de consumidores solicitante en el proceso de diligencias preliminares, los datos personales en fichero electrónico de los clientes personas físicas de dicha entidad bancaria que hubieran contratado con ésta determinados productos financieros, y alegarse por la demandante de amparo la vulneración del derecho a la tutela judicial efectiva sin indefensión (art. 24.1 CE [RCL 1978, 2836] ), en relación con los derechos a la intimidad (art. 18.1 CE) y a la protección de datos personales (art. 18.4 CE), tratándose de determinar si la previsión contenida en el art. 256.1.6 </w:t>
      </w:r>
      <w:proofErr w:type="spellStart"/>
      <w:r>
        <w:t>LECiv</w:t>
      </w:r>
      <w:proofErr w:type="spellEnd"/>
      <w:r>
        <w:t xml:space="preserve"> puede justificar y con qué límites una medida consistente en ordenar a las entidades bancarias la entrega de datos personales de sus clientes (sin el consentimiento de éstos), a las asociaciones de consumidores para el ejercicio de futuras acciones colectivas”.</w:t>
      </w:r>
    </w:p>
  </w:footnote>
  <w:footnote w:id="284">
    <w:p w14:paraId="7B57AF0B" w14:textId="2D8921A5" w:rsidR="007B7556" w:rsidRDefault="007B7556" w:rsidP="00174ECA">
      <w:pPr>
        <w:pStyle w:val="nota"/>
      </w:pPr>
      <w:r>
        <w:rPr>
          <w:rStyle w:val="Refdenotaalpie"/>
        </w:rPr>
        <w:footnoteRef/>
      </w:r>
      <w:r>
        <w:t xml:space="preserve"> El TC dispuso lo siguiente: “Respecto del segundo de los óbices alegados por la parte oponente en cuanto al contenido y especial trascendencia constitucional del recurso, debe subrayarse que los demandantes han cumplido la carga procesal establecida en el art. 49.1 in fine de la Ley Orgánica del Tribunal Constitucional (LOTC) (RCL 1979, 2383) al justificar la especial trascendencia constitucional del recurso en el hecho de que se trata de una cuestión constitucional novedosa, citando la reciente STC 103/2013, de 25 de abril (RTC 2013, 103) , que resulta de aplicación a juicio de los recurrentes, si bien esta resolución no se pronunció sobre la cuestión esencial de este amparo, consistente en determinar si puede ser nombrado alcalde un concejal que no ha concurrido a las elecciones y en el hecho de que la cuestión trasciende del caso concreto, puesto que esta situación puede repetirse en cualquier ciudad, y que la controversia se refiere directamente a la presentación y proclamación de candidatos a alcalde. Por tanto, cabe entender que los demandantes de amparo conectan materialmente en su demanda la alegada lesión del contenido constitucional del art. 23 CE (RCL 1978, 2836) con diversos criterios que, conforme a lo ya expuesto en la STC 155/2009, de 25 de junio (RTC 2009, 155) , FJ 2, dotarían de trascendencia al recurso, como son que el mismo plantea un problema o una faceta de un derecho fundamental susceptible de amparo sobre el que no hay doctrina del Tribunal Constitucional, lo cual pone de manifiesto asimismo el Ministerio Fiscal en su escrito de alegaciones, y que trasciende del caso en el ámbito del amparo electoral, teniendo ambos supuestos un claro encaje en los apartados a) y g), de la STC 155/2009, de 25 de junio, respectivamente. Estas razones fundamentan la especial trascendencia constitucional del recurso impuesta por el art. 49.1 in fine LOTC, en los términos en que dicha exigencia ha venido concretándose por este Tribunal en reiterados pronunciamientos </w:t>
      </w:r>
      <w:r w:rsidR="004B058B">
        <w:t>(SSTC</w:t>
      </w:r>
      <w:r>
        <w:t xml:space="preserve"> 155/2009, de 25 de junio [RTC 2009, 155</w:t>
      </w:r>
      <w:r w:rsidR="004B058B">
        <w:t>],</w:t>
      </w:r>
      <w:r>
        <w:t xml:space="preserve"> FJ 2, y 17/2011, de 28 de febrero [RTC 2011, 17</w:t>
      </w:r>
      <w:r w:rsidR="004B058B">
        <w:t>],</w:t>
      </w:r>
      <w:r>
        <w:t xml:space="preserve"> FJ 2, y, en el ámbito del amparo electoral, SSTC 168/2011, de 3 de noviembre [RTC 2011, 168</w:t>
      </w:r>
      <w:r w:rsidR="004B058B">
        <w:t>],</w:t>
      </w:r>
      <w:r>
        <w:t xml:space="preserve"> FJ 2, y 105/2012, de 11 de mayo [RTC 2012, 105</w:t>
      </w:r>
      <w:r w:rsidR="004B058B">
        <w:t>],</w:t>
      </w:r>
      <w:r>
        <w:t xml:space="preserve"> FJ 3).”</w:t>
      </w:r>
    </w:p>
  </w:footnote>
  <w:footnote w:id="285">
    <w:p w14:paraId="6DE335D3" w14:textId="77777777" w:rsidR="007B7556" w:rsidRDefault="007B7556" w:rsidP="00174ECA">
      <w:pPr>
        <w:pStyle w:val="nota"/>
      </w:pPr>
      <w:r>
        <w:rPr>
          <w:rStyle w:val="Refdenotaalpie"/>
        </w:rPr>
        <w:footnoteRef/>
      </w:r>
      <w:r>
        <w:t xml:space="preserve"> En este caso, el TC estableció lo siguiente: “La alegación de la carencia de especial transcendencia constitucional tampoco puede ser aceptada. Al ser un requisito material de admisibilidad, el momento procesal idóneo para el análisis de su cumplimiento es el trámite de admisión de la demanda de amparo (STC 191/2013, de 18 de noviembre [RTC 2013, 191], FJ 2). En cualquier caso, este Tribunal afirmó en la STC 155/2009, de 25 de junio (RTC 2009, 155), que entre el elenco de supuestos en que un recurso de amparo tiene especial trascendencia constitucional están aquellos en que se «plantee un problema o una faceta de un derecho fundamental susceptible de amparo sobre el que no haya doctrina del Tribunal Constitucional» (FJ 2). Esta es la circunstancia que concurría en este caso cuando se admitió a trámite el presente recurso de amparo en relación con la eventual incidencia que sobre el derecho a la igualdad y la prohibición de discriminación (art. 14.1 CE [RCL 1978, 2836]) pudiera tener la selección de medios de comunicación en la contratación de publicidad institucional por parte de las Administraciones públicas.”</w:t>
      </w:r>
    </w:p>
  </w:footnote>
  <w:footnote w:id="286">
    <w:p w14:paraId="4094D12B" w14:textId="283829E2" w:rsidR="007B7556" w:rsidRDefault="007B7556" w:rsidP="00174ECA">
      <w:pPr>
        <w:pStyle w:val="nota"/>
      </w:pPr>
      <w:r>
        <w:rPr>
          <w:rStyle w:val="Refdenotaalpie"/>
        </w:rPr>
        <w:footnoteRef/>
      </w:r>
      <w:r>
        <w:t xml:space="preserve"> Véase: GONZÁLEZ ALONSO, A., “¿Ha cambiado algo el recurso de amparo </w:t>
      </w:r>
      <w:r w:rsidR="004B058B">
        <w:t>español tras</w:t>
      </w:r>
      <w:r>
        <w:t xml:space="preserve"> la aprobación de la LO 6/</w:t>
      </w:r>
      <w:r w:rsidR="004B058B">
        <w:t>2007, de</w:t>
      </w:r>
      <w:r>
        <w:t xml:space="preserve"> 24 de mayo?”, </w:t>
      </w:r>
      <w:r w:rsidRPr="00174ECA">
        <w:rPr>
          <w:i/>
          <w:iCs/>
        </w:rPr>
        <w:t>Justicia Administrativa</w:t>
      </w:r>
      <w:r>
        <w:t>, núm. 59, 2013, págs. 17-40.</w:t>
      </w:r>
    </w:p>
  </w:footnote>
  <w:footnote w:id="287">
    <w:p w14:paraId="28293FA8" w14:textId="77777777" w:rsidR="007B7556" w:rsidRDefault="007B7556" w:rsidP="00174ECA">
      <w:pPr>
        <w:pStyle w:val="nota"/>
      </w:pPr>
      <w:r>
        <w:rPr>
          <w:rStyle w:val="Refdenotaalpie"/>
        </w:rPr>
        <w:footnoteRef/>
      </w:r>
      <w:r>
        <w:t xml:space="preserve"> DUQUE VILLANUEVA, J. C., “Doctrina del Tribunal Constitucional durante el primer cuatrimestre de 2017</w:t>
      </w:r>
      <w:r w:rsidRPr="00174ECA">
        <w:rPr>
          <w:i/>
          <w:iCs/>
        </w:rPr>
        <w:t>”, Revista Española de Derecho Constitucional</w:t>
      </w:r>
      <w:r>
        <w:t>, núm. 110, pág. 215 y 216.</w:t>
      </w:r>
    </w:p>
  </w:footnote>
  <w:footnote w:id="288">
    <w:p w14:paraId="517BCC1F" w14:textId="77777777" w:rsidR="007B7556" w:rsidRDefault="007B7556" w:rsidP="00174ECA">
      <w:pPr>
        <w:pStyle w:val="nota"/>
      </w:pPr>
      <w:r>
        <w:rPr>
          <w:rStyle w:val="Refdenotaalpie"/>
        </w:rPr>
        <w:footnoteRef/>
      </w:r>
      <w:r>
        <w:t xml:space="preserve"> BORRAJO INIESTA, I., “Mitos y realidades de la jurisdicción constitucional de amparo: hechos, derecho, pronunciamientos, admisión, costes</w:t>
      </w:r>
      <w:r w:rsidRPr="00174ECA">
        <w:rPr>
          <w:i/>
          <w:iCs/>
        </w:rPr>
        <w:t>”, Teoría y Derecho: revista de pensamiento jurídico</w:t>
      </w:r>
      <w:r>
        <w:t>, núm. 3, 2008, pág. 193.</w:t>
      </w:r>
    </w:p>
  </w:footnote>
  <w:footnote w:id="289">
    <w:p w14:paraId="1552B507" w14:textId="77777777" w:rsidR="007B7556" w:rsidRDefault="007B7556" w:rsidP="00174ECA">
      <w:pPr>
        <w:pStyle w:val="nota"/>
      </w:pPr>
      <w:r w:rsidRPr="00174ECA">
        <w:rPr>
          <w:rStyle w:val="notaCar"/>
        </w:rPr>
        <w:footnoteRef/>
      </w:r>
      <w:r w:rsidRPr="00174ECA">
        <w:rPr>
          <w:rStyle w:val="notaCar"/>
        </w:rPr>
        <w:t xml:space="preserve"> Puede consultarse en este punto: FIGUEROA GUTARRA, E., “La exigencia de especial trascendencia constitucional en el ordenamiento constitucional. Indeterminación y reconstrucción del precedente vinculante”, </w:t>
      </w:r>
      <w:r w:rsidRPr="00174ECA">
        <w:rPr>
          <w:rStyle w:val="notaCar"/>
          <w:i/>
          <w:iCs/>
        </w:rPr>
        <w:t>Revista de Derecho Constitucional</w:t>
      </w:r>
      <w:r w:rsidRPr="00174ECA">
        <w:rPr>
          <w:rStyle w:val="notaCar"/>
        </w:rPr>
        <w:t>, núm. 8, octubre, 2015, págs. 111-132</w:t>
      </w:r>
      <w:r>
        <w:t>.</w:t>
      </w:r>
    </w:p>
  </w:footnote>
  <w:footnote w:id="290">
    <w:p w14:paraId="20F7995F" w14:textId="0CE6B76A" w:rsidR="007B7556" w:rsidRDefault="007B7556" w:rsidP="00174ECA">
      <w:pPr>
        <w:pStyle w:val="nota"/>
      </w:pPr>
      <w:r>
        <w:rPr>
          <w:rStyle w:val="Refdenotaalpie"/>
        </w:rPr>
        <w:footnoteRef/>
      </w:r>
      <w:r>
        <w:t xml:space="preserve"> CABAÑAS GARCIA, J. C., “El recurso de amparo que queremos (Reflexiones a propósito de la Ley Orgánica 6/2007, de 24 de mayo, de reforma de la Ley Orgánica del Tribunal Constitucional)”, </w:t>
      </w:r>
      <w:r w:rsidRPr="00174ECA">
        <w:rPr>
          <w:i/>
          <w:iCs/>
        </w:rPr>
        <w:t>Revista Española de Derecho Constitucional</w:t>
      </w:r>
      <w:r w:rsidRPr="00174ECA">
        <w:t>, núm. 88, enero-abril 2010</w:t>
      </w:r>
      <w:r>
        <w:t>, pág. 64.</w:t>
      </w:r>
    </w:p>
  </w:footnote>
  <w:footnote w:id="291">
    <w:p w14:paraId="55C3A475" w14:textId="77777777" w:rsidR="007B7556" w:rsidRDefault="007B7556" w:rsidP="00174ECA">
      <w:pPr>
        <w:pStyle w:val="nota"/>
      </w:pPr>
      <w:r>
        <w:rPr>
          <w:rStyle w:val="Refdenotaalpie"/>
        </w:rPr>
        <w:footnoteRef/>
      </w:r>
      <w:r>
        <w:t xml:space="preserve">   “En el presente caso, de la lectura de la demanda de amparo se infiere que el recurrente ha realizado este esfuerzo argumental exigible, pues en la misma, además de razonar acerca de la supuesta lesión sobrevenida de sus derechos fundamentales y de los perjuicios que le suponen en sus derechos e intereses las resoluciones judiciales impugnadas, puso de relieve en un apartado específico que la especial trascendencia constitucional radicaba en el contraste de dichas resoluciones con la doctrina que este Tribunal estableció en la STC 93/2008, de 21 de julio, dictada también en un supuesto en que se analizaba una denuncia de dilaciones indebidas originada por causas estructurales del órgano judicial, lo que podría llevar a este Tribunal Constitucional a un proceso de reflexión interno dirigido a un posible cambio de doctrina [supuesto previsto en la letra b), FJ 2, de la STC 155/2009, de 25 de junio]. Con estos antecedentes, se puede entender que se ha cumplimentado la parte recurrente la expresada carga, viniendo a explicitar en su demanda, en definitiva, la proyección objetiva del amparo solicitado”.</w:t>
      </w:r>
    </w:p>
  </w:footnote>
  <w:footnote w:id="292">
    <w:p w14:paraId="4D88F944" w14:textId="77777777" w:rsidR="007B7556" w:rsidRDefault="007B7556" w:rsidP="00174ECA">
      <w:pPr>
        <w:pStyle w:val="nota"/>
      </w:pPr>
      <w:r>
        <w:rPr>
          <w:rStyle w:val="Refdenotaalpie"/>
        </w:rPr>
        <w:footnoteRef/>
      </w:r>
      <w:r>
        <w:t xml:space="preserve"> En palabras del propio TC: “Al demandante le es reclamable, según esta doctrina, un razonable esfuerzo argumental que enlace las infracciones constitucionales denunciadas con algunos de los criterios establecidos en el art. 50.1 b) de la Ley Orgánica del Tribunal Constitucional (LOTC), precepto </w:t>
      </w:r>
    </w:p>
    <w:p w14:paraId="1ACF7A99" w14:textId="77777777" w:rsidR="007B7556" w:rsidRDefault="007B7556" w:rsidP="00174ECA">
      <w:pPr>
        <w:pStyle w:val="nota"/>
      </w:pPr>
      <w:r>
        <w:t>según el cual la especial trascendencia constitucional del recurso se apreciará atendiendo a su importancia para la interpretación de la Constitución, para su aplicación o para su general eficacia y para la determinación del contenido y alcance de los derechos fundamentales [por todas, STC 140/2013, de 8 de julio, FJ 4.c)]”.</w:t>
      </w:r>
    </w:p>
  </w:footnote>
  <w:footnote w:id="293">
    <w:p w14:paraId="249F11B5" w14:textId="77777777" w:rsidR="007B7556" w:rsidRDefault="007B7556" w:rsidP="00174ECA">
      <w:pPr>
        <w:pStyle w:val="nota"/>
      </w:pPr>
      <w:r>
        <w:rPr>
          <w:rStyle w:val="Refdenotaalpie"/>
        </w:rPr>
        <w:footnoteRef/>
      </w:r>
      <w:r>
        <w:t xml:space="preserve"> Un ejemplo de esto es la STC 89/2014, de 9 de julio. En ella el TC señaló que el demandante de amparo no había expuesto correctamente en la demanda de amparo la especial trascendencia constitucional del recurso. No obstante, el Tribunal consideró que de la lectura de la demanda de amparo se desprendía que el recurrente, al menos implícitamente, intentaba poner de </w:t>
      </w:r>
      <w:proofErr w:type="spellStart"/>
      <w:r>
        <w:t>manifesto</w:t>
      </w:r>
      <w:proofErr w:type="spellEnd"/>
      <w:r>
        <w:t xml:space="preserve"> que la ETC radicaba en el contraste de la resolución judicial impugnada con la doctrina que el TC había establecido con anterioridad en la STC 198/1999, de 25 de octubre. Esto, según el TC daba lugar a un proceso de reflexión interna dirigido a un posible cambio de doctrina.</w:t>
      </w:r>
    </w:p>
  </w:footnote>
  <w:footnote w:id="294">
    <w:p w14:paraId="0577033B" w14:textId="77777777" w:rsidR="007B7556" w:rsidRDefault="007B7556" w:rsidP="00174ECA">
      <w:pPr>
        <w:pStyle w:val="nota"/>
        <w:rPr>
          <w:i/>
        </w:rPr>
      </w:pPr>
      <w:r>
        <w:rPr>
          <w:rStyle w:val="Refdenotaalpie"/>
        </w:rPr>
        <w:footnoteRef/>
      </w:r>
      <w:r>
        <w:t xml:space="preserve"> Un ejemplo de ello es la STC 26/2011 de 14 marzo. En el presente supuesto, el recurrente plantea que se le deniega, en su condición de trabajador y varón, la asignación de horario nocturno para su efectiva participación en el cuidado de los hijos menores. La Sala aprecia el surgimiento de nuevas realidades sociales. El TC afirmó lo siguiente: </w:t>
      </w:r>
      <w:r>
        <w:rPr>
          <w:i/>
        </w:rPr>
        <w:t>“En el caso que ahora nos ocupa (…) concurre el requisito (…) para la admisión del recurso de amparo, porque le permite perfilar, como consecuencia del surgimiento de nuevas realidades sociales, la doctrina constitucional sobre el derecho a la no discriminación en el ámbito laboral, cuando es un varón el que insta una modificación de sus condiciones de trabajo para el efectivo logro de la conciliación laboral y familiar, fomentada en nuestro ordenamiento a partir de la Ley 39/1999, de 5 de noviembre, que adoptó medidas tendentes a lograr una efectiva participación del trabajador varón en la vida familiar a través de un reparto equilibrado de las responsabilidades familiares. En efecto, nuestra doctrina ha tenido ocasión de abordar en diversas ocasiones, desde la perspectiva de la interdicción de la discriminación por razón de sexo (art. 14 CE [ RCL 1978, 2836] ), en relación con el mandato constitucional de protección a la familia y a la infancia (art. 39 CE), diferentes asuntos en los que se enjuiciaban decisiones empresariales, validadas judicialmente, que podían suponer un trato peyorativo para la mujer trabajadora, al impedir o dificultar su pretensión de hacer compatibles su trabajo y su vida familiar. El presente asunto permite, como se ha señalado, analizar la incidencia de este tipo de decisiones aparentemente contrarias a la conciliación de la vida familiar y profesional cuando es un hombre el afectado, y examinar si en estos casos puede apreciarse la existencia de una discriminación por razón de sexo o si la eventual lesión ha de incardinarse en alguno de los otros motivos de discriminación que, con carácter no exhaustivo, enumera el art. 14 CE.”</w:t>
      </w:r>
    </w:p>
  </w:footnote>
  <w:footnote w:id="295">
    <w:p w14:paraId="41C3A3EF" w14:textId="77777777" w:rsidR="007B7556" w:rsidRDefault="007B7556" w:rsidP="00174ECA">
      <w:pPr>
        <w:pStyle w:val="nota"/>
      </w:pPr>
      <w:r>
        <w:rPr>
          <w:rStyle w:val="Refdenotaalpie"/>
        </w:rPr>
        <w:footnoteRef/>
      </w:r>
      <w:r>
        <w:t xml:space="preserve"> Se trata de un recurso de amparo electoral planteado por un representante político en las elecciones al Parlamento Asturiano alegando la existencia de una irregularidad invalidante en los votos emitidos por correo al ser dirigidos directamente a la Junta Electoral Provincial y no por vía diplomática o consular como prevé el art 75.4 LOREG. </w:t>
      </w:r>
    </w:p>
    <w:p w14:paraId="0974D5D4" w14:textId="77777777" w:rsidR="007B7556" w:rsidRDefault="007B7556" w:rsidP="00174ECA">
      <w:pPr>
        <w:pStyle w:val="nota"/>
      </w:pPr>
      <w:r>
        <w:t xml:space="preserve">Determinó el TC lo siguiente: </w:t>
      </w:r>
      <w:r>
        <w:rPr>
          <w:i/>
        </w:rPr>
        <w:t>“En efecto, es a este Tribunal a quien corresponde apreciar si el contenido del recurso justifica una decisión sobre el fondo en razón de su especial trascendencia constitucional, atendiendo, conforme al art. 50.1 b) LOTC, a «su importancia para la interpretación de la Constitución, para su aplicación o para su general eficacia y para la determinación del contenido y alcance de los derechos fundamentales», criterios que ha desarrollado la citada STC 155/2009, de 25 de junio (F. 2), y entre los que se encuentra el supuesto reseñado en la letra a), esto es, cuando se trate de «un recurso que plantee un problema o una faceta de un derecho fundamental susceptible de amparo sobre el que no haya doctrina del Tribunal Constitucional», y el enunciado en la letra b), es decir, que se trate de un recurso que dé ocasión al Tribunal Constitucional para perfilar su doctrina por el surgimiento «de cambios normativos relevantes para la configuración del contenido del derecho fundamental» Es notorio que los presentes recursos poseen especial trascendencia constitucional, pues permiten que este Tribunal pueda pronunciarse sobre las garantías del procedimiento de voto por correo de los residentes ausentes tras la reforma introducida al respecto en el art. 75 LOREG por la Ley Orgánica 2/2011, de 28 de enero”.</w:t>
      </w:r>
    </w:p>
  </w:footnote>
  <w:footnote w:id="296">
    <w:p w14:paraId="623BDCDD" w14:textId="77777777" w:rsidR="007B7556" w:rsidRDefault="007B7556" w:rsidP="00174ECA">
      <w:pPr>
        <w:pStyle w:val="nota"/>
      </w:pPr>
      <w:r>
        <w:rPr>
          <w:rStyle w:val="Refdenotaalpie"/>
        </w:rPr>
        <w:footnoteRef/>
      </w:r>
      <w:r>
        <w:t xml:space="preserve"> Artículo 10.2 CE: “Las normas relativas a los derechos fundamentales y a las libertades que la Constitución reconoce se interpretarán de conformidad con la Declaración Universal de Derechos Humanos y los tratados y acuerdos internacionales sobre las mismas materias ratificados por España”.</w:t>
      </w:r>
    </w:p>
  </w:footnote>
  <w:footnote w:id="297">
    <w:p w14:paraId="2D94E2A1" w14:textId="1180695A" w:rsidR="007B7556" w:rsidRDefault="007B7556" w:rsidP="00174ECA">
      <w:pPr>
        <w:pStyle w:val="nota"/>
      </w:pPr>
      <w:r>
        <w:rPr>
          <w:rStyle w:val="Refdenotaalpie"/>
        </w:rPr>
        <w:footnoteRef/>
      </w:r>
      <w:r>
        <w:t xml:space="preserve"> ESQUIVEL ALONSO, Y., “El requisito de la especial trascendencia constitucional «decidir no decidir»”, </w:t>
      </w:r>
      <w:r>
        <w:rPr>
          <w:i/>
        </w:rPr>
        <w:t>Estudios de Deusto. Revista de la Universidad de Deusto,</w:t>
      </w:r>
      <w:r>
        <w:t xml:space="preserve"> pág. 187.</w:t>
      </w:r>
    </w:p>
  </w:footnote>
  <w:footnote w:id="298">
    <w:p w14:paraId="43C6F3E2" w14:textId="77777777" w:rsidR="007B7556" w:rsidRPr="00A4795C" w:rsidRDefault="007B7556" w:rsidP="007347DF">
      <w:pPr>
        <w:pStyle w:val="nota"/>
      </w:pPr>
      <w:r>
        <w:rPr>
          <w:rStyle w:val="Refdenotaalpie"/>
        </w:rPr>
        <w:footnoteRef/>
      </w:r>
      <w:r w:rsidRPr="00A4795C">
        <w:t xml:space="preserve"> </w:t>
      </w:r>
      <w:r>
        <w:t>E</w:t>
      </w:r>
      <w:r w:rsidRPr="00A4795C">
        <w:t>l T</w:t>
      </w:r>
      <w:r>
        <w:t>C</w:t>
      </w:r>
      <w:r w:rsidRPr="00A4795C">
        <w:t xml:space="preserve"> ha incluido incluso en este supuesto una circular administrativa en la STC 15/2011, F.J. 4º. «…la vulneración denunciada tendría su causa en una disposición general como es la instrucción adoptada por el director del Centro Penitenciario La Moraleja, en Dueñas, mediante la nota informativa de 25 de julio de 2006 [STC 155/2009, de 25 de junio, FJ 3, letra c)]…».</w:t>
      </w:r>
    </w:p>
  </w:footnote>
  <w:footnote w:id="299">
    <w:p w14:paraId="42870430" w14:textId="77777777" w:rsidR="007B7556" w:rsidRDefault="007B7556" w:rsidP="007347DF">
      <w:pPr>
        <w:pStyle w:val="nota"/>
      </w:pPr>
      <w:r>
        <w:rPr>
          <w:rStyle w:val="Refdenotaalpie"/>
        </w:rPr>
        <w:footnoteRef/>
      </w:r>
      <w:r>
        <w:t xml:space="preserve"> BELADÍEZ ROJO, M., “El recurso de amparo y la especial trascendencia constitucional”, </w:t>
      </w:r>
      <w:r>
        <w:rPr>
          <w:i/>
        </w:rPr>
        <w:t>Revista General de Derecho Constitucional</w:t>
      </w:r>
      <w:r>
        <w:t>, núm. 25, 2017, págs. 23 y ss.</w:t>
      </w:r>
    </w:p>
  </w:footnote>
  <w:footnote w:id="300">
    <w:p w14:paraId="50B86C2B" w14:textId="77777777" w:rsidR="007B7556" w:rsidRPr="00C6587C" w:rsidRDefault="007B7556" w:rsidP="006F44C0">
      <w:pPr>
        <w:pStyle w:val="nota"/>
      </w:pPr>
      <w:r>
        <w:rPr>
          <w:rStyle w:val="Refdenotaalpie"/>
        </w:rPr>
        <w:footnoteRef/>
      </w:r>
      <w:r w:rsidRPr="00C6587C">
        <w:t xml:space="preserve"> Puede consultarse en este punto:</w:t>
      </w:r>
    </w:p>
    <w:p w14:paraId="6D7D6C80" w14:textId="0BC62B86" w:rsidR="007B7556" w:rsidRPr="00C6587C" w:rsidRDefault="007B7556" w:rsidP="006F44C0">
      <w:pPr>
        <w:pStyle w:val="nota"/>
      </w:pPr>
      <w:r w:rsidRPr="00C6587C">
        <w:t xml:space="preserve">FABEIRO HIDALGO, P., “El nuevo Recurso de amparo”, </w:t>
      </w:r>
      <w:r w:rsidRPr="00C6587C">
        <w:rPr>
          <w:i/>
        </w:rPr>
        <w:t>Revista Vasca de Gestión de Personas y Organizaciones Públicas,</w:t>
      </w:r>
      <w:r w:rsidRPr="00C6587C">
        <w:t xml:space="preserve"> núm. 102, 2015, págs. 170-172.</w:t>
      </w:r>
      <w:r>
        <w:t xml:space="preserve"> </w:t>
      </w:r>
      <w:r w:rsidRPr="00C6587C">
        <w:t xml:space="preserve">CABAÑAS GARCÍA, J.C., “El recurso de amparo que queremos (reflexiones a propósito de la Ley Orgánica 6/2007, de 24 de mayo, de reforma parcial de la Ley Orgánica del Tribunal Constitucional)”, </w:t>
      </w:r>
      <w:r w:rsidRPr="00C6587C">
        <w:rPr>
          <w:i/>
        </w:rPr>
        <w:t>Revista Española de Derecho Constitucional</w:t>
      </w:r>
      <w:r w:rsidRPr="00C6587C">
        <w:t>, pág. 64.</w:t>
      </w:r>
    </w:p>
  </w:footnote>
  <w:footnote w:id="301">
    <w:p w14:paraId="7FB84C47" w14:textId="77777777" w:rsidR="007B7556" w:rsidRPr="00C6587C" w:rsidRDefault="007B7556" w:rsidP="006F44C0">
      <w:pPr>
        <w:pStyle w:val="nota"/>
      </w:pPr>
      <w:r>
        <w:rPr>
          <w:rStyle w:val="Refdenotaalpie"/>
        </w:rPr>
        <w:footnoteRef/>
      </w:r>
      <w:r w:rsidRPr="00C6587C">
        <w:t xml:space="preserve"> Artículo 55.2 LOTC: </w:t>
      </w:r>
      <w:r w:rsidRPr="00C6587C">
        <w:rPr>
          <w:i/>
        </w:rPr>
        <w:t>“En el supuesto de que el recurso de amparo debiera ser estimado porque, a juicio de la Sala o, en su caso, la Sección, la ley aplicada lesione derechos fundamentales o libertades públicas, se elevará la cuestión al Pleno con suspensión del plazo para dictar sentencia, de conformidad con lo prevenido en los artículos 35 y siguientes”.</w:t>
      </w:r>
    </w:p>
  </w:footnote>
  <w:footnote w:id="302">
    <w:p w14:paraId="5C5341A4" w14:textId="77777777" w:rsidR="007B7556" w:rsidRPr="00C6587C" w:rsidRDefault="007B7556" w:rsidP="006F44C0">
      <w:pPr>
        <w:pStyle w:val="nota"/>
      </w:pPr>
      <w:r>
        <w:rPr>
          <w:rStyle w:val="Refdenotaalpie"/>
        </w:rPr>
        <w:footnoteRef/>
      </w:r>
      <w:r w:rsidRPr="00C6587C">
        <w:t xml:space="preserve"> Puede consultarse en este punto:</w:t>
      </w:r>
    </w:p>
    <w:p w14:paraId="010A288B" w14:textId="77777777" w:rsidR="007B7556" w:rsidRPr="00C6587C" w:rsidRDefault="007B7556" w:rsidP="006F44C0">
      <w:pPr>
        <w:pStyle w:val="nota"/>
      </w:pPr>
      <w:r w:rsidRPr="00C6587C">
        <w:t xml:space="preserve">FIGUERUELO BURRIEZA, A., “Algunos problemas que suscita la auto- cuestión de inconstitucionalidad (art. 55.2 de la LOTC)”, </w:t>
      </w:r>
      <w:r w:rsidRPr="00C6587C">
        <w:rPr>
          <w:i/>
        </w:rPr>
        <w:t>Revista Española de Derecho Constitucional</w:t>
      </w:r>
      <w:r w:rsidRPr="00C6587C">
        <w:t>, núm. 21, págs. 230-240.</w:t>
      </w:r>
    </w:p>
  </w:footnote>
  <w:footnote w:id="303">
    <w:p w14:paraId="17CF01F0" w14:textId="7580B583" w:rsidR="007B7556" w:rsidRDefault="007B7556" w:rsidP="006F44C0">
      <w:pPr>
        <w:pStyle w:val="nota"/>
      </w:pPr>
      <w:r>
        <w:rPr>
          <w:rStyle w:val="Refdenotaalpie"/>
        </w:rPr>
        <w:footnoteRef/>
      </w:r>
      <w:r w:rsidRPr="00C6587C">
        <w:t xml:space="preserve"> Para más información, puede consultarse:</w:t>
      </w:r>
      <w:r>
        <w:t xml:space="preserve"> </w:t>
      </w:r>
      <w:r w:rsidRPr="00C6587C">
        <w:t xml:space="preserve">PEREZ TREMPS, P., “La cuestión de inconstitucionalidad en el Derecho Español”, </w:t>
      </w:r>
      <w:r w:rsidRPr="00C6587C">
        <w:rPr>
          <w:i/>
        </w:rPr>
        <w:t>Revista Estudios Constitucionales</w:t>
      </w:r>
      <w:r w:rsidRPr="00C6587C">
        <w:t>, vol. 3, núm. 1, 2005, págs. 127-148.</w:t>
      </w:r>
    </w:p>
  </w:footnote>
  <w:footnote w:id="304">
    <w:p w14:paraId="78E79B57" w14:textId="1C5C4861" w:rsidR="007B7556" w:rsidRPr="00C6587C" w:rsidRDefault="007B7556" w:rsidP="006F44C0">
      <w:pPr>
        <w:pStyle w:val="nota"/>
      </w:pPr>
      <w:r>
        <w:rPr>
          <w:rStyle w:val="Refdenotaalpie"/>
        </w:rPr>
        <w:footnoteRef/>
      </w:r>
      <w:r w:rsidRPr="00C6587C">
        <w:t xml:space="preserve"> Entre otros:</w:t>
      </w:r>
      <w:r>
        <w:t xml:space="preserve"> </w:t>
      </w:r>
      <w:r w:rsidRPr="00C6587C">
        <w:t xml:space="preserve">FABEIRO HIDALGO, P., “El nuevo Recurso de amparo”, </w:t>
      </w:r>
      <w:r w:rsidRPr="00C6587C">
        <w:rPr>
          <w:i/>
        </w:rPr>
        <w:t>Revista Vasca de Gestión de Personas y Organizaciones Públicas</w:t>
      </w:r>
      <w:r w:rsidRPr="00C6587C">
        <w:t>, núm. 102, 2015, págs. 176 y ss.</w:t>
      </w:r>
    </w:p>
  </w:footnote>
  <w:footnote w:id="305">
    <w:p w14:paraId="683F5B81" w14:textId="77777777" w:rsidR="007B7556" w:rsidRPr="00C6587C" w:rsidRDefault="007B7556" w:rsidP="006F44C0">
      <w:pPr>
        <w:pStyle w:val="nota"/>
      </w:pPr>
      <w:r>
        <w:rPr>
          <w:rStyle w:val="Refdenotaalpie"/>
        </w:rPr>
        <w:footnoteRef/>
      </w:r>
      <w:r w:rsidRPr="00C6587C">
        <w:t xml:space="preserve"> </w:t>
      </w:r>
      <w:r w:rsidRPr="00C6587C">
        <w:rPr>
          <w:i/>
        </w:rPr>
        <w:t>“Se hace preciso atemperar el rigor de la valoración relativa a la satisfacción de la carga de justificar la especial trascendencia constitucional. Atendiendo a las alegaciones que contiene la demanda se comprueba que el recurrente argumenta la vulneración del art. 24.1 CE (RCL 1978, 2836) al considerar que los órganos judiciales han aplicado al caso una norma que contraviene el art. 14 CE por permitir una desigualdad de trato y una discriminación entre trabajadores a tiempo completo y a tiempo parcial en materia de cotización para el cálculo de las pensiones de la Seguridad Social. Pues bien, los razonamientos efectuados por el recurrente a este respecto permiten conectar materialmente la alegada lesión con uno de los supuestos en los que cabe apreciar que el contenido del recurso justifica una decisión sobre el fondo en razón de su especial trascendencia constitucional conforme a lo establecido en la STC 155/2009, de 25 de junio (RTC 2009, 155) , a saber, que «la vulneración del derecho fundamental que se denuncia provenga de la ley o de otra disposición de carácter general» [FJ 2, apartado c)]. Por consiguiente, hemos de entender satisfecha en el presente caso la carga de justificar la especial trascendencia constitucional a la que se refiere el art. 49.1 in fine LOTC (RCL 1979, 2383).”</w:t>
      </w:r>
    </w:p>
  </w:footnote>
  <w:footnote w:id="306">
    <w:p w14:paraId="61A64A4A" w14:textId="1FF94669" w:rsidR="007B7556" w:rsidRPr="00C6587C" w:rsidRDefault="007B7556" w:rsidP="006F44C0">
      <w:pPr>
        <w:pStyle w:val="nota"/>
      </w:pPr>
      <w:r>
        <w:rPr>
          <w:rStyle w:val="Refdenotaalpie"/>
        </w:rPr>
        <w:footnoteRef/>
      </w:r>
      <w:r w:rsidRPr="00C6587C">
        <w:t xml:space="preserve"> </w:t>
      </w:r>
      <w:r w:rsidRPr="00C6587C">
        <w:rPr>
          <w:i/>
        </w:rPr>
        <w:t>“Pues bien, ciertamente la demanda de amparo no incluye un apartado dedicado a la justificación de la especial trascendencia constitucional del recurso, pero como ya apreció la STC 118/2014, de 8 de julio, FJ 2, al examinar la demanda de amparo idéntica a esta de la esposa del recurrente, sí se encuentra en su argumentación un razonamiento suficiente en relación con uno de los motivos de especial trascendencia constitucional conforme a lo establecido en la STC 155/2009, de 25 de junio (RTC 2009, 155) , a saber, que «la vulneración del derecho fundamental que se denuncia provenga de la ley o de otra disposición de carácter general» [FJ 2, apartado c)]. Por lo que hemos de entender satisfecha en el presente caso la carga de justificar la especial trascendencia constitucional a la que se refiere el art. 49.1 in fine LOTC (RCL 1979, 2383</w:t>
      </w:r>
      <w:r w:rsidR="004B058B" w:rsidRPr="00C6587C">
        <w:rPr>
          <w:i/>
        </w:rPr>
        <w:t>).</w:t>
      </w:r>
      <w:r w:rsidRPr="00C6587C">
        <w:rPr>
          <w:i/>
        </w:rPr>
        <w:t>”</w:t>
      </w:r>
    </w:p>
  </w:footnote>
  <w:footnote w:id="307">
    <w:p w14:paraId="437CDE56" w14:textId="77777777" w:rsidR="007B7556" w:rsidRPr="00C6587C" w:rsidRDefault="007B7556" w:rsidP="006F44C0">
      <w:pPr>
        <w:pStyle w:val="nota"/>
      </w:pPr>
      <w:r>
        <w:rPr>
          <w:rStyle w:val="Refdenotaalpie"/>
        </w:rPr>
        <w:footnoteRef/>
      </w:r>
      <w:r w:rsidRPr="00C6587C">
        <w:t xml:space="preserve"> MONTAÑÉS PARDO, M., “La «especial trascendencia constitucional» como presupuesto del recurso de amparo”, </w:t>
      </w:r>
      <w:r w:rsidRPr="00C6587C">
        <w:rPr>
          <w:i/>
        </w:rPr>
        <w:t>Revista Otrosí</w:t>
      </w:r>
      <w:r w:rsidRPr="00C6587C">
        <w:t>, núm. 1, 2010, págs. 30 y ss.</w:t>
      </w:r>
    </w:p>
  </w:footnote>
  <w:footnote w:id="308">
    <w:p w14:paraId="286A60D6" w14:textId="3039E47B" w:rsidR="007B7556" w:rsidRPr="00C6587C" w:rsidRDefault="007B7556" w:rsidP="006F44C0">
      <w:pPr>
        <w:pStyle w:val="nota"/>
      </w:pPr>
      <w:r>
        <w:rPr>
          <w:rStyle w:val="Refdenotaalpie"/>
        </w:rPr>
        <w:footnoteRef/>
      </w:r>
      <w:r w:rsidRPr="00C6587C">
        <w:t xml:space="preserve"> ORTEGA GUTIÉRREZ, D., “La especial trascendencia constitucional como concepto jurídico indeterminado. De la reforma de 2007 de la LOTC a la STC 155</w:t>
      </w:r>
      <w:r w:rsidR="004B058B">
        <w:t>/2009, de 25 de junio”</w:t>
      </w:r>
      <w:r w:rsidRPr="00C6587C">
        <w:t>, pág. 510.</w:t>
      </w:r>
    </w:p>
  </w:footnote>
  <w:footnote w:id="309">
    <w:p w14:paraId="1411B22F" w14:textId="77777777" w:rsidR="007B7556" w:rsidRPr="00C6587C" w:rsidRDefault="007B7556" w:rsidP="006F44C0">
      <w:pPr>
        <w:pStyle w:val="nota"/>
      </w:pPr>
      <w:r>
        <w:rPr>
          <w:rStyle w:val="Refdenotaalpie"/>
        </w:rPr>
        <w:footnoteRef/>
      </w:r>
      <w:r w:rsidRPr="00C6587C">
        <w:t xml:space="preserve">CABAÑAS GARCÍA, J.C., “El recurso de amparo que queremos (reflexiones a propósito de la Ley Orgánica 6/2007, de 24 de mayo, de reforma parcial de la Ley Orgánica del Tribunal Constitucional)”, </w:t>
      </w:r>
      <w:r w:rsidRPr="00C6587C">
        <w:rPr>
          <w:i/>
        </w:rPr>
        <w:t>Revista Española de Derecho Constitucional</w:t>
      </w:r>
      <w:r>
        <w:t xml:space="preserve">, </w:t>
      </w:r>
      <w:r w:rsidRPr="00C6587C">
        <w:t>pág. 65.</w:t>
      </w:r>
    </w:p>
  </w:footnote>
  <w:footnote w:id="310">
    <w:p w14:paraId="05ED70A5" w14:textId="77777777" w:rsidR="007B7556" w:rsidRPr="00C6587C" w:rsidRDefault="007B7556" w:rsidP="006F44C0">
      <w:pPr>
        <w:pStyle w:val="nota"/>
        <w:rPr>
          <w:i/>
        </w:rPr>
      </w:pPr>
      <w:r>
        <w:rPr>
          <w:rStyle w:val="Refdenotaalpie"/>
        </w:rPr>
        <w:footnoteRef/>
      </w:r>
      <w:r w:rsidRPr="00C6587C">
        <w:t xml:space="preserve"> </w:t>
      </w:r>
      <w:r w:rsidRPr="00C6587C">
        <w:rPr>
          <w:i/>
        </w:rPr>
        <w:t xml:space="preserve">“d) si la vulneración del derecho fundamental traiga causa de una reiterada interpretación jurisprudencial de la ley que el Tribunal Constitucional considere lesiva del derecho fundamental y crea necesario proclamar otra interpretación conforme a la Constitución. </w:t>
      </w:r>
    </w:p>
    <w:p w14:paraId="01072CEE" w14:textId="77777777" w:rsidR="007B7556" w:rsidRPr="00C6587C" w:rsidRDefault="007B7556" w:rsidP="006F44C0">
      <w:pPr>
        <w:pStyle w:val="nota"/>
      </w:pPr>
      <w:r w:rsidRPr="00C6587C">
        <w:rPr>
          <w:i/>
        </w:rPr>
        <w:t>e) bien cuando la doctrina del Tribunal Constitucional sobre el derecho fundamental que se alega en el recurso esté siendo incumplida de modo general y reiterado por la jurisdicción ordinaria, o existan resoluciones judiciales contradictorias sobre el derecho fundamental, ya sea interpretando de manera distinta la doctrina constitucional, ya sea aplicándola en unos casos y desconociéndola en otros”.</w:t>
      </w:r>
      <w:r w:rsidRPr="00C6587C">
        <w:t xml:space="preserve"> </w:t>
      </w:r>
    </w:p>
  </w:footnote>
  <w:footnote w:id="311">
    <w:p w14:paraId="0B5368C7" w14:textId="77777777" w:rsidR="007B7556" w:rsidRPr="001A3F41" w:rsidRDefault="007B7556" w:rsidP="007347DF">
      <w:pPr>
        <w:pStyle w:val="nota"/>
      </w:pPr>
      <w:r>
        <w:rPr>
          <w:rStyle w:val="Refdenotaalpie"/>
        </w:rPr>
        <w:footnoteRef/>
      </w:r>
      <w:r w:rsidRPr="001A3F41">
        <w:t xml:space="preserve"> </w:t>
      </w:r>
      <w:r>
        <w:t xml:space="preserve">BELADÍEZ ROJO, M., “El recurso de amparo y la especial trascendencia constitucional”, </w:t>
      </w:r>
      <w:r>
        <w:rPr>
          <w:i/>
        </w:rPr>
        <w:t>Revista General de Derecho Constitucional</w:t>
      </w:r>
      <w:r>
        <w:t>, núm. 25, 2017, págs. 26-28.</w:t>
      </w:r>
    </w:p>
  </w:footnote>
  <w:footnote w:id="312">
    <w:p w14:paraId="19E74442" w14:textId="77777777" w:rsidR="007B7556" w:rsidRPr="000006C2" w:rsidRDefault="007B7556" w:rsidP="007347DF">
      <w:pPr>
        <w:pStyle w:val="nota"/>
      </w:pPr>
      <w:r>
        <w:rPr>
          <w:rStyle w:val="Refdenotaalpie"/>
        </w:rPr>
        <w:footnoteRef/>
      </w:r>
      <w:r w:rsidRPr="000006C2">
        <w:t xml:space="preserve"> </w:t>
      </w:r>
      <w:proofErr w:type="spellStart"/>
      <w:r>
        <w:t>Ibídem</w:t>
      </w:r>
      <w:proofErr w:type="spellEnd"/>
      <w:r>
        <w:t xml:space="preserve">. </w:t>
      </w:r>
    </w:p>
  </w:footnote>
  <w:footnote w:id="313">
    <w:p w14:paraId="58324C2A" w14:textId="77777777" w:rsidR="007B7556" w:rsidRPr="00C6587C" w:rsidRDefault="007B7556" w:rsidP="006F44C0">
      <w:pPr>
        <w:pStyle w:val="nota"/>
      </w:pPr>
      <w:r>
        <w:rPr>
          <w:rStyle w:val="Refdenotaalpie"/>
        </w:rPr>
        <w:footnoteRef/>
      </w:r>
      <w:r w:rsidRPr="00C6587C">
        <w:t xml:space="preserve"> MONTAÑES PARDO, M.A. “(La «especial trascendencia…” cit. pág. 34)</w:t>
      </w:r>
    </w:p>
  </w:footnote>
  <w:footnote w:id="314">
    <w:p w14:paraId="1CA0C196" w14:textId="77777777" w:rsidR="007B7556" w:rsidRPr="00C6587C" w:rsidRDefault="007B7556" w:rsidP="006F44C0">
      <w:pPr>
        <w:pStyle w:val="nota"/>
      </w:pPr>
      <w:r>
        <w:rPr>
          <w:rStyle w:val="Refdenotaalpie"/>
        </w:rPr>
        <w:footnoteRef/>
      </w:r>
      <w:r w:rsidRPr="00C6587C">
        <w:t xml:space="preserve"> NOGUEIRA GUASTAVINO, M., “La trascendencia constitucional de la demanda de amparo tras la reforma de la LOTC por la Ley Orgánica 6/2007”, </w:t>
      </w:r>
      <w:r w:rsidRPr="00C6587C">
        <w:rPr>
          <w:i/>
        </w:rPr>
        <w:t>Revista de derecho social</w:t>
      </w:r>
      <w:r w:rsidRPr="00C6587C">
        <w:t>, núm., 2010. pág. 190.</w:t>
      </w:r>
    </w:p>
  </w:footnote>
  <w:footnote w:id="315">
    <w:p w14:paraId="5E2F5CE0" w14:textId="77777777" w:rsidR="007B7556" w:rsidRPr="007B4A4E" w:rsidRDefault="007B7556" w:rsidP="007347DF">
      <w:pPr>
        <w:pStyle w:val="nota"/>
      </w:pPr>
      <w:r>
        <w:rPr>
          <w:rStyle w:val="Refdenotaalpie"/>
        </w:rPr>
        <w:footnoteRef/>
      </w:r>
      <w:r w:rsidRPr="007B4A4E">
        <w:t xml:space="preserve"> CABAÑAS GARCÍA, J.C., “El recurso de amparo que queremos (reflexiones a propósito de la Ley Orgánica 6/2007, de 24 de mayo, de reforma parcial de la Ley Orgánica del Tribunal Constitucional)”, </w:t>
      </w:r>
      <w:r w:rsidRPr="007B4A4E">
        <w:rPr>
          <w:i/>
        </w:rPr>
        <w:t>Revista Española de Derecho Constitucional,</w:t>
      </w:r>
      <w:r w:rsidRPr="007B4A4E">
        <w:t xml:space="preserve"> núm. 88, enero-abril 2010, Centro de Estudios Políticos y Consti</w:t>
      </w:r>
      <w:r>
        <w:t>tucionales, Madrid, pág. 645.</w:t>
      </w:r>
    </w:p>
  </w:footnote>
  <w:footnote w:id="316">
    <w:p w14:paraId="5A0ADEDB" w14:textId="77777777" w:rsidR="007B7556" w:rsidRPr="007B4A4E" w:rsidRDefault="007B7556" w:rsidP="007347DF">
      <w:pPr>
        <w:pStyle w:val="nota"/>
      </w:pPr>
      <w:r>
        <w:rPr>
          <w:rStyle w:val="Refdenotaalpie"/>
        </w:rPr>
        <w:footnoteRef/>
      </w:r>
      <w:r w:rsidRPr="007B4A4E">
        <w:t xml:space="preserve"> </w:t>
      </w:r>
      <w:r>
        <w:t xml:space="preserve">Otros ejemplos serían: </w:t>
      </w:r>
      <w:r w:rsidRPr="007B4A4E">
        <w:t>SSTC 59/2011, 107/2012, 2/2013, 21/2014, 42/2015, F.J. 2, 98/2016 o 89/2016.</w:t>
      </w:r>
    </w:p>
  </w:footnote>
  <w:footnote w:id="317">
    <w:p w14:paraId="6E145D75" w14:textId="11478BE4" w:rsidR="007B7556" w:rsidRPr="00C6587C" w:rsidRDefault="007B7556" w:rsidP="006F44C0">
      <w:pPr>
        <w:pStyle w:val="nota"/>
      </w:pPr>
      <w:r>
        <w:rPr>
          <w:rStyle w:val="Refdenotaalpie"/>
        </w:rPr>
        <w:footnoteRef/>
      </w:r>
      <w:r w:rsidRPr="00C6587C">
        <w:t xml:space="preserve"> </w:t>
      </w:r>
      <w:r w:rsidRPr="00C6587C">
        <w:rPr>
          <w:i/>
        </w:rPr>
        <w:t xml:space="preserve">“El Ministerio Fiscal sustenta su recurso de súplica en el motivo de que la demanda de amparo presenta interés constitucional dado que plantea un asunto en el que la doctrina del Tribunal Constitucional sobre el derecho fundamental que se alega en el recurso está «siendo incumplida de modo general y reiterado por la jurisdicción ordinaria» </w:t>
      </w:r>
      <w:r w:rsidR="004B058B" w:rsidRPr="00C6587C">
        <w:rPr>
          <w:i/>
        </w:rPr>
        <w:t>(STC</w:t>
      </w:r>
      <w:r w:rsidRPr="00C6587C">
        <w:rPr>
          <w:i/>
        </w:rPr>
        <w:t xml:space="preserve"> 155/2009, de 25 de junio [RTC 2009, 155</w:t>
      </w:r>
      <w:r w:rsidR="004B058B" w:rsidRPr="00C6587C">
        <w:rPr>
          <w:i/>
        </w:rPr>
        <w:t>],</w:t>
      </w:r>
      <w:r w:rsidRPr="00C6587C">
        <w:rPr>
          <w:i/>
        </w:rPr>
        <w:t xml:space="preserve"> F. 2). Según su parecer, la cuestión se centra en la aplicación de la doctrina iniciada en la STC 167/2002, de 18 de septiembre (RTC 2002, 167) , y luego reiterada en numerosas Sentencias posteriores, que establece que el respeto a los principios de publicidad, inmediación y contradicción contenidos en el derecho a un proceso con todas las garantías (art. 24.2 CE [RCL 1978, 2836] ) impone inexorablemente que toda condena se fundamente en una actividad probatoria que el órgano judicial haya examinado directa y personalmente y en un debate público en el que se respete la posibilidad de contradicción.</w:t>
      </w:r>
      <w:r>
        <w:rPr>
          <w:i/>
        </w:rPr>
        <w:t>.”</w:t>
      </w:r>
    </w:p>
  </w:footnote>
  <w:footnote w:id="318">
    <w:p w14:paraId="1E5252E8" w14:textId="77777777" w:rsidR="007B7556" w:rsidRPr="00BA733A" w:rsidRDefault="007B7556" w:rsidP="007347DF">
      <w:pPr>
        <w:pStyle w:val="nota"/>
      </w:pPr>
      <w:r>
        <w:rPr>
          <w:rStyle w:val="Refdenotaalpie"/>
        </w:rPr>
        <w:footnoteRef/>
      </w:r>
      <w:r w:rsidRPr="00BA733A">
        <w:t xml:space="preserve"> PÉREZ TREMPS, P. “La especial trascendencia constitucional del recurso de amparo como categoría constitucional: entre ‘morir de éxito’ o ‘vivir en el fracaso’”, UNED. Teoría y Realidad Constitucion</w:t>
      </w:r>
      <w:r>
        <w:t>al, núm. 41, 2018, págs. 266-267</w:t>
      </w:r>
      <w:r w:rsidRPr="00BA733A">
        <w:t>.</w:t>
      </w:r>
    </w:p>
  </w:footnote>
  <w:footnote w:id="319">
    <w:p w14:paraId="57435C6E" w14:textId="77777777" w:rsidR="007B7556" w:rsidRPr="00C6587C" w:rsidRDefault="007B7556" w:rsidP="006F44C0">
      <w:pPr>
        <w:pStyle w:val="nota"/>
      </w:pPr>
      <w:r>
        <w:rPr>
          <w:rStyle w:val="Refdenotaalpie"/>
        </w:rPr>
        <w:footnoteRef/>
      </w:r>
      <w:r w:rsidRPr="00C6587C">
        <w:t xml:space="preserve"> Debemos recordar en este punto lo que dispone el artículo 5.1 LOPJ:</w:t>
      </w:r>
    </w:p>
    <w:p w14:paraId="4E3DD31C" w14:textId="77777777" w:rsidR="007B7556" w:rsidRPr="00C6587C" w:rsidRDefault="007B7556" w:rsidP="006F44C0">
      <w:pPr>
        <w:pStyle w:val="nota"/>
        <w:rPr>
          <w:i/>
        </w:rPr>
      </w:pPr>
      <w:r w:rsidRPr="00C6587C">
        <w:rPr>
          <w:i/>
        </w:rPr>
        <w:t>“La Constitución es la norma suprema del ordenamiento jurídico, y vincula a todos los Jueces y Tribunales, quienes interpretarán y aplicarán las Leyes y los Reglamentos según los preceptos y principios constitucionales, conforme a la interpretación de los mismos que resulte de las resoluciones dictadas por el Tribunal Constitucional en todo tipo de procesos.”</w:t>
      </w:r>
    </w:p>
  </w:footnote>
  <w:footnote w:id="320">
    <w:p w14:paraId="76E73401" w14:textId="73E6E3B9" w:rsidR="007B7556" w:rsidRDefault="007B7556" w:rsidP="003E58F3">
      <w:pPr>
        <w:pStyle w:val="nota"/>
      </w:pPr>
      <w:r>
        <w:rPr>
          <w:rStyle w:val="Refdenotaalpie"/>
        </w:rPr>
        <w:footnoteRef/>
      </w:r>
      <w:r>
        <w:t xml:space="preserve"> </w:t>
      </w:r>
      <w:r w:rsidRPr="00BA733A">
        <w:t>PÉREZ TREMPS, P. “La especial trascendencia constitucional del recurso de amparo como categoría constitucional: entre ‘morir de éxito’ o ‘vivir en el fracaso’”, UNED. Teoría y Realidad Constitucion</w:t>
      </w:r>
      <w:r>
        <w:t>al, núm. 41, 2018, pág. 267.</w:t>
      </w:r>
    </w:p>
  </w:footnote>
  <w:footnote w:id="321">
    <w:p w14:paraId="34D8A945" w14:textId="77777777" w:rsidR="007B7556" w:rsidRPr="00C6587C" w:rsidRDefault="007B7556" w:rsidP="006F44C0">
      <w:pPr>
        <w:pStyle w:val="nota"/>
      </w:pPr>
      <w:r>
        <w:rPr>
          <w:rStyle w:val="Refdenotaalpie"/>
        </w:rPr>
        <w:footnoteRef/>
      </w:r>
      <w:r w:rsidRPr="00C6587C">
        <w:t xml:space="preserve"> AATC 26/2012, de 31 de enero, FJ 3; 47/2017, de 7 de marzo, FJ 2.</w:t>
      </w:r>
    </w:p>
    <w:p w14:paraId="76E29C92" w14:textId="77777777" w:rsidR="007B7556" w:rsidRPr="00C6587C" w:rsidRDefault="007B7556" w:rsidP="006F44C0">
      <w:pPr>
        <w:pStyle w:val="nota"/>
      </w:pPr>
      <w:r w:rsidRPr="00C6587C">
        <w:t>SSTC 133/2011, de 18 de julio, FJ 3; 155/2015, de 8 de junio, FJ 2; 5 /2017, de 16 de enero, FJ 2; AATC 26/2012, de 31 de enero, FJ 3; 47/2017, de 7 de marzo, FJ 2.</w:t>
      </w:r>
    </w:p>
  </w:footnote>
  <w:footnote w:id="322">
    <w:p w14:paraId="6E9D8B71" w14:textId="77777777" w:rsidR="007B7556" w:rsidRPr="00C6587C" w:rsidRDefault="007B7556" w:rsidP="006F44C0">
      <w:pPr>
        <w:pStyle w:val="nota"/>
      </w:pPr>
      <w:r>
        <w:rPr>
          <w:rStyle w:val="Refdenotaalpie"/>
        </w:rPr>
        <w:footnoteRef/>
      </w:r>
      <w:r w:rsidRPr="00C6587C">
        <w:t xml:space="preserve"> BELADÍEZ ROJO, M., “El recurso de amparo y la especial trascendencia constitucional”, págs. 34-37.</w:t>
      </w:r>
    </w:p>
  </w:footnote>
  <w:footnote w:id="323">
    <w:p w14:paraId="2CFB5860" w14:textId="77777777" w:rsidR="007B7556" w:rsidRPr="00C6587C" w:rsidRDefault="007B7556" w:rsidP="006F44C0">
      <w:pPr>
        <w:pStyle w:val="nota"/>
      </w:pPr>
      <w:r>
        <w:rPr>
          <w:rStyle w:val="Refdenotaalpie"/>
        </w:rPr>
        <w:footnoteRef/>
      </w:r>
      <w:r w:rsidRPr="00C6587C">
        <w:t xml:space="preserve"> Así ocurrió en los casos resueltos por las SSTC 147/2009, de 15 de junio, FJ 2; 195/2009, de 28 de septiembre, FJ 5; 206/2009, de 23 de noviembre, FJ 3; 59/2010, de 4 de octubre, FJ 4; 133/2011, de 18 de julio, FJ 3; 1/2013, de 14 de enero; FJ 3; 2/2013, de 14 de enero; FJ 7; 51/2016, de 14 de marzo, FJ 2; 138/2016, FJ 2 y 22/2017, de 13 de febrero, FJ 2.</w:t>
      </w:r>
    </w:p>
  </w:footnote>
  <w:footnote w:id="324">
    <w:p w14:paraId="417A2B20" w14:textId="77777777" w:rsidR="007B7556" w:rsidRPr="00C6587C" w:rsidRDefault="007B7556" w:rsidP="006F44C0">
      <w:pPr>
        <w:pStyle w:val="nota"/>
      </w:pPr>
      <w:r>
        <w:rPr>
          <w:rStyle w:val="Refdenotaalpie"/>
        </w:rPr>
        <w:footnoteRef/>
      </w:r>
      <w:r w:rsidRPr="00C6587C">
        <w:t xml:space="preserve"> </w:t>
      </w:r>
      <w:r w:rsidRPr="00C6587C">
        <w:rPr>
          <w:i/>
        </w:rPr>
        <w:t>“El recurso de amparo, comienza la exposición de la primera de las quejas con la cita los derechos vulnerados. Tras ello, indica que las Sentencias impugnadas desestiman la existencia de la prescripción del delito, «basándose para ello en la inaplicación al caso que nos ocupa de la doctrina dictada al efecto por parte del Tribunal Constitucional», planteando si la aplicación o no de la institución de la prescripción por las Sentencias impugnadas tiene «relevancia constitucional», resolviendo la cuestión afirmativamente con cita de la STC 29/2008, de 20 de febrero. En un segundo momento analiza si en el «caso que nos ocupa se ha producido la vulneración del derecho fundamental a la tutela judicial efectiva y a la libertad por la inaplicación de la prescripción». Ciertamente la demanda no presenta una acabada exposición del presupuesto procesal indicado, sin embargo puede señalarse, que pese a la fecha de interposición de la demanda de amparo, anterior a que se dictara la primera resolución que aborda por vez primera la carga de justificar la especial trascendencia constitucional ( ATC 188/2008, de 21 de julio [ RTC 2008, 188 AUTO] ), el demandante expone, con adelanto, el que será uno de los supuestos en los que este Tribunal ( STC 155/2009, de 25 de junio [ RTC 2009, 155] ), reconocerá la concurrencia de la especial trascendencia constitucional, esto es, la negativa manifiesta del deber de acatamiento de la doctrina del Tribunal Constitucional [F. 2, letra f)], satisfaciendo en tal sentido la demanda, la carga de justificar «la especial trascendencia constitucional del recurso» (art. 49.1 LOTC [ RCL 1979, 2383] ), como «algo distinto a razonar la existencia de la vulneración de un derecho fundamental» (ATC 188/2008, de 21 de julio, F. 2).”</w:t>
      </w:r>
    </w:p>
  </w:footnote>
  <w:footnote w:id="325">
    <w:p w14:paraId="09C36404" w14:textId="3811744B" w:rsidR="007B7556" w:rsidRDefault="007B7556" w:rsidP="007E630E">
      <w:pPr>
        <w:pStyle w:val="nota"/>
      </w:pPr>
      <w:r>
        <w:rPr>
          <w:rStyle w:val="Refdenotaalpie"/>
        </w:rPr>
        <w:footnoteRef/>
      </w:r>
      <w:r>
        <w:t xml:space="preserve"> </w:t>
      </w:r>
      <w:r w:rsidRPr="007E630E">
        <w:t>“</w:t>
      </w:r>
      <w:r w:rsidRPr="007E630E">
        <w:rPr>
          <w:i/>
          <w:iCs/>
        </w:rPr>
        <w:t>Para llevar a cabo el examen de esta queja, cuya especial trascendencia constitucional [art. 50.1 b) LOTC (RCL 1979, 2383) ] deriva, en los términos señalados en la STC 155/2009, de 25 de junio (RTC 2009, 155) , F. 2, del desconocimiento manifiesto del deber de acatamiento de la doctrina del Tribunal Constitucional por parte de la Audiencia Provincial de Asturias (…) rechazando de forma expresa la doctrina constitucional sentada en las citadas SSTC 63/2005 (RTC 2005, 63) y 29/2008 (RTC 2008, 29) , en las que el Tribunal Constitucional sostiene, como ya se ha reproducido, que la simple presentación de una denuncia o querella, sin que medie ningún acto de interposición judicial, no puede interrumpir el plazo de prescripción, pues ello implicaría una falta de respeto a las exigencias de tutela reforzada. Este apartamiento de la doctrina del Tribunal Constitucional no se subsana en la resolución del incidente de nulidad de actuaciones interpuesto por la demandante, sino que, al contrario, éste se inadmite por providencia de 15 de diciembre de 2011. De lo expuesto se desprende claramente, como sostiene el Ministerio Fiscal, que las resoluciones impugnadas incurren en manifiesto desconocimiento del deber de acatamiento de la doctrina del Tribunal Constitucional, lo cual supone una quiebra patente del mandato recogido en el citado art. 5.1 LOPJ (RCL 1985, 1578, 2635) , de la que deriva la consiguiente lesión del derecho de la demandante a la tutela judicial efectiva consagrada en el art. 24.1 CE (SSTC 29/2008, F. 10; 147/2009, de 15 de junio [RTC 2009, 147] , F. 2; 195/2009, de 28 de septiembre [RTC 2009, 195] , F. 6, 206/2009, de 23 de noviembre [RTC 2009, 206] , F. 3, y 133/2011 [RTC 2011, 133] , F. 4, entre otras).”</w:t>
      </w:r>
    </w:p>
  </w:footnote>
  <w:footnote w:id="326">
    <w:p w14:paraId="06D532B6" w14:textId="77777777" w:rsidR="007B7556" w:rsidRPr="00C6587C" w:rsidRDefault="007B7556" w:rsidP="006F44C0">
      <w:pPr>
        <w:pStyle w:val="nota"/>
      </w:pPr>
      <w:r>
        <w:rPr>
          <w:rStyle w:val="Refdenotaalpie"/>
        </w:rPr>
        <w:footnoteRef/>
      </w:r>
      <w:r w:rsidRPr="00C6587C">
        <w:t xml:space="preserve"> BELADÍEZ ROJO, M., “El recurso de amparo y la especial trascendencia constitucional”, pág. 35.</w:t>
      </w:r>
    </w:p>
  </w:footnote>
  <w:footnote w:id="327">
    <w:p w14:paraId="3C07198E" w14:textId="77777777" w:rsidR="007B7556" w:rsidRPr="00007962" w:rsidRDefault="007B7556" w:rsidP="00151DD2">
      <w:pPr>
        <w:pStyle w:val="nota"/>
      </w:pPr>
      <w:r>
        <w:rPr>
          <w:rStyle w:val="Refdenotaalpie"/>
        </w:rPr>
        <w:footnoteRef/>
      </w:r>
      <w:r w:rsidRPr="00007962">
        <w:t xml:space="preserve"> PÉREZ TREMPS, P. “La especial trascendencia constitucional del recurso de amparo como categoría constitucional: entre ‘morir de éxito’ o ‘vivir en el fracaso’”, UNED. Teoría y Realidad Constituciona</w:t>
      </w:r>
      <w:r>
        <w:t xml:space="preserve">l, núm. 41, 2018, pág. 267. </w:t>
      </w:r>
    </w:p>
  </w:footnote>
  <w:footnote w:id="328">
    <w:p w14:paraId="776C2138" w14:textId="01F958A2" w:rsidR="007B7556" w:rsidRPr="00C6587C" w:rsidRDefault="007B7556" w:rsidP="006F44C0">
      <w:pPr>
        <w:pStyle w:val="nota"/>
      </w:pPr>
      <w:r>
        <w:rPr>
          <w:rStyle w:val="Refdenotaalpie"/>
        </w:rPr>
        <w:footnoteRef/>
      </w:r>
      <w:r w:rsidRPr="00C6587C">
        <w:t xml:space="preserve"> BELADÍEZ ROJO, M., “El recurso de amparo y la especial trascendencia constitu</w:t>
      </w:r>
      <w:r w:rsidR="004B058B">
        <w:t>cional”</w:t>
      </w:r>
      <w:r w:rsidRPr="00C6587C">
        <w:t>., págs. 39-40.</w:t>
      </w:r>
    </w:p>
  </w:footnote>
  <w:footnote w:id="329">
    <w:p w14:paraId="0A4349DF" w14:textId="77777777" w:rsidR="007B7556" w:rsidRPr="00C6587C" w:rsidRDefault="007B7556" w:rsidP="006F44C0">
      <w:pPr>
        <w:pStyle w:val="nota"/>
      </w:pPr>
      <w:r>
        <w:rPr>
          <w:rStyle w:val="Refdenotaalpie"/>
        </w:rPr>
        <w:footnoteRef/>
      </w:r>
      <w:r w:rsidRPr="00C6587C">
        <w:t xml:space="preserve"> Entre otras muchas, SSTC 200/2014, 201/2014, 202/2014, todas ellas de 15 de diciembre, FJ 2 1/2015, de 19 de enero, FJ 2; 23/2015, de 16 de febrero, FJ 2; 199/2016, de 28 de noviembre, FJ 2; 212/2016, de 15 de diciembre, FJ 2; 32/2017, FJ 2 y 71/2017, de 5 de junio, FJ 3.</w:t>
      </w:r>
    </w:p>
  </w:footnote>
  <w:footnote w:id="330">
    <w:p w14:paraId="5275B279" w14:textId="77777777" w:rsidR="007B7556" w:rsidRPr="00C6587C" w:rsidRDefault="007B7556" w:rsidP="006F44C0">
      <w:pPr>
        <w:pStyle w:val="nota"/>
      </w:pPr>
      <w:r>
        <w:rPr>
          <w:rStyle w:val="Refdenotaalpie"/>
        </w:rPr>
        <w:footnoteRef/>
      </w:r>
      <w:r w:rsidRPr="00C6587C">
        <w:t xml:space="preserve"> PEREZ TREMPS, P., </w:t>
      </w:r>
      <w:r w:rsidRPr="00C6587C">
        <w:rPr>
          <w:i/>
        </w:rPr>
        <w:t>El recurso de amparo</w:t>
      </w:r>
      <w:r w:rsidRPr="00C6587C">
        <w:t>, Valencia, 2015, pág. 402.</w:t>
      </w:r>
    </w:p>
  </w:footnote>
  <w:footnote w:id="331">
    <w:p w14:paraId="084CAA38" w14:textId="77777777" w:rsidR="007B7556" w:rsidRPr="00C6587C" w:rsidRDefault="007B7556" w:rsidP="006F44C0">
      <w:pPr>
        <w:pStyle w:val="nota"/>
      </w:pPr>
      <w:r>
        <w:rPr>
          <w:rStyle w:val="Refdenotaalpie"/>
        </w:rPr>
        <w:footnoteRef/>
      </w:r>
      <w:r w:rsidRPr="00C6587C">
        <w:t xml:space="preserve"> 74 Entre otras muchas, SSTC 200/2014, 201/2014, 202/2014, todas ellas de 15 de diciembre, FJ 2 ;1/2015 de 19 de enero, FJ 2; 23/2015, de 16 de febrero, FJ 2; 212/2016, de 15 de diciembre FJ 2; 32/2017, de 27 de febrero, FJ 2 y 71/2017, de 5 de junio, FJ 3; en el mismo sentido 10/2016, de 1 de febrero, FJ 3; STC 11/2017, de 30 de enero, FJ 2.</w:t>
      </w:r>
    </w:p>
  </w:footnote>
  <w:footnote w:id="332">
    <w:p w14:paraId="002AED28" w14:textId="77777777" w:rsidR="007B7556" w:rsidRPr="00AB1D17" w:rsidRDefault="007B7556" w:rsidP="00151DD2">
      <w:pPr>
        <w:pStyle w:val="nota"/>
      </w:pPr>
      <w:r>
        <w:rPr>
          <w:rStyle w:val="Refdenotaalpie"/>
        </w:rPr>
        <w:footnoteRef/>
      </w:r>
      <w:r w:rsidRPr="00AB1D17">
        <w:t xml:space="preserve"> CABAÑAS GARCÍA, J.C., “El recurso de amparo que queremos (reflexiones a propósito de la Ley Orgánica 6/2007, de 24 de mayo, de reforma parcial de la Ley Orgánica del Tribunal Constitucional)”, </w:t>
      </w:r>
      <w:r w:rsidRPr="00AB1D17">
        <w:rPr>
          <w:i/>
        </w:rPr>
        <w:t>Revista Española de Derecho Constitucional</w:t>
      </w:r>
      <w:r w:rsidRPr="00AB1D17">
        <w:t>, núm. 88, enero-abril 2010, Centro de Estudios Políticos y Consti</w:t>
      </w:r>
      <w:r>
        <w:t>tucionales, Madrid, pág. 68.</w:t>
      </w:r>
    </w:p>
  </w:footnote>
  <w:footnote w:id="333">
    <w:p w14:paraId="6E08E89F" w14:textId="77777777" w:rsidR="007B7556" w:rsidRDefault="007B7556" w:rsidP="00E90BB3">
      <w:pPr>
        <w:pStyle w:val="nota"/>
      </w:pPr>
      <w:r>
        <w:rPr>
          <w:rStyle w:val="Refdenotaalpie"/>
        </w:rPr>
        <w:footnoteRef/>
      </w:r>
      <w:r>
        <w:t xml:space="preserve"> Datos extraídos de las Memorias publicadas por el TC.</w:t>
      </w:r>
    </w:p>
  </w:footnote>
  <w:footnote w:id="334">
    <w:p w14:paraId="66D101BD" w14:textId="77777777" w:rsidR="007B7556" w:rsidRPr="00F1517B" w:rsidRDefault="007B7556" w:rsidP="00E90BB3">
      <w:pPr>
        <w:pStyle w:val="nota"/>
        <w:rPr>
          <w:rFonts w:asciiTheme="minorHAnsi" w:hAnsiTheme="minorHAnsi"/>
        </w:rPr>
      </w:pPr>
      <w:r>
        <w:rPr>
          <w:rStyle w:val="Refdenotaalpie"/>
        </w:rPr>
        <w:footnoteRef/>
      </w:r>
      <w:r w:rsidRPr="00C6587C">
        <w:t xml:space="preserve"> Los datos han sido extraídos de la Memoria del Tribunal Constitucional del año 2009; la cual puede consultarse en el siguiente enlace: </w:t>
      </w:r>
      <w:hyperlink r:id="rId10" w:anchor="A16" w:history="1">
        <w:r w:rsidRPr="00C6587C">
          <w:rPr>
            <w:rStyle w:val="Hipervnculo"/>
          </w:rPr>
          <w:t>http://www.tribunalconstitucional.es/es/tribunal/estadisticas/Paginas/Estadisticas2009.aspx#A16</w:t>
        </w:r>
      </w:hyperlink>
    </w:p>
  </w:footnote>
  <w:footnote w:id="335">
    <w:p w14:paraId="7B3C91BD" w14:textId="77777777" w:rsidR="007B7556" w:rsidRDefault="007B7556" w:rsidP="00E90BB3">
      <w:pPr>
        <w:pStyle w:val="nota"/>
      </w:pPr>
      <w:r>
        <w:rPr>
          <w:rStyle w:val="Refdenotaalpie"/>
        </w:rPr>
        <w:footnoteRef/>
      </w:r>
      <w:r w:rsidRPr="00C6587C">
        <w:t xml:space="preserve"> </w:t>
      </w:r>
      <w:r>
        <w:t>Todas las cifras y datos que expongo en este apartado han sido extraída de la Memoria del TC de 2014:</w:t>
      </w:r>
    </w:p>
    <w:p w14:paraId="5DAFF6F2" w14:textId="77777777" w:rsidR="007B7556" w:rsidRPr="00C6587C" w:rsidRDefault="00271BCE" w:rsidP="00E90BB3">
      <w:pPr>
        <w:pStyle w:val="nota"/>
      </w:pPr>
      <w:hyperlink r:id="rId11" w:history="1">
        <w:r w:rsidR="007B7556" w:rsidRPr="00C6587C">
          <w:rPr>
            <w:rStyle w:val="Hipervnculo"/>
          </w:rPr>
          <w:t>http://www.tribunalconstitucional.es/es/memorias/Documents/Memoria%202014.pdf</w:t>
        </w:r>
      </w:hyperlink>
    </w:p>
    <w:p w14:paraId="42A18259" w14:textId="77777777" w:rsidR="007B7556" w:rsidRDefault="007B7556" w:rsidP="00E90BB3">
      <w:pPr>
        <w:pStyle w:val="Textonotapie"/>
      </w:pPr>
    </w:p>
  </w:footnote>
  <w:footnote w:id="336">
    <w:p w14:paraId="49126167" w14:textId="77777777" w:rsidR="007B7556" w:rsidRPr="00C6587C" w:rsidRDefault="007B7556" w:rsidP="00E90BB3">
      <w:pPr>
        <w:pStyle w:val="nota"/>
      </w:pPr>
      <w:r>
        <w:rPr>
          <w:rStyle w:val="Refdenotaalpie"/>
        </w:rPr>
        <w:footnoteRef/>
      </w:r>
      <w:r w:rsidRPr="00C6587C">
        <w:t xml:space="preserve"> </w:t>
      </w:r>
      <w:r>
        <w:t>Todas las cifras y datos que expongo en este apartado han sido extraída de la Memoria del TC de 2015:</w:t>
      </w:r>
    </w:p>
    <w:p w14:paraId="612F9AC9" w14:textId="77777777" w:rsidR="007B7556" w:rsidRDefault="00271BCE" w:rsidP="00E90BB3">
      <w:pPr>
        <w:pStyle w:val="nota"/>
      </w:pPr>
      <w:hyperlink r:id="rId12" w:history="1">
        <w:r w:rsidR="007B7556" w:rsidRPr="00C6587C">
          <w:rPr>
            <w:rStyle w:val="Hipervnculo"/>
          </w:rPr>
          <w:t>http://www.tribunalconstitucional.es/es/memorias/Documents/Memoria-2015.pdf</w:t>
        </w:r>
      </w:hyperlink>
    </w:p>
  </w:footnote>
  <w:footnote w:id="337">
    <w:p w14:paraId="7A520036" w14:textId="77777777" w:rsidR="007B7556" w:rsidRPr="00C6587C" w:rsidRDefault="007B7556" w:rsidP="00E90BB3">
      <w:pPr>
        <w:pStyle w:val="nota"/>
      </w:pPr>
      <w:r>
        <w:rPr>
          <w:rStyle w:val="Refdenotaalpie"/>
        </w:rPr>
        <w:footnoteRef/>
      </w:r>
      <w:r w:rsidRPr="00C6587C">
        <w:t xml:space="preserve"> </w:t>
      </w:r>
      <w:r>
        <w:t>Todas las cifras y datos que expongo en este apartado han sido extraída de la Memoria del TC de 2016:</w:t>
      </w:r>
      <w:r w:rsidRPr="00C6587C">
        <w:t xml:space="preserve"> </w:t>
      </w:r>
    </w:p>
    <w:p w14:paraId="36DF06BD" w14:textId="77777777" w:rsidR="007B7556" w:rsidRPr="00C6587C" w:rsidRDefault="00271BCE" w:rsidP="00E90BB3">
      <w:pPr>
        <w:pStyle w:val="nota"/>
      </w:pPr>
      <w:hyperlink r:id="rId13" w:history="1">
        <w:r w:rsidR="007B7556" w:rsidRPr="00C6587C">
          <w:rPr>
            <w:rStyle w:val="Hipervnculo"/>
          </w:rPr>
          <w:t>http://www.tribunalconstitucional.es/es/memorias/Documents/Memoria-2016.pdf</w:t>
        </w:r>
      </w:hyperlink>
    </w:p>
    <w:p w14:paraId="25124286" w14:textId="77777777" w:rsidR="007B7556" w:rsidRDefault="007B7556" w:rsidP="00E90BB3">
      <w:pPr>
        <w:pStyle w:val="Textonotapi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9171C8" w14:textId="77777777" w:rsidR="007B7556" w:rsidRDefault="007B7556" w:rsidP="00847F51">
    <w:pPr>
      <w:pStyle w:val="Encabezado"/>
      <w:jc w:val="right"/>
    </w:pPr>
    <w:r>
      <w:t>Ana López Navío.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DB3950"/>
    <w:multiLevelType w:val="hybridMultilevel"/>
    <w:tmpl w:val="348A1C54"/>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 w15:restartNumberingAfterBreak="0">
    <w:nsid w:val="049622FD"/>
    <w:multiLevelType w:val="hybridMultilevel"/>
    <w:tmpl w:val="A1CA46AC"/>
    <w:lvl w:ilvl="0" w:tplc="6228EE38">
      <w:start w:val="570"/>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58616BA"/>
    <w:multiLevelType w:val="hybridMultilevel"/>
    <w:tmpl w:val="6E60D50A"/>
    <w:lvl w:ilvl="0" w:tplc="4672E90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7463EB3"/>
    <w:multiLevelType w:val="hybridMultilevel"/>
    <w:tmpl w:val="7B445C1C"/>
    <w:lvl w:ilvl="0" w:tplc="3E14F1A8">
      <w:start w:val="1"/>
      <w:numFmt w:val="decimal"/>
      <w:lvlText w:val="%1)"/>
      <w:lvlJc w:val="left"/>
      <w:pPr>
        <w:ind w:left="1070" w:hanging="71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08FB3E3E"/>
    <w:multiLevelType w:val="hybridMultilevel"/>
    <w:tmpl w:val="42122F4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0B102238"/>
    <w:multiLevelType w:val="hybridMultilevel"/>
    <w:tmpl w:val="E63E6A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0C961738"/>
    <w:multiLevelType w:val="hybridMultilevel"/>
    <w:tmpl w:val="D5C6B7B6"/>
    <w:lvl w:ilvl="0" w:tplc="1F7407E6">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3FA00C1"/>
    <w:multiLevelType w:val="hybridMultilevel"/>
    <w:tmpl w:val="28189CCA"/>
    <w:lvl w:ilvl="0" w:tplc="0C0A0005">
      <w:start w:val="1"/>
      <w:numFmt w:val="bullet"/>
      <w:lvlText w:val=""/>
      <w:lvlJc w:val="left"/>
      <w:pPr>
        <w:ind w:left="1429" w:hanging="360"/>
      </w:pPr>
      <w:rPr>
        <w:rFonts w:ascii="Wingdings" w:hAnsi="Wingdings"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 w15:restartNumberingAfterBreak="0">
    <w:nsid w:val="183613F9"/>
    <w:multiLevelType w:val="hybridMultilevel"/>
    <w:tmpl w:val="29DC3084"/>
    <w:lvl w:ilvl="0" w:tplc="8A44E6DC">
      <w:start w:val="3"/>
      <w:numFmt w:val="bullet"/>
      <w:lvlText w:val="-"/>
      <w:lvlJc w:val="left"/>
      <w:pPr>
        <w:ind w:left="1065" w:hanging="360"/>
      </w:pPr>
      <w:rPr>
        <w:rFonts w:ascii="Times New Roman" w:eastAsiaTheme="minorHAnsi" w:hAnsi="Times New Roman" w:cs="Times New Roman"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9" w15:restartNumberingAfterBreak="0">
    <w:nsid w:val="1A502320"/>
    <w:multiLevelType w:val="hybridMultilevel"/>
    <w:tmpl w:val="5C7C6C6C"/>
    <w:lvl w:ilvl="0" w:tplc="27B4A7A6">
      <w:start w:val="24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E903953"/>
    <w:multiLevelType w:val="hybridMultilevel"/>
    <w:tmpl w:val="25C4337E"/>
    <w:lvl w:ilvl="0" w:tplc="9FCCFF84">
      <w:start w:val="1"/>
      <w:numFmt w:val="upperRoman"/>
      <w:pStyle w:val="Ttulo2"/>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0080CE4"/>
    <w:multiLevelType w:val="hybridMultilevel"/>
    <w:tmpl w:val="B2D633C4"/>
    <w:lvl w:ilvl="0" w:tplc="0C0A000F">
      <w:start w:val="1"/>
      <w:numFmt w:val="decimal"/>
      <w:lvlText w:val="%1."/>
      <w:lvlJc w:val="left"/>
      <w:pPr>
        <w:ind w:left="720" w:hanging="360"/>
      </w:pPr>
    </w:lvl>
    <w:lvl w:ilvl="1" w:tplc="6040FAE4">
      <w:start w:val="1"/>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0F5139F"/>
    <w:multiLevelType w:val="hybridMultilevel"/>
    <w:tmpl w:val="8CFAD450"/>
    <w:lvl w:ilvl="0" w:tplc="1F7407E6">
      <w:numFmt w:val="bullet"/>
      <w:lvlText w:val="–"/>
      <w:lvlJc w:val="left"/>
      <w:pPr>
        <w:ind w:left="900" w:hanging="54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3A070BA"/>
    <w:multiLevelType w:val="hybridMultilevel"/>
    <w:tmpl w:val="BA5047A8"/>
    <w:lvl w:ilvl="0" w:tplc="4672E90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9EE4481"/>
    <w:multiLevelType w:val="hybridMultilevel"/>
    <w:tmpl w:val="3384AF3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C090E35"/>
    <w:multiLevelType w:val="multilevel"/>
    <w:tmpl w:val="87C414D8"/>
    <w:lvl w:ilvl="0">
      <w:start w:val="1"/>
      <w:numFmt w:val="decimal"/>
      <w:lvlText w:val="%1."/>
      <w:lvlJc w:val="left"/>
      <w:pPr>
        <w:ind w:left="432" w:hanging="432"/>
      </w:pPr>
      <w:rPr>
        <w:rFonts w:ascii="Times New Roman" w:eastAsia="Times New Roman" w:hAnsi="Times New Roman" w:cs="Times New Roman"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6" w15:restartNumberingAfterBreak="0">
    <w:nsid w:val="361741DD"/>
    <w:multiLevelType w:val="hybridMultilevel"/>
    <w:tmpl w:val="1C429AE4"/>
    <w:lvl w:ilvl="0" w:tplc="3DFEADD6">
      <w:start w:val="1"/>
      <w:numFmt w:val="lowerLetter"/>
      <w:pStyle w:val="Ttulo5"/>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36C1466E"/>
    <w:multiLevelType w:val="hybridMultilevel"/>
    <w:tmpl w:val="62D627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C4852AD"/>
    <w:multiLevelType w:val="hybridMultilevel"/>
    <w:tmpl w:val="1526DB44"/>
    <w:lvl w:ilvl="0" w:tplc="4672E906">
      <w:numFmt w:val="bullet"/>
      <w:lvlText w:val="-"/>
      <w:lvlJc w:val="left"/>
      <w:pPr>
        <w:ind w:left="1069" w:hanging="360"/>
      </w:pPr>
      <w:rPr>
        <w:rFonts w:ascii="Times New Roman" w:eastAsia="Times New Roman" w:hAnsi="Times New Roman" w:cs="Times New Roman"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9" w15:restartNumberingAfterBreak="0">
    <w:nsid w:val="3EA4583B"/>
    <w:multiLevelType w:val="hybridMultilevel"/>
    <w:tmpl w:val="EE9C5F1E"/>
    <w:lvl w:ilvl="0" w:tplc="27B4A7A6">
      <w:start w:val="24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3F9C11E0"/>
    <w:multiLevelType w:val="hybridMultilevel"/>
    <w:tmpl w:val="DF4E75C2"/>
    <w:lvl w:ilvl="0" w:tplc="4672E90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C691A4E"/>
    <w:multiLevelType w:val="hybridMultilevel"/>
    <w:tmpl w:val="92787B28"/>
    <w:lvl w:ilvl="0" w:tplc="B6C4FCA2">
      <w:start w:val="1"/>
      <w:numFmt w:val="lowerLetter"/>
      <w:lvlText w:val="%1)"/>
      <w:lvlJc w:val="left"/>
      <w:pPr>
        <w:ind w:left="1785" w:hanging="360"/>
      </w:pPr>
      <w:rPr>
        <w:rFonts w:hint="default"/>
      </w:rPr>
    </w:lvl>
    <w:lvl w:ilvl="1" w:tplc="0C0A0019" w:tentative="1">
      <w:start w:val="1"/>
      <w:numFmt w:val="lowerLetter"/>
      <w:lvlText w:val="%2."/>
      <w:lvlJc w:val="left"/>
      <w:pPr>
        <w:ind w:left="2505" w:hanging="360"/>
      </w:pPr>
    </w:lvl>
    <w:lvl w:ilvl="2" w:tplc="0C0A001B" w:tentative="1">
      <w:start w:val="1"/>
      <w:numFmt w:val="lowerRoman"/>
      <w:lvlText w:val="%3."/>
      <w:lvlJc w:val="right"/>
      <w:pPr>
        <w:ind w:left="3225" w:hanging="180"/>
      </w:pPr>
    </w:lvl>
    <w:lvl w:ilvl="3" w:tplc="0C0A000F" w:tentative="1">
      <w:start w:val="1"/>
      <w:numFmt w:val="decimal"/>
      <w:lvlText w:val="%4."/>
      <w:lvlJc w:val="left"/>
      <w:pPr>
        <w:ind w:left="3945" w:hanging="360"/>
      </w:pPr>
    </w:lvl>
    <w:lvl w:ilvl="4" w:tplc="0C0A0019" w:tentative="1">
      <w:start w:val="1"/>
      <w:numFmt w:val="lowerLetter"/>
      <w:lvlText w:val="%5."/>
      <w:lvlJc w:val="left"/>
      <w:pPr>
        <w:ind w:left="4665" w:hanging="360"/>
      </w:pPr>
    </w:lvl>
    <w:lvl w:ilvl="5" w:tplc="0C0A001B" w:tentative="1">
      <w:start w:val="1"/>
      <w:numFmt w:val="lowerRoman"/>
      <w:lvlText w:val="%6."/>
      <w:lvlJc w:val="right"/>
      <w:pPr>
        <w:ind w:left="5385" w:hanging="180"/>
      </w:pPr>
    </w:lvl>
    <w:lvl w:ilvl="6" w:tplc="0C0A000F" w:tentative="1">
      <w:start w:val="1"/>
      <w:numFmt w:val="decimal"/>
      <w:lvlText w:val="%7."/>
      <w:lvlJc w:val="left"/>
      <w:pPr>
        <w:ind w:left="6105" w:hanging="360"/>
      </w:pPr>
    </w:lvl>
    <w:lvl w:ilvl="7" w:tplc="0C0A0019" w:tentative="1">
      <w:start w:val="1"/>
      <w:numFmt w:val="lowerLetter"/>
      <w:lvlText w:val="%8."/>
      <w:lvlJc w:val="left"/>
      <w:pPr>
        <w:ind w:left="6825" w:hanging="360"/>
      </w:pPr>
    </w:lvl>
    <w:lvl w:ilvl="8" w:tplc="0C0A001B" w:tentative="1">
      <w:start w:val="1"/>
      <w:numFmt w:val="lowerRoman"/>
      <w:lvlText w:val="%9."/>
      <w:lvlJc w:val="right"/>
      <w:pPr>
        <w:ind w:left="7545" w:hanging="180"/>
      </w:pPr>
    </w:lvl>
  </w:abstractNum>
  <w:abstractNum w:abstractNumId="22" w15:restartNumberingAfterBreak="0">
    <w:nsid w:val="53D83A72"/>
    <w:multiLevelType w:val="hybridMultilevel"/>
    <w:tmpl w:val="1AAA3660"/>
    <w:lvl w:ilvl="0" w:tplc="4672E90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A5A797D"/>
    <w:multiLevelType w:val="hybridMultilevel"/>
    <w:tmpl w:val="EF82F7C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E007FF6"/>
    <w:multiLevelType w:val="hybridMultilevel"/>
    <w:tmpl w:val="C17426E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EE675F1"/>
    <w:multiLevelType w:val="hybridMultilevel"/>
    <w:tmpl w:val="F110A1F8"/>
    <w:lvl w:ilvl="0" w:tplc="0C0A000F">
      <w:start w:val="1"/>
      <w:numFmt w:val="decimal"/>
      <w:lvlText w:val="%1."/>
      <w:lvlJc w:val="left"/>
      <w:pPr>
        <w:ind w:left="780" w:hanging="360"/>
      </w:p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26" w15:restartNumberingAfterBreak="0">
    <w:nsid w:val="5F866AB8"/>
    <w:multiLevelType w:val="hybridMultilevel"/>
    <w:tmpl w:val="D598D562"/>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80D168E"/>
    <w:multiLevelType w:val="hybridMultilevel"/>
    <w:tmpl w:val="152EE774"/>
    <w:lvl w:ilvl="0" w:tplc="FA04F26C">
      <w:start w:val="1"/>
      <w:numFmt w:val="upperLetter"/>
      <w:pStyle w:val="Ttulo4"/>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A0D4EF4"/>
    <w:multiLevelType w:val="hybridMultilevel"/>
    <w:tmpl w:val="8D4057DE"/>
    <w:lvl w:ilvl="0" w:tplc="4672E906">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BDA6BC1"/>
    <w:multiLevelType w:val="hybridMultilevel"/>
    <w:tmpl w:val="3EB4FE5E"/>
    <w:lvl w:ilvl="0" w:tplc="9FA8604C">
      <w:start w:val="1"/>
      <w:numFmt w:val="decimal"/>
      <w:pStyle w:val="Ttulo3"/>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F5D1654"/>
    <w:multiLevelType w:val="multilevel"/>
    <w:tmpl w:val="055A8BBE"/>
    <w:lvl w:ilvl="0">
      <w:start w:val="1"/>
      <w:numFmt w:val="decimal"/>
      <w:pStyle w:val="PORTADA"/>
      <w:lvlText w:val="%1."/>
      <w:lvlJc w:val="left"/>
      <w:pPr>
        <w:ind w:left="432" w:hanging="432"/>
      </w:pPr>
      <w:rPr>
        <w:rFonts w:ascii="Times New Roman" w:eastAsia="Times New Roman" w:hAnsi="Times New Roman" w:cs="Times New Roman"/>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71E77652"/>
    <w:multiLevelType w:val="hybridMultilevel"/>
    <w:tmpl w:val="D4A43498"/>
    <w:lvl w:ilvl="0" w:tplc="6228EE38">
      <w:start w:val="570"/>
      <w:numFmt w:val="bullet"/>
      <w:lvlText w:val="-"/>
      <w:lvlJc w:val="left"/>
      <w:pPr>
        <w:ind w:left="720" w:hanging="360"/>
      </w:pPr>
      <w:rPr>
        <w:rFonts w:ascii="Times New Roman" w:eastAsiaTheme="minorHAns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762132A9"/>
    <w:multiLevelType w:val="hybridMultilevel"/>
    <w:tmpl w:val="7CE855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F1D3FFE"/>
    <w:multiLevelType w:val="hybridMultilevel"/>
    <w:tmpl w:val="C6DECA78"/>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7"/>
  </w:num>
  <w:num w:numId="2">
    <w:abstractNumId w:val="18"/>
  </w:num>
  <w:num w:numId="3">
    <w:abstractNumId w:val="30"/>
  </w:num>
  <w:num w:numId="4">
    <w:abstractNumId w:val="15"/>
  </w:num>
  <w:num w:numId="5">
    <w:abstractNumId w:val="20"/>
  </w:num>
  <w:num w:numId="6">
    <w:abstractNumId w:val="13"/>
  </w:num>
  <w:num w:numId="7">
    <w:abstractNumId w:val="8"/>
  </w:num>
  <w:num w:numId="8">
    <w:abstractNumId w:val="21"/>
  </w:num>
  <w:num w:numId="9">
    <w:abstractNumId w:val="32"/>
  </w:num>
  <w:num w:numId="10">
    <w:abstractNumId w:val="23"/>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2"/>
  </w:num>
  <w:num w:numId="14">
    <w:abstractNumId w:val="19"/>
  </w:num>
  <w:num w:numId="15">
    <w:abstractNumId w:val="1"/>
  </w:num>
  <w:num w:numId="16">
    <w:abstractNumId w:val="11"/>
  </w:num>
  <w:num w:numId="17">
    <w:abstractNumId w:val="31"/>
  </w:num>
  <w:num w:numId="18">
    <w:abstractNumId w:val="33"/>
  </w:num>
  <w:num w:numId="19">
    <w:abstractNumId w:val="9"/>
  </w:num>
  <w:num w:numId="20">
    <w:abstractNumId w:val="26"/>
  </w:num>
  <w:num w:numId="21">
    <w:abstractNumId w:val="0"/>
  </w:num>
  <w:num w:numId="22">
    <w:abstractNumId w:val="24"/>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10"/>
    <w:lvlOverride w:ilvl="0">
      <w:startOverride w:val="1"/>
    </w:lvlOverride>
  </w:num>
  <w:num w:numId="26">
    <w:abstractNumId w:val="29"/>
  </w:num>
  <w:num w:numId="27">
    <w:abstractNumId w:val="29"/>
    <w:lvlOverride w:ilvl="0">
      <w:startOverride w:val="1"/>
    </w:lvlOverride>
  </w:num>
  <w:num w:numId="28">
    <w:abstractNumId w:val="25"/>
  </w:num>
  <w:num w:numId="29">
    <w:abstractNumId w:val="27"/>
  </w:num>
  <w:num w:numId="30">
    <w:abstractNumId w:val="16"/>
  </w:num>
  <w:num w:numId="31">
    <w:abstractNumId w:val="2"/>
  </w:num>
  <w:num w:numId="32">
    <w:abstractNumId w:val="22"/>
  </w:num>
  <w:num w:numId="33">
    <w:abstractNumId w:val="29"/>
    <w:lvlOverride w:ilvl="0">
      <w:startOverride w:val="1"/>
    </w:lvlOverride>
  </w:num>
  <w:num w:numId="34">
    <w:abstractNumId w:val="27"/>
    <w:lvlOverride w:ilvl="0">
      <w:startOverride w:val="1"/>
    </w:lvlOverride>
  </w:num>
  <w:num w:numId="35">
    <w:abstractNumId w:val="27"/>
    <w:lvlOverride w:ilvl="0">
      <w:startOverride w:val="1"/>
    </w:lvlOverride>
  </w:num>
  <w:num w:numId="36">
    <w:abstractNumId w:val="27"/>
    <w:lvlOverride w:ilvl="0">
      <w:startOverride w:val="1"/>
    </w:lvlOverride>
  </w:num>
  <w:num w:numId="37">
    <w:abstractNumId w:val="27"/>
    <w:lvlOverride w:ilvl="0">
      <w:startOverride w:val="1"/>
    </w:lvlOverride>
  </w:num>
  <w:num w:numId="38">
    <w:abstractNumId w:val="27"/>
    <w:lvlOverride w:ilvl="0">
      <w:startOverride w:val="1"/>
    </w:lvlOverride>
  </w:num>
  <w:num w:numId="39">
    <w:abstractNumId w:val="29"/>
    <w:lvlOverride w:ilvl="0">
      <w:startOverride w:val="1"/>
    </w:lvlOverride>
  </w:num>
  <w:num w:numId="40">
    <w:abstractNumId w:val="29"/>
    <w:lvlOverride w:ilvl="0">
      <w:startOverride w:val="1"/>
    </w:lvlOverride>
  </w:num>
  <w:num w:numId="41">
    <w:abstractNumId w:val="29"/>
    <w:lvlOverride w:ilvl="0">
      <w:startOverride w:val="1"/>
    </w:lvlOverride>
  </w:num>
  <w:num w:numId="42">
    <w:abstractNumId w:val="27"/>
    <w:lvlOverride w:ilvl="0">
      <w:startOverride w:val="1"/>
    </w:lvlOverride>
  </w:num>
  <w:num w:numId="43">
    <w:abstractNumId w:val="29"/>
    <w:lvlOverride w:ilvl="0">
      <w:startOverride w:val="1"/>
    </w:lvlOverride>
  </w:num>
  <w:num w:numId="44">
    <w:abstractNumId w:val="16"/>
    <w:lvlOverride w:ilvl="0">
      <w:startOverride w:val="1"/>
    </w:lvlOverride>
  </w:num>
  <w:num w:numId="45">
    <w:abstractNumId w:val="29"/>
    <w:lvlOverride w:ilvl="0">
      <w:startOverride w:val="1"/>
    </w:lvlOverride>
  </w:num>
  <w:num w:numId="46">
    <w:abstractNumId w:val="29"/>
    <w:lvlOverride w:ilvl="0">
      <w:startOverride w:val="1"/>
    </w:lvlOverride>
  </w:num>
  <w:num w:numId="47">
    <w:abstractNumId w:val="27"/>
    <w:lvlOverride w:ilvl="0">
      <w:startOverride w:val="1"/>
    </w:lvlOverride>
  </w:num>
  <w:num w:numId="48">
    <w:abstractNumId w:val="27"/>
    <w:lvlOverride w:ilvl="0">
      <w:startOverride w:val="1"/>
    </w:lvlOverride>
  </w:num>
  <w:num w:numId="49">
    <w:abstractNumId w:val="27"/>
    <w:lvlOverride w:ilvl="0">
      <w:startOverride w:val="1"/>
    </w:lvlOverride>
  </w:num>
  <w:num w:numId="50">
    <w:abstractNumId w:val="10"/>
    <w:lvlOverride w:ilvl="0">
      <w:startOverride w:val="1"/>
    </w:lvlOverride>
  </w:num>
  <w:num w:numId="51">
    <w:abstractNumId w:val="10"/>
  </w:num>
  <w:num w:numId="52">
    <w:abstractNumId w:val="10"/>
    <w:lvlOverride w:ilvl="0">
      <w:startOverride w:val="1"/>
    </w:lvlOverride>
  </w:num>
  <w:num w:numId="53">
    <w:abstractNumId w:val="29"/>
    <w:lvlOverride w:ilvl="0">
      <w:startOverride w:val="1"/>
    </w:lvlOverride>
  </w:num>
  <w:num w:numId="54">
    <w:abstractNumId w:val="27"/>
    <w:lvlOverride w:ilvl="0">
      <w:startOverride w:val="1"/>
    </w:lvlOverride>
  </w:num>
  <w:num w:numId="55">
    <w:abstractNumId w:val="27"/>
    <w:lvlOverride w:ilvl="0">
      <w:startOverride w:val="1"/>
    </w:lvlOverride>
  </w:num>
  <w:num w:numId="56">
    <w:abstractNumId w:val="27"/>
    <w:lvlOverride w:ilvl="0">
      <w:startOverride w:val="1"/>
    </w:lvlOverride>
  </w:num>
  <w:num w:numId="57">
    <w:abstractNumId w:val="29"/>
    <w:lvlOverride w:ilvl="0">
      <w:startOverride w:val="1"/>
    </w:lvlOverride>
  </w:num>
  <w:num w:numId="58">
    <w:abstractNumId w:val="27"/>
    <w:lvlOverride w:ilvl="0">
      <w:startOverride w:val="1"/>
    </w:lvlOverride>
  </w:num>
  <w:num w:numId="59">
    <w:abstractNumId w:val="27"/>
    <w:lvlOverride w:ilvl="0">
      <w:startOverride w:val="1"/>
    </w:lvlOverride>
  </w:num>
  <w:num w:numId="60">
    <w:abstractNumId w:val="29"/>
    <w:lvlOverride w:ilvl="0">
      <w:startOverride w:val="1"/>
    </w:lvlOverride>
  </w:num>
  <w:num w:numId="61">
    <w:abstractNumId w:val="27"/>
    <w:lvlOverride w:ilvl="0">
      <w:startOverride w:val="1"/>
    </w:lvlOverride>
  </w:num>
  <w:num w:numId="62">
    <w:abstractNumId w:val="27"/>
    <w:lvlOverride w:ilvl="0">
      <w:startOverride w:val="1"/>
    </w:lvlOverride>
  </w:num>
  <w:num w:numId="63">
    <w:abstractNumId w:val="29"/>
    <w:lvlOverride w:ilvl="0">
      <w:startOverride w:val="1"/>
    </w:lvlOverride>
  </w:num>
  <w:num w:numId="64">
    <w:abstractNumId w:val="27"/>
    <w:lvlOverride w:ilvl="0">
      <w:startOverride w:val="1"/>
    </w:lvlOverride>
  </w:num>
  <w:num w:numId="65">
    <w:abstractNumId w:val="5"/>
  </w:num>
  <w:num w:numId="66">
    <w:abstractNumId w:val="17"/>
  </w:num>
  <w:num w:numId="67">
    <w:abstractNumId w:val="6"/>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0"/>
  <w:displayVerticalDrawingGridEvery w:val="0"/>
  <w:noPunctuationKerning/>
  <w:characterSpacingControl w:val="doNotCompress"/>
  <w:hdrShapeDefaults>
    <o:shapedefaults v:ext="edit" spidmax="2049" fillcolor="#3cf" stroke="f">
      <v:fill color="#3cf"/>
      <v:stroke on="f"/>
      <v:textbox style="layout-flow:vertical;mso-layout-flow-alt:bottom-to-top"/>
      <o:colormru v:ext="edit" colors="#3c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3E"/>
    <w:rsid w:val="0000505A"/>
    <w:rsid w:val="000165D3"/>
    <w:rsid w:val="00016B05"/>
    <w:rsid w:val="00017CC9"/>
    <w:rsid w:val="000225E6"/>
    <w:rsid w:val="0002307F"/>
    <w:rsid w:val="00023EDE"/>
    <w:rsid w:val="00024B2A"/>
    <w:rsid w:val="00026685"/>
    <w:rsid w:val="000266E4"/>
    <w:rsid w:val="000303D6"/>
    <w:rsid w:val="00031CA2"/>
    <w:rsid w:val="00032BF0"/>
    <w:rsid w:val="000344A3"/>
    <w:rsid w:val="00034B15"/>
    <w:rsid w:val="00034DB7"/>
    <w:rsid w:val="0004024B"/>
    <w:rsid w:val="00040417"/>
    <w:rsid w:val="00040C4C"/>
    <w:rsid w:val="00040EDC"/>
    <w:rsid w:val="00041326"/>
    <w:rsid w:val="00053762"/>
    <w:rsid w:val="00053D21"/>
    <w:rsid w:val="00054423"/>
    <w:rsid w:val="00057F58"/>
    <w:rsid w:val="00060664"/>
    <w:rsid w:val="000621C5"/>
    <w:rsid w:val="00062ED7"/>
    <w:rsid w:val="000636AF"/>
    <w:rsid w:val="00067A27"/>
    <w:rsid w:val="000711AA"/>
    <w:rsid w:val="00072018"/>
    <w:rsid w:val="00076A6B"/>
    <w:rsid w:val="00081282"/>
    <w:rsid w:val="0008453E"/>
    <w:rsid w:val="000849E8"/>
    <w:rsid w:val="00087444"/>
    <w:rsid w:val="000911B4"/>
    <w:rsid w:val="000929F2"/>
    <w:rsid w:val="0009389A"/>
    <w:rsid w:val="00093B4B"/>
    <w:rsid w:val="0009462B"/>
    <w:rsid w:val="000957BC"/>
    <w:rsid w:val="000965CC"/>
    <w:rsid w:val="00097576"/>
    <w:rsid w:val="000A1C71"/>
    <w:rsid w:val="000A3957"/>
    <w:rsid w:val="000A4020"/>
    <w:rsid w:val="000A7855"/>
    <w:rsid w:val="000B5ED2"/>
    <w:rsid w:val="000B6FEE"/>
    <w:rsid w:val="000C1976"/>
    <w:rsid w:val="000C34E1"/>
    <w:rsid w:val="000C375C"/>
    <w:rsid w:val="000C51B5"/>
    <w:rsid w:val="000C5A48"/>
    <w:rsid w:val="000D1E03"/>
    <w:rsid w:val="000D20CF"/>
    <w:rsid w:val="000D32F7"/>
    <w:rsid w:val="000D36F4"/>
    <w:rsid w:val="000D3893"/>
    <w:rsid w:val="000D4D21"/>
    <w:rsid w:val="000D746E"/>
    <w:rsid w:val="000D7A2B"/>
    <w:rsid w:val="000E0DAE"/>
    <w:rsid w:val="000E2989"/>
    <w:rsid w:val="000E311E"/>
    <w:rsid w:val="000E6558"/>
    <w:rsid w:val="000E65C9"/>
    <w:rsid w:val="000F033E"/>
    <w:rsid w:val="000F1E87"/>
    <w:rsid w:val="000F6168"/>
    <w:rsid w:val="000F6996"/>
    <w:rsid w:val="0010042E"/>
    <w:rsid w:val="001020F5"/>
    <w:rsid w:val="00102AB0"/>
    <w:rsid w:val="00105658"/>
    <w:rsid w:val="00105BE2"/>
    <w:rsid w:val="0010608E"/>
    <w:rsid w:val="0010776B"/>
    <w:rsid w:val="0010777F"/>
    <w:rsid w:val="001114BA"/>
    <w:rsid w:val="00112F34"/>
    <w:rsid w:val="00117233"/>
    <w:rsid w:val="00120580"/>
    <w:rsid w:val="0012129F"/>
    <w:rsid w:val="001218F1"/>
    <w:rsid w:val="00122FFC"/>
    <w:rsid w:val="00124775"/>
    <w:rsid w:val="0013040F"/>
    <w:rsid w:val="0013099D"/>
    <w:rsid w:val="0013144E"/>
    <w:rsid w:val="00132143"/>
    <w:rsid w:val="00133076"/>
    <w:rsid w:val="0013448A"/>
    <w:rsid w:val="00137B86"/>
    <w:rsid w:val="001431E3"/>
    <w:rsid w:val="001447E4"/>
    <w:rsid w:val="00144F8B"/>
    <w:rsid w:val="0014606F"/>
    <w:rsid w:val="0014686E"/>
    <w:rsid w:val="00150298"/>
    <w:rsid w:val="00151DD2"/>
    <w:rsid w:val="001523DF"/>
    <w:rsid w:val="00152528"/>
    <w:rsid w:val="001538BC"/>
    <w:rsid w:val="00156228"/>
    <w:rsid w:val="001567E3"/>
    <w:rsid w:val="001576AC"/>
    <w:rsid w:val="00162798"/>
    <w:rsid w:val="001651B2"/>
    <w:rsid w:val="0017084B"/>
    <w:rsid w:val="00170D0F"/>
    <w:rsid w:val="001712F6"/>
    <w:rsid w:val="00174ECA"/>
    <w:rsid w:val="001774AA"/>
    <w:rsid w:val="001815E7"/>
    <w:rsid w:val="00181EDB"/>
    <w:rsid w:val="001827C3"/>
    <w:rsid w:val="001830DB"/>
    <w:rsid w:val="00183732"/>
    <w:rsid w:val="00183B02"/>
    <w:rsid w:val="001842EC"/>
    <w:rsid w:val="001848D4"/>
    <w:rsid w:val="00185BF6"/>
    <w:rsid w:val="00186078"/>
    <w:rsid w:val="001864A4"/>
    <w:rsid w:val="00190353"/>
    <w:rsid w:val="00192EF6"/>
    <w:rsid w:val="0019303A"/>
    <w:rsid w:val="001933E9"/>
    <w:rsid w:val="00194481"/>
    <w:rsid w:val="0019611E"/>
    <w:rsid w:val="00196D26"/>
    <w:rsid w:val="001971E3"/>
    <w:rsid w:val="001A0EFE"/>
    <w:rsid w:val="001A2277"/>
    <w:rsid w:val="001A3AD0"/>
    <w:rsid w:val="001A3CE0"/>
    <w:rsid w:val="001A3E20"/>
    <w:rsid w:val="001A4310"/>
    <w:rsid w:val="001A4A8D"/>
    <w:rsid w:val="001A5273"/>
    <w:rsid w:val="001B1FA4"/>
    <w:rsid w:val="001B2945"/>
    <w:rsid w:val="001B2AF8"/>
    <w:rsid w:val="001B3B95"/>
    <w:rsid w:val="001B4ADA"/>
    <w:rsid w:val="001B5B9B"/>
    <w:rsid w:val="001C468F"/>
    <w:rsid w:val="001C54A9"/>
    <w:rsid w:val="001C566E"/>
    <w:rsid w:val="001D26A2"/>
    <w:rsid w:val="001D289B"/>
    <w:rsid w:val="001D2F91"/>
    <w:rsid w:val="001D66DF"/>
    <w:rsid w:val="001D7339"/>
    <w:rsid w:val="001E51A7"/>
    <w:rsid w:val="001E7ECA"/>
    <w:rsid w:val="001F011E"/>
    <w:rsid w:val="001F24C2"/>
    <w:rsid w:val="001F77FD"/>
    <w:rsid w:val="00202CBD"/>
    <w:rsid w:val="0020357B"/>
    <w:rsid w:val="00203A5A"/>
    <w:rsid w:val="00203ADE"/>
    <w:rsid w:val="00204795"/>
    <w:rsid w:val="00205348"/>
    <w:rsid w:val="002079C0"/>
    <w:rsid w:val="002134C4"/>
    <w:rsid w:val="002139AA"/>
    <w:rsid w:val="00215DF6"/>
    <w:rsid w:val="00224C32"/>
    <w:rsid w:val="00225FC0"/>
    <w:rsid w:val="00231574"/>
    <w:rsid w:val="002331F8"/>
    <w:rsid w:val="00233659"/>
    <w:rsid w:val="00234A22"/>
    <w:rsid w:val="00236CCD"/>
    <w:rsid w:val="0023709C"/>
    <w:rsid w:val="002417F1"/>
    <w:rsid w:val="00244A99"/>
    <w:rsid w:val="00245109"/>
    <w:rsid w:val="00247120"/>
    <w:rsid w:val="00250FF7"/>
    <w:rsid w:val="002510A5"/>
    <w:rsid w:val="00251295"/>
    <w:rsid w:val="0025543A"/>
    <w:rsid w:val="00261500"/>
    <w:rsid w:val="00262A20"/>
    <w:rsid w:val="00265416"/>
    <w:rsid w:val="0027083E"/>
    <w:rsid w:val="00271BCE"/>
    <w:rsid w:val="00272445"/>
    <w:rsid w:val="00273A7F"/>
    <w:rsid w:val="0027736A"/>
    <w:rsid w:val="00277FBA"/>
    <w:rsid w:val="00280631"/>
    <w:rsid w:val="002816BD"/>
    <w:rsid w:val="00282A70"/>
    <w:rsid w:val="00282E39"/>
    <w:rsid w:val="00282F65"/>
    <w:rsid w:val="002854D1"/>
    <w:rsid w:val="00285BB5"/>
    <w:rsid w:val="00287548"/>
    <w:rsid w:val="002917B2"/>
    <w:rsid w:val="002A2050"/>
    <w:rsid w:val="002A6DEE"/>
    <w:rsid w:val="002B2B12"/>
    <w:rsid w:val="002B2B15"/>
    <w:rsid w:val="002B57DC"/>
    <w:rsid w:val="002B5C58"/>
    <w:rsid w:val="002B670B"/>
    <w:rsid w:val="002C21F3"/>
    <w:rsid w:val="002C3D9D"/>
    <w:rsid w:val="002C5FCC"/>
    <w:rsid w:val="002C63EA"/>
    <w:rsid w:val="002D01C0"/>
    <w:rsid w:val="002D33C0"/>
    <w:rsid w:val="002D3A69"/>
    <w:rsid w:val="002D4142"/>
    <w:rsid w:val="002D4E8E"/>
    <w:rsid w:val="002D50D6"/>
    <w:rsid w:val="002D71FF"/>
    <w:rsid w:val="002E05E9"/>
    <w:rsid w:val="002E198A"/>
    <w:rsid w:val="002E1EF7"/>
    <w:rsid w:val="002E3525"/>
    <w:rsid w:val="002E3762"/>
    <w:rsid w:val="002E5B8B"/>
    <w:rsid w:val="002E66A6"/>
    <w:rsid w:val="002F08E1"/>
    <w:rsid w:val="002F09AA"/>
    <w:rsid w:val="002F12FB"/>
    <w:rsid w:val="002F2F64"/>
    <w:rsid w:val="002F360C"/>
    <w:rsid w:val="002F3700"/>
    <w:rsid w:val="002F3D17"/>
    <w:rsid w:val="002F509E"/>
    <w:rsid w:val="00302D87"/>
    <w:rsid w:val="00304864"/>
    <w:rsid w:val="00307B75"/>
    <w:rsid w:val="00313DEA"/>
    <w:rsid w:val="0031518C"/>
    <w:rsid w:val="00316C24"/>
    <w:rsid w:val="00323F1F"/>
    <w:rsid w:val="003242FC"/>
    <w:rsid w:val="00325D1F"/>
    <w:rsid w:val="00325FB3"/>
    <w:rsid w:val="00330476"/>
    <w:rsid w:val="0033413F"/>
    <w:rsid w:val="003341E7"/>
    <w:rsid w:val="00342A2E"/>
    <w:rsid w:val="003438C8"/>
    <w:rsid w:val="00343DAB"/>
    <w:rsid w:val="003455CB"/>
    <w:rsid w:val="00346A34"/>
    <w:rsid w:val="00347A2A"/>
    <w:rsid w:val="0035286D"/>
    <w:rsid w:val="00353439"/>
    <w:rsid w:val="0035457A"/>
    <w:rsid w:val="00357A28"/>
    <w:rsid w:val="00357E91"/>
    <w:rsid w:val="00360A5E"/>
    <w:rsid w:val="003622CD"/>
    <w:rsid w:val="00364714"/>
    <w:rsid w:val="00364EEF"/>
    <w:rsid w:val="00365157"/>
    <w:rsid w:val="00365708"/>
    <w:rsid w:val="00367889"/>
    <w:rsid w:val="003742CC"/>
    <w:rsid w:val="003743EF"/>
    <w:rsid w:val="00375657"/>
    <w:rsid w:val="00376B3E"/>
    <w:rsid w:val="00380A1E"/>
    <w:rsid w:val="0038430C"/>
    <w:rsid w:val="0038633A"/>
    <w:rsid w:val="0038647C"/>
    <w:rsid w:val="00390062"/>
    <w:rsid w:val="0039046F"/>
    <w:rsid w:val="003921A0"/>
    <w:rsid w:val="00394768"/>
    <w:rsid w:val="00394A3F"/>
    <w:rsid w:val="003959AD"/>
    <w:rsid w:val="003971B8"/>
    <w:rsid w:val="00397913"/>
    <w:rsid w:val="003A14BB"/>
    <w:rsid w:val="003A15EE"/>
    <w:rsid w:val="003A3E5E"/>
    <w:rsid w:val="003A63E8"/>
    <w:rsid w:val="003B06EB"/>
    <w:rsid w:val="003B160D"/>
    <w:rsid w:val="003B4B18"/>
    <w:rsid w:val="003B5FB6"/>
    <w:rsid w:val="003B6785"/>
    <w:rsid w:val="003B7D6E"/>
    <w:rsid w:val="003C1804"/>
    <w:rsid w:val="003C3879"/>
    <w:rsid w:val="003C3CE5"/>
    <w:rsid w:val="003C4064"/>
    <w:rsid w:val="003C4AE3"/>
    <w:rsid w:val="003C556E"/>
    <w:rsid w:val="003C5635"/>
    <w:rsid w:val="003C631E"/>
    <w:rsid w:val="003D4C9C"/>
    <w:rsid w:val="003D4F3B"/>
    <w:rsid w:val="003D577D"/>
    <w:rsid w:val="003D5D2D"/>
    <w:rsid w:val="003D685F"/>
    <w:rsid w:val="003E0468"/>
    <w:rsid w:val="003E38D2"/>
    <w:rsid w:val="003E4249"/>
    <w:rsid w:val="003E58F3"/>
    <w:rsid w:val="003E5C89"/>
    <w:rsid w:val="003F08EE"/>
    <w:rsid w:val="003F0A1E"/>
    <w:rsid w:val="003F3B88"/>
    <w:rsid w:val="003F5924"/>
    <w:rsid w:val="00400A39"/>
    <w:rsid w:val="00401C97"/>
    <w:rsid w:val="00403FEE"/>
    <w:rsid w:val="00405713"/>
    <w:rsid w:val="004106E4"/>
    <w:rsid w:val="004118EE"/>
    <w:rsid w:val="00412C00"/>
    <w:rsid w:val="004143EB"/>
    <w:rsid w:val="004174FC"/>
    <w:rsid w:val="00417544"/>
    <w:rsid w:val="0041787D"/>
    <w:rsid w:val="00421812"/>
    <w:rsid w:val="00424948"/>
    <w:rsid w:val="00424E97"/>
    <w:rsid w:val="0042697B"/>
    <w:rsid w:val="00431623"/>
    <w:rsid w:val="004324C8"/>
    <w:rsid w:val="00432C69"/>
    <w:rsid w:val="00433944"/>
    <w:rsid w:val="00434772"/>
    <w:rsid w:val="00434B10"/>
    <w:rsid w:val="00434B20"/>
    <w:rsid w:val="00436359"/>
    <w:rsid w:val="0044091F"/>
    <w:rsid w:val="00441B8F"/>
    <w:rsid w:val="0044306D"/>
    <w:rsid w:val="004453FC"/>
    <w:rsid w:val="00446FDA"/>
    <w:rsid w:val="004504AB"/>
    <w:rsid w:val="00451E07"/>
    <w:rsid w:val="00453129"/>
    <w:rsid w:val="00453AED"/>
    <w:rsid w:val="00454134"/>
    <w:rsid w:val="00460925"/>
    <w:rsid w:val="0046116C"/>
    <w:rsid w:val="00463BAB"/>
    <w:rsid w:val="00464B01"/>
    <w:rsid w:val="00464F3C"/>
    <w:rsid w:val="004656ED"/>
    <w:rsid w:val="00466206"/>
    <w:rsid w:val="004707F7"/>
    <w:rsid w:val="00471406"/>
    <w:rsid w:val="0047399D"/>
    <w:rsid w:val="00474EB7"/>
    <w:rsid w:val="0047710D"/>
    <w:rsid w:val="004772C8"/>
    <w:rsid w:val="0048003C"/>
    <w:rsid w:val="0048019D"/>
    <w:rsid w:val="004826D9"/>
    <w:rsid w:val="0048319A"/>
    <w:rsid w:val="004841DC"/>
    <w:rsid w:val="00485928"/>
    <w:rsid w:val="00492116"/>
    <w:rsid w:val="004927E6"/>
    <w:rsid w:val="00492D73"/>
    <w:rsid w:val="00496029"/>
    <w:rsid w:val="00497C84"/>
    <w:rsid w:val="004A1D6D"/>
    <w:rsid w:val="004A4370"/>
    <w:rsid w:val="004A4737"/>
    <w:rsid w:val="004A4FDD"/>
    <w:rsid w:val="004A7D1B"/>
    <w:rsid w:val="004B043B"/>
    <w:rsid w:val="004B058B"/>
    <w:rsid w:val="004B0844"/>
    <w:rsid w:val="004B2775"/>
    <w:rsid w:val="004B3264"/>
    <w:rsid w:val="004B3B15"/>
    <w:rsid w:val="004B4852"/>
    <w:rsid w:val="004B786D"/>
    <w:rsid w:val="004B795A"/>
    <w:rsid w:val="004C0250"/>
    <w:rsid w:val="004C5EB9"/>
    <w:rsid w:val="004C7890"/>
    <w:rsid w:val="004D0AA8"/>
    <w:rsid w:val="004D2B5F"/>
    <w:rsid w:val="004D2D46"/>
    <w:rsid w:val="004D3846"/>
    <w:rsid w:val="004D3F58"/>
    <w:rsid w:val="004D4CBD"/>
    <w:rsid w:val="004D52C3"/>
    <w:rsid w:val="004D567A"/>
    <w:rsid w:val="004E61AA"/>
    <w:rsid w:val="004F2211"/>
    <w:rsid w:val="004F3190"/>
    <w:rsid w:val="005001E7"/>
    <w:rsid w:val="00500DB3"/>
    <w:rsid w:val="00502C37"/>
    <w:rsid w:val="00506E81"/>
    <w:rsid w:val="005126C5"/>
    <w:rsid w:val="00512FE0"/>
    <w:rsid w:val="00514B3D"/>
    <w:rsid w:val="00515344"/>
    <w:rsid w:val="00521CA8"/>
    <w:rsid w:val="005232B4"/>
    <w:rsid w:val="00523A2D"/>
    <w:rsid w:val="005252A6"/>
    <w:rsid w:val="00527926"/>
    <w:rsid w:val="00530551"/>
    <w:rsid w:val="005308F0"/>
    <w:rsid w:val="00530D6C"/>
    <w:rsid w:val="0053316A"/>
    <w:rsid w:val="00533209"/>
    <w:rsid w:val="00544BB6"/>
    <w:rsid w:val="00547B77"/>
    <w:rsid w:val="0055120D"/>
    <w:rsid w:val="0055143B"/>
    <w:rsid w:val="00552F33"/>
    <w:rsid w:val="00555D4A"/>
    <w:rsid w:val="0056145E"/>
    <w:rsid w:val="0056495F"/>
    <w:rsid w:val="0056677B"/>
    <w:rsid w:val="005672B2"/>
    <w:rsid w:val="005675EB"/>
    <w:rsid w:val="00567E13"/>
    <w:rsid w:val="00567F91"/>
    <w:rsid w:val="00570055"/>
    <w:rsid w:val="005701FC"/>
    <w:rsid w:val="0057231B"/>
    <w:rsid w:val="005745CF"/>
    <w:rsid w:val="005749C3"/>
    <w:rsid w:val="00580366"/>
    <w:rsid w:val="005805E9"/>
    <w:rsid w:val="0058309C"/>
    <w:rsid w:val="005836DD"/>
    <w:rsid w:val="00587492"/>
    <w:rsid w:val="005876E5"/>
    <w:rsid w:val="0059128D"/>
    <w:rsid w:val="0059178A"/>
    <w:rsid w:val="00591CBC"/>
    <w:rsid w:val="00593D00"/>
    <w:rsid w:val="005945FC"/>
    <w:rsid w:val="005972B8"/>
    <w:rsid w:val="005A3BF5"/>
    <w:rsid w:val="005A5091"/>
    <w:rsid w:val="005A755C"/>
    <w:rsid w:val="005B0BDE"/>
    <w:rsid w:val="005C1AB4"/>
    <w:rsid w:val="005C2496"/>
    <w:rsid w:val="005C2538"/>
    <w:rsid w:val="005E104D"/>
    <w:rsid w:val="005E113F"/>
    <w:rsid w:val="005E16FB"/>
    <w:rsid w:val="005E2919"/>
    <w:rsid w:val="005E6135"/>
    <w:rsid w:val="005E6998"/>
    <w:rsid w:val="005E6EBB"/>
    <w:rsid w:val="005F0C55"/>
    <w:rsid w:val="005F0EA4"/>
    <w:rsid w:val="005F173C"/>
    <w:rsid w:val="005F2AD3"/>
    <w:rsid w:val="00602425"/>
    <w:rsid w:val="006025B5"/>
    <w:rsid w:val="00602756"/>
    <w:rsid w:val="006034DB"/>
    <w:rsid w:val="0060590D"/>
    <w:rsid w:val="00606E90"/>
    <w:rsid w:val="00607A67"/>
    <w:rsid w:val="00607A6F"/>
    <w:rsid w:val="00607C87"/>
    <w:rsid w:val="00611B3E"/>
    <w:rsid w:val="00612FCC"/>
    <w:rsid w:val="00616A3A"/>
    <w:rsid w:val="00617688"/>
    <w:rsid w:val="00621478"/>
    <w:rsid w:val="00621745"/>
    <w:rsid w:val="00623107"/>
    <w:rsid w:val="006249E6"/>
    <w:rsid w:val="00624B7B"/>
    <w:rsid w:val="00625A73"/>
    <w:rsid w:val="00625D40"/>
    <w:rsid w:val="0063386E"/>
    <w:rsid w:val="006344C1"/>
    <w:rsid w:val="00637586"/>
    <w:rsid w:val="00637A59"/>
    <w:rsid w:val="00644513"/>
    <w:rsid w:val="00646A33"/>
    <w:rsid w:val="0065160B"/>
    <w:rsid w:val="0065414E"/>
    <w:rsid w:val="00654C2D"/>
    <w:rsid w:val="00657C46"/>
    <w:rsid w:val="00665B65"/>
    <w:rsid w:val="00665C94"/>
    <w:rsid w:val="006660DC"/>
    <w:rsid w:val="00682ED9"/>
    <w:rsid w:val="00684C44"/>
    <w:rsid w:val="006910D0"/>
    <w:rsid w:val="006914B4"/>
    <w:rsid w:val="006924C2"/>
    <w:rsid w:val="00692BA3"/>
    <w:rsid w:val="00692F0C"/>
    <w:rsid w:val="00694395"/>
    <w:rsid w:val="006955E8"/>
    <w:rsid w:val="0069678F"/>
    <w:rsid w:val="006A18D7"/>
    <w:rsid w:val="006A2B8B"/>
    <w:rsid w:val="006A2C55"/>
    <w:rsid w:val="006A2CD0"/>
    <w:rsid w:val="006A4EA8"/>
    <w:rsid w:val="006A631B"/>
    <w:rsid w:val="006A6A33"/>
    <w:rsid w:val="006A725E"/>
    <w:rsid w:val="006B0C0A"/>
    <w:rsid w:val="006B1A41"/>
    <w:rsid w:val="006B5E71"/>
    <w:rsid w:val="006C2991"/>
    <w:rsid w:val="006C34D4"/>
    <w:rsid w:val="006C3FF7"/>
    <w:rsid w:val="006C5004"/>
    <w:rsid w:val="006C67E8"/>
    <w:rsid w:val="006D1A9A"/>
    <w:rsid w:val="006D6A88"/>
    <w:rsid w:val="006E4240"/>
    <w:rsid w:val="006E5836"/>
    <w:rsid w:val="006E5C1F"/>
    <w:rsid w:val="006E6411"/>
    <w:rsid w:val="006F2319"/>
    <w:rsid w:val="006F2DE1"/>
    <w:rsid w:val="006F32C8"/>
    <w:rsid w:val="006F3544"/>
    <w:rsid w:val="006F3E47"/>
    <w:rsid w:val="006F41DA"/>
    <w:rsid w:val="006F44C0"/>
    <w:rsid w:val="006F4B38"/>
    <w:rsid w:val="006F7C93"/>
    <w:rsid w:val="00700AE4"/>
    <w:rsid w:val="00701280"/>
    <w:rsid w:val="0070337F"/>
    <w:rsid w:val="007050E3"/>
    <w:rsid w:val="007069EB"/>
    <w:rsid w:val="00706FA7"/>
    <w:rsid w:val="0070746F"/>
    <w:rsid w:val="00711101"/>
    <w:rsid w:val="007116C6"/>
    <w:rsid w:val="007120AF"/>
    <w:rsid w:val="00712EE3"/>
    <w:rsid w:val="00713E45"/>
    <w:rsid w:val="00717E22"/>
    <w:rsid w:val="00720858"/>
    <w:rsid w:val="007233DF"/>
    <w:rsid w:val="0072433C"/>
    <w:rsid w:val="007245A9"/>
    <w:rsid w:val="00724629"/>
    <w:rsid w:val="00724957"/>
    <w:rsid w:val="00732BAF"/>
    <w:rsid w:val="0073396E"/>
    <w:rsid w:val="00733C50"/>
    <w:rsid w:val="007347DF"/>
    <w:rsid w:val="00735C31"/>
    <w:rsid w:val="00741525"/>
    <w:rsid w:val="0074319B"/>
    <w:rsid w:val="00743369"/>
    <w:rsid w:val="0074392C"/>
    <w:rsid w:val="00744AE8"/>
    <w:rsid w:val="00745FCB"/>
    <w:rsid w:val="0074789A"/>
    <w:rsid w:val="00750230"/>
    <w:rsid w:val="0075199B"/>
    <w:rsid w:val="00753CDE"/>
    <w:rsid w:val="0075518E"/>
    <w:rsid w:val="00756616"/>
    <w:rsid w:val="00756C05"/>
    <w:rsid w:val="007601A3"/>
    <w:rsid w:val="00760F5F"/>
    <w:rsid w:val="007707F2"/>
    <w:rsid w:val="00774066"/>
    <w:rsid w:val="007769CD"/>
    <w:rsid w:val="00784652"/>
    <w:rsid w:val="00794986"/>
    <w:rsid w:val="00795266"/>
    <w:rsid w:val="007A11D8"/>
    <w:rsid w:val="007A1C01"/>
    <w:rsid w:val="007A4EDD"/>
    <w:rsid w:val="007A592D"/>
    <w:rsid w:val="007A6B28"/>
    <w:rsid w:val="007A7F49"/>
    <w:rsid w:val="007B0FBC"/>
    <w:rsid w:val="007B2255"/>
    <w:rsid w:val="007B54BB"/>
    <w:rsid w:val="007B6D1B"/>
    <w:rsid w:val="007B7556"/>
    <w:rsid w:val="007C008C"/>
    <w:rsid w:val="007C16CD"/>
    <w:rsid w:val="007C2BF7"/>
    <w:rsid w:val="007C7389"/>
    <w:rsid w:val="007C785D"/>
    <w:rsid w:val="007D04CB"/>
    <w:rsid w:val="007D066B"/>
    <w:rsid w:val="007D29D3"/>
    <w:rsid w:val="007D4141"/>
    <w:rsid w:val="007D4A07"/>
    <w:rsid w:val="007D4C8A"/>
    <w:rsid w:val="007D6C39"/>
    <w:rsid w:val="007E0F33"/>
    <w:rsid w:val="007E4414"/>
    <w:rsid w:val="007E630E"/>
    <w:rsid w:val="007F1CC7"/>
    <w:rsid w:val="007F27A8"/>
    <w:rsid w:val="007F2DE0"/>
    <w:rsid w:val="007F4029"/>
    <w:rsid w:val="007F5F59"/>
    <w:rsid w:val="007F5F5C"/>
    <w:rsid w:val="007F6283"/>
    <w:rsid w:val="00801E95"/>
    <w:rsid w:val="00802FD1"/>
    <w:rsid w:val="008032CC"/>
    <w:rsid w:val="00805D00"/>
    <w:rsid w:val="00807DC7"/>
    <w:rsid w:val="00807EE1"/>
    <w:rsid w:val="008111E4"/>
    <w:rsid w:val="00812397"/>
    <w:rsid w:val="0081366F"/>
    <w:rsid w:val="008156A1"/>
    <w:rsid w:val="0081740F"/>
    <w:rsid w:val="00821645"/>
    <w:rsid w:val="00824577"/>
    <w:rsid w:val="00824A15"/>
    <w:rsid w:val="00824D5F"/>
    <w:rsid w:val="00830052"/>
    <w:rsid w:val="008301BB"/>
    <w:rsid w:val="008307E7"/>
    <w:rsid w:val="00831C80"/>
    <w:rsid w:val="00833050"/>
    <w:rsid w:val="00834A0A"/>
    <w:rsid w:val="00834F51"/>
    <w:rsid w:val="00835570"/>
    <w:rsid w:val="00835C4F"/>
    <w:rsid w:val="00836F4E"/>
    <w:rsid w:val="008377C5"/>
    <w:rsid w:val="008407C8"/>
    <w:rsid w:val="00843A0A"/>
    <w:rsid w:val="008444A4"/>
    <w:rsid w:val="008462D5"/>
    <w:rsid w:val="00846F3D"/>
    <w:rsid w:val="008478C1"/>
    <w:rsid w:val="00847F51"/>
    <w:rsid w:val="00850657"/>
    <w:rsid w:val="008576E0"/>
    <w:rsid w:val="008617D7"/>
    <w:rsid w:val="00861CE5"/>
    <w:rsid w:val="00866B11"/>
    <w:rsid w:val="00872B0E"/>
    <w:rsid w:val="00873B5E"/>
    <w:rsid w:val="008740B6"/>
    <w:rsid w:val="00880BD5"/>
    <w:rsid w:val="008850D6"/>
    <w:rsid w:val="008853A3"/>
    <w:rsid w:val="00885BB4"/>
    <w:rsid w:val="008907DD"/>
    <w:rsid w:val="00893C79"/>
    <w:rsid w:val="00893EF2"/>
    <w:rsid w:val="008A2FC2"/>
    <w:rsid w:val="008A70BD"/>
    <w:rsid w:val="008A78F7"/>
    <w:rsid w:val="008B343F"/>
    <w:rsid w:val="008B507B"/>
    <w:rsid w:val="008B6702"/>
    <w:rsid w:val="008B7ACA"/>
    <w:rsid w:val="008C0D51"/>
    <w:rsid w:val="008C6D76"/>
    <w:rsid w:val="008D0B76"/>
    <w:rsid w:val="008D7573"/>
    <w:rsid w:val="008D7E7F"/>
    <w:rsid w:val="008E0E0F"/>
    <w:rsid w:val="008E12EB"/>
    <w:rsid w:val="008F07BD"/>
    <w:rsid w:val="008F14A1"/>
    <w:rsid w:val="008F1DD2"/>
    <w:rsid w:val="008F29AA"/>
    <w:rsid w:val="008F65D0"/>
    <w:rsid w:val="008F7077"/>
    <w:rsid w:val="008F758A"/>
    <w:rsid w:val="00902CF0"/>
    <w:rsid w:val="0090324C"/>
    <w:rsid w:val="00903E81"/>
    <w:rsid w:val="009065AE"/>
    <w:rsid w:val="00907323"/>
    <w:rsid w:val="00907D27"/>
    <w:rsid w:val="00914A90"/>
    <w:rsid w:val="009163CF"/>
    <w:rsid w:val="0092159C"/>
    <w:rsid w:val="00923E9F"/>
    <w:rsid w:val="009244F4"/>
    <w:rsid w:val="00924F86"/>
    <w:rsid w:val="0092624F"/>
    <w:rsid w:val="0092684D"/>
    <w:rsid w:val="00926F72"/>
    <w:rsid w:val="00927EB6"/>
    <w:rsid w:val="009323A0"/>
    <w:rsid w:val="009326E5"/>
    <w:rsid w:val="00932B0A"/>
    <w:rsid w:val="0093396C"/>
    <w:rsid w:val="00935052"/>
    <w:rsid w:val="009353B5"/>
    <w:rsid w:val="00935F0F"/>
    <w:rsid w:val="00936389"/>
    <w:rsid w:val="00937F5A"/>
    <w:rsid w:val="009419D0"/>
    <w:rsid w:val="009428C3"/>
    <w:rsid w:val="00943F1A"/>
    <w:rsid w:val="00945668"/>
    <w:rsid w:val="00945E28"/>
    <w:rsid w:val="00951ADE"/>
    <w:rsid w:val="00951C10"/>
    <w:rsid w:val="00951D1C"/>
    <w:rsid w:val="00952C66"/>
    <w:rsid w:val="00954F26"/>
    <w:rsid w:val="009557D6"/>
    <w:rsid w:val="00955877"/>
    <w:rsid w:val="00957D59"/>
    <w:rsid w:val="00960C6A"/>
    <w:rsid w:val="009625D3"/>
    <w:rsid w:val="00964D9B"/>
    <w:rsid w:val="0096530E"/>
    <w:rsid w:val="00967EA4"/>
    <w:rsid w:val="0097072F"/>
    <w:rsid w:val="009708E8"/>
    <w:rsid w:val="00970BD0"/>
    <w:rsid w:val="009732A2"/>
    <w:rsid w:val="009736E5"/>
    <w:rsid w:val="00973BCF"/>
    <w:rsid w:val="00975BE2"/>
    <w:rsid w:val="00976AF4"/>
    <w:rsid w:val="009806F9"/>
    <w:rsid w:val="00981591"/>
    <w:rsid w:val="0098165B"/>
    <w:rsid w:val="00990E19"/>
    <w:rsid w:val="009923A6"/>
    <w:rsid w:val="00994886"/>
    <w:rsid w:val="009950E1"/>
    <w:rsid w:val="00995309"/>
    <w:rsid w:val="00995CB6"/>
    <w:rsid w:val="009A52EB"/>
    <w:rsid w:val="009B01E0"/>
    <w:rsid w:val="009B139D"/>
    <w:rsid w:val="009B1718"/>
    <w:rsid w:val="009B2107"/>
    <w:rsid w:val="009B2AE0"/>
    <w:rsid w:val="009B4356"/>
    <w:rsid w:val="009B6457"/>
    <w:rsid w:val="009B6496"/>
    <w:rsid w:val="009C1CAF"/>
    <w:rsid w:val="009C2D01"/>
    <w:rsid w:val="009C46D0"/>
    <w:rsid w:val="009D1199"/>
    <w:rsid w:val="009D131D"/>
    <w:rsid w:val="009D27B2"/>
    <w:rsid w:val="009D2DE3"/>
    <w:rsid w:val="009D378C"/>
    <w:rsid w:val="009D61FE"/>
    <w:rsid w:val="009D72B6"/>
    <w:rsid w:val="009D7DED"/>
    <w:rsid w:val="009E03BD"/>
    <w:rsid w:val="009E3A57"/>
    <w:rsid w:val="009E47C3"/>
    <w:rsid w:val="009E4F24"/>
    <w:rsid w:val="009E665B"/>
    <w:rsid w:val="009F0D78"/>
    <w:rsid w:val="009F3C47"/>
    <w:rsid w:val="009F3D1D"/>
    <w:rsid w:val="009F4FA8"/>
    <w:rsid w:val="009F60F4"/>
    <w:rsid w:val="009F749D"/>
    <w:rsid w:val="00A02A98"/>
    <w:rsid w:val="00A031DB"/>
    <w:rsid w:val="00A117F5"/>
    <w:rsid w:val="00A12EDF"/>
    <w:rsid w:val="00A13BE8"/>
    <w:rsid w:val="00A14119"/>
    <w:rsid w:val="00A1535A"/>
    <w:rsid w:val="00A154B9"/>
    <w:rsid w:val="00A15F42"/>
    <w:rsid w:val="00A1767A"/>
    <w:rsid w:val="00A218C7"/>
    <w:rsid w:val="00A257EC"/>
    <w:rsid w:val="00A25B16"/>
    <w:rsid w:val="00A30473"/>
    <w:rsid w:val="00A30672"/>
    <w:rsid w:val="00A314F3"/>
    <w:rsid w:val="00A31B8E"/>
    <w:rsid w:val="00A3378F"/>
    <w:rsid w:val="00A34614"/>
    <w:rsid w:val="00A373B8"/>
    <w:rsid w:val="00A46347"/>
    <w:rsid w:val="00A4676E"/>
    <w:rsid w:val="00A46999"/>
    <w:rsid w:val="00A502A3"/>
    <w:rsid w:val="00A50610"/>
    <w:rsid w:val="00A50F6A"/>
    <w:rsid w:val="00A514A5"/>
    <w:rsid w:val="00A52907"/>
    <w:rsid w:val="00A53D40"/>
    <w:rsid w:val="00A55E8E"/>
    <w:rsid w:val="00A65B09"/>
    <w:rsid w:val="00A70947"/>
    <w:rsid w:val="00A725CB"/>
    <w:rsid w:val="00A73E12"/>
    <w:rsid w:val="00A853FD"/>
    <w:rsid w:val="00A909F0"/>
    <w:rsid w:val="00A9514A"/>
    <w:rsid w:val="00A96634"/>
    <w:rsid w:val="00A97445"/>
    <w:rsid w:val="00AA06D2"/>
    <w:rsid w:val="00AA1D31"/>
    <w:rsid w:val="00AA1FFB"/>
    <w:rsid w:val="00AA2A2D"/>
    <w:rsid w:val="00AA2BB1"/>
    <w:rsid w:val="00AA2C17"/>
    <w:rsid w:val="00AA3317"/>
    <w:rsid w:val="00AA7F51"/>
    <w:rsid w:val="00AB10BE"/>
    <w:rsid w:val="00AB2C22"/>
    <w:rsid w:val="00AB4A27"/>
    <w:rsid w:val="00AB6AAD"/>
    <w:rsid w:val="00AC0D23"/>
    <w:rsid w:val="00AC17E9"/>
    <w:rsid w:val="00AC2B24"/>
    <w:rsid w:val="00AC2D83"/>
    <w:rsid w:val="00AC3D5F"/>
    <w:rsid w:val="00AD0C4C"/>
    <w:rsid w:val="00AD77E1"/>
    <w:rsid w:val="00AD7C85"/>
    <w:rsid w:val="00AE07D6"/>
    <w:rsid w:val="00AE417B"/>
    <w:rsid w:val="00AE4E4E"/>
    <w:rsid w:val="00AE4F1A"/>
    <w:rsid w:val="00AE694B"/>
    <w:rsid w:val="00AE6D64"/>
    <w:rsid w:val="00AE797F"/>
    <w:rsid w:val="00AF5062"/>
    <w:rsid w:val="00B0090E"/>
    <w:rsid w:val="00B03777"/>
    <w:rsid w:val="00B060EF"/>
    <w:rsid w:val="00B06DA6"/>
    <w:rsid w:val="00B1285C"/>
    <w:rsid w:val="00B14A2F"/>
    <w:rsid w:val="00B14F56"/>
    <w:rsid w:val="00B20B0B"/>
    <w:rsid w:val="00B2190F"/>
    <w:rsid w:val="00B2289C"/>
    <w:rsid w:val="00B24677"/>
    <w:rsid w:val="00B25ECC"/>
    <w:rsid w:val="00B31BEA"/>
    <w:rsid w:val="00B33550"/>
    <w:rsid w:val="00B36FFA"/>
    <w:rsid w:val="00B37355"/>
    <w:rsid w:val="00B404EB"/>
    <w:rsid w:val="00B4195E"/>
    <w:rsid w:val="00B42868"/>
    <w:rsid w:val="00B45BCA"/>
    <w:rsid w:val="00B47B85"/>
    <w:rsid w:val="00B5073E"/>
    <w:rsid w:val="00B51854"/>
    <w:rsid w:val="00B51A60"/>
    <w:rsid w:val="00B5790C"/>
    <w:rsid w:val="00B6123F"/>
    <w:rsid w:val="00B61833"/>
    <w:rsid w:val="00B62E27"/>
    <w:rsid w:val="00B6358C"/>
    <w:rsid w:val="00B6593F"/>
    <w:rsid w:val="00B65EDB"/>
    <w:rsid w:val="00B729E5"/>
    <w:rsid w:val="00B737BB"/>
    <w:rsid w:val="00B74FD0"/>
    <w:rsid w:val="00B75A60"/>
    <w:rsid w:val="00B75FEC"/>
    <w:rsid w:val="00B83779"/>
    <w:rsid w:val="00B84727"/>
    <w:rsid w:val="00B86E49"/>
    <w:rsid w:val="00B873F2"/>
    <w:rsid w:val="00B87AB5"/>
    <w:rsid w:val="00B91157"/>
    <w:rsid w:val="00B91F0E"/>
    <w:rsid w:val="00B933CA"/>
    <w:rsid w:val="00B9394E"/>
    <w:rsid w:val="00B94FA8"/>
    <w:rsid w:val="00B953B3"/>
    <w:rsid w:val="00B96437"/>
    <w:rsid w:val="00B96ABC"/>
    <w:rsid w:val="00BA23BA"/>
    <w:rsid w:val="00BA37E4"/>
    <w:rsid w:val="00BB0340"/>
    <w:rsid w:val="00BB0EC4"/>
    <w:rsid w:val="00BB2BBA"/>
    <w:rsid w:val="00BB33ED"/>
    <w:rsid w:val="00BB38D3"/>
    <w:rsid w:val="00BB5AC1"/>
    <w:rsid w:val="00BB755B"/>
    <w:rsid w:val="00BB7BFA"/>
    <w:rsid w:val="00BC01DB"/>
    <w:rsid w:val="00BC078B"/>
    <w:rsid w:val="00BC403F"/>
    <w:rsid w:val="00BC489B"/>
    <w:rsid w:val="00BD2373"/>
    <w:rsid w:val="00BD3697"/>
    <w:rsid w:val="00BE0730"/>
    <w:rsid w:val="00BE0796"/>
    <w:rsid w:val="00BE0F5E"/>
    <w:rsid w:val="00BE19D5"/>
    <w:rsid w:val="00BE6856"/>
    <w:rsid w:val="00BE7066"/>
    <w:rsid w:val="00BF0227"/>
    <w:rsid w:val="00BF2E4C"/>
    <w:rsid w:val="00C011A5"/>
    <w:rsid w:val="00C02933"/>
    <w:rsid w:val="00C05B49"/>
    <w:rsid w:val="00C13081"/>
    <w:rsid w:val="00C14395"/>
    <w:rsid w:val="00C17466"/>
    <w:rsid w:val="00C220E7"/>
    <w:rsid w:val="00C22A9C"/>
    <w:rsid w:val="00C22E91"/>
    <w:rsid w:val="00C253CC"/>
    <w:rsid w:val="00C31662"/>
    <w:rsid w:val="00C3290E"/>
    <w:rsid w:val="00C329D4"/>
    <w:rsid w:val="00C335E6"/>
    <w:rsid w:val="00C33CE0"/>
    <w:rsid w:val="00C348C3"/>
    <w:rsid w:val="00C354B8"/>
    <w:rsid w:val="00C363FB"/>
    <w:rsid w:val="00C40583"/>
    <w:rsid w:val="00C42121"/>
    <w:rsid w:val="00C4287E"/>
    <w:rsid w:val="00C44995"/>
    <w:rsid w:val="00C467C1"/>
    <w:rsid w:val="00C54AC3"/>
    <w:rsid w:val="00C56836"/>
    <w:rsid w:val="00C56B88"/>
    <w:rsid w:val="00C604A3"/>
    <w:rsid w:val="00C61F65"/>
    <w:rsid w:val="00C624CE"/>
    <w:rsid w:val="00C63143"/>
    <w:rsid w:val="00C6409B"/>
    <w:rsid w:val="00C64814"/>
    <w:rsid w:val="00C67758"/>
    <w:rsid w:val="00C67D87"/>
    <w:rsid w:val="00C7054E"/>
    <w:rsid w:val="00C71124"/>
    <w:rsid w:val="00C72445"/>
    <w:rsid w:val="00C72774"/>
    <w:rsid w:val="00C73E10"/>
    <w:rsid w:val="00C73E1B"/>
    <w:rsid w:val="00C74D8C"/>
    <w:rsid w:val="00C77FD9"/>
    <w:rsid w:val="00C82D1B"/>
    <w:rsid w:val="00C868A9"/>
    <w:rsid w:val="00C90886"/>
    <w:rsid w:val="00C90AB1"/>
    <w:rsid w:val="00C916C7"/>
    <w:rsid w:val="00C91A80"/>
    <w:rsid w:val="00C93FF3"/>
    <w:rsid w:val="00C94F6B"/>
    <w:rsid w:val="00C9752D"/>
    <w:rsid w:val="00CA015F"/>
    <w:rsid w:val="00CA1023"/>
    <w:rsid w:val="00CA225B"/>
    <w:rsid w:val="00CA2317"/>
    <w:rsid w:val="00CA59A5"/>
    <w:rsid w:val="00CA6BBF"/>
    <w:rsid w:val="00CB0C59"/>
    <w:rsid w:val="00CB1AE6"/>
    <w:rsid w:val="00CB3479"/>
    <w:rsid w:val="00CB5351"/>
    <w:rsid w:val="00CB7DDD"/>
    <w:rsid w:val="00CC2892"/>
    <w:rsid w:val="00CC5AD4"/>
    <w:rsid w:val="00CC62C9"/>
    <w:rsid w:val="00CD14A4"/>
    <w:rsid w:val="00CD26ED"/>
    <w:rsid w:val="00CD2A92"/>
    <w:rsid w:val="00CD2B93"/>
    <w:rsid w:val="00CD32E3"/>
    <w:rsid w:val="00CD5F98"/>
    <w:rsid w:val="00CE028C"/>
    <w:rsid w:val="00CE096D"/>
    <w:rsid w:val="00CE18F7"/>
    <w:rsid w:val="00CE19DE"/>
    <w:rsid w:val="00CE738A"/>
    <w:rsid w:val="00CF3228"/>
    <w:rsid w:val="00CF6A6E"/>
    <w:rsid w:val="00D02809"/>
    <w:rsid w:val="00D03378"/>
    <w:rsid w:val="00D06059"/>
    <w:rsid w:val="00D114D2"/>
    <w:rsid w:val="00D13885"/>
    <w:rsid w:val="00D20306"/>
    <w:rsid w:val="00D20CE3"/>
    <w:rsid w:val="00D21BC0"/>
    <w:rsid w:val="00D22533"/>
    <w:rsid w:val="00D23DFD"/>
    <w:rsid w:val="00D24FF3"/>
    <w:rsid w:val="00D25391"/>
    <w:rsid w:val="00D262C7"/>
    <w:rsid w:val="00D276F8"/>
    <w:rsid w:val="00D3053D"/>
    <w:rsid w:val="00D31D57"/>
    <w:rsid w:val="00D3337E"/>
    <w:rsid w:val="00D355DF"/>
    <w:rsid w:val="00D35CD9"/>
    <w:rsid w:val="00D36B3B"/>
    <w:rsid w:val="00D378D8"/>
    <w:rsid w:val="00D410F8"/>
    <w:rsid w:val="00D42248"/>
    <w:rsid w:val="00D45771"/>
    <w:rsid w:val="00D45CAA"/>
    <w:rsid w:val="00D46573"/>
    <w:rsid w:val="00D50885"/>
    <w:rsid w:val="00D50C96"/>
    <w:rsid w:val="00D5321F"/>
    <w:rsid w:val="00D53591"/>
    <w:rsid w:val="00D57CAE"/>
    <w:rsid w:val="00D60571"/>
    <w:rsid w:val="00D63484"/>
    <w:rsid w:val="00D64421"/>
    <w:rsid w:val="00D64DE0"/>
    <w:rsid w:val="00D65FA7"/>
    <w:rsid w:val="00D66592"/>
    <w:rsid w:val="00D70AD4"/>
    <w:rsid w:val="00D71036"/>
    <w:rsid w:val="00D73CC1"/>
    <w:rsid w:val="00D7402B"/>
    <w:rsid w:val="00D82E5F"/>
    <w:rsid w:val="00D83274"/>
    <w:rsid w:val="00D84EE4"/>
    <w:rsid w:val="00D85EF4"/>
    <w:rsid w:val="00D91802"/>
    <w:rsid w:val="00D925D8"/>
    <w:rsid w:val="00D926DB"/>
    <w:rsid w:val="00D94FE7"/>
    <w:rsid w:val="00D9599C"/>
    <w:rsid w:val="00D95AF1"/>
    <w:rsid w:val="00D96402"/>
    <w:rsid w:val="00DA3798"/>
    <w:rsid w:val="00DA62FB"/>
    <w:rsid w:val="00DB1C40"/>
    <w:rsid w:val="00DB2F0E"/>
    <w:rsid w:val="00DB382D"/>
    <w:rsid w:val="00DB6AA0"/>
    <w:rsid w:val="00DC2630"/>
    <w:rsid w:val="00DC30E9"/>
    <w:rsid w:val="00DC4CE9"/>
    <w:rsid w:val="00DD3EBC"/>
    <w:rsid w:val="00DD4B1D"/>
    <w:rsid w:val="00DD4FC4"/>
    <w:rsid w:val="00DD632B"/>
    <w:rsid w:val="00DD77B8"/>
    <w:rsid w:val="00DE0337"/>
    <w:rsid w:val="00DE1204"/>
    <w:rsid w:val="00DE51EF"/>
    <w:rsid w:val="00DE6CAB"/>
    <w:rsid w:val="00DE79CF"/>
    <w:rsid w:val="00DF0151"/>
    <w:rsid w:val="00DF0D77"/>
    <w:rsid w:val="00DF3976"/>
    <w:rsid w:val="00DF4FC6"/>
    <w:rsid w:val="00DF73F8"/>
    <w:rsid w:val="00DF7786"/>
    <w:rsid w:val="00E0287E"/>
    <w:rsid w:val="00E055CF"/>
    <w:rsid w:val="00E06ACA"/>
    <w:rsid w:val="00E07008"/>
    <w:rsid w:val="00E07E3C"/>
    <w:rsid w:val="00E12EBC"/>
    <w:rsid w:val="00E13E5E"/>
    <w:rsid w:val="00E2078E"/>
    <w:rsid w:val="00E230B9"/>
    <w:rsid w:val="00E27228"/>
    <w:rsid w:val="00E27A7B"/>
    <w:rsid w:val="00E33AC0"/>
    <w:rsid w:val="00E350D1"/>
    <w:rsid w:val="00E35BAE"/>
    <w:rsid w:val="00E35C82"/>
    <w:rsid w:val="00E3624E"/>
    <w:rsid w:val="00E40A0C"/>
    <w:rsid w:val="00E446A3"/>
    <w:rsid w:val="00E46008"/>
    <w:rsid w:val="00E46C39"/>
    <w:rsid w:val="00E47179"/>
    <w:rsid w:val="00E511D6"/>
    <w:rsid w:val="00E52F66"/>
    <w:rsid w:val="00E53146"/>
    <w:rsid w:val="00E5509E"/>
    <w:rsid w:val="00E56554"/>
    <w:rsid w:val="00E6111F"/>
    <w:rsid w:val="00E62E17"/>
    <w:rsid w:val="00E62FB2"/>
    <w:rsid w:val="00E70AE0"/>
    <w:rsid w:val="00E70E1C"/>
    <w:rsid w:val="00E7120A"/>
    <w:rsid w:val="00E76895"/>
    <w:rsid w:val="00E77B15"/>
    <w:rsid w:val="00E83732"/>
    <w:rsid w:val="00E84418"/>
    <w:rsid w:val="00E85EC4"/>
    <w:rsid w:val="00E874E4"/>
    <w:rsid w:val="00E90A03"/>
    <w:rsid w:val="00E90BB3"/>
    <w:rsid w:val="00E91C70"/>
    <w:rsid w:val="00E91CE6"/>
    <w:rsid w:val="00E94982"/>
    <w:rsid w:val="00E951F3"/>
    <w:rsid w:val="00E95DA2"/>
    <w:rsid w:val="00E95E5D"/>
    <w:rsid w:val="00E97EBA"/>
    <w:rsid w:val="00EA0E20"/>
    <w:rsid w:val="00EA0E66"/>
    <w:rsid w:val="00EA394F"/>
    <w:rsid w:val="00EA4282"/>
    <w:rsid w:val="00EA4484"/>
    <w:rsid w:val="00EA5E68"/>
    <w:rsid w:val="00EA7FC6"/>
    <w:rsid w:val="00EB1697"/>
    <w:rsid w:val="00EB45F8"/>
    <w:rsid w:val="00EB465A"/>
    <w:rsid w:val="00EB6102"/>
    <w:rsid w:val="00EB6801"/>
    <w:rsid w:val="00EB7DEB"/>
    <w:rsid w:val="00EC1693"/>
    <w:rsid w:val="00EC4712"/>
    <w:rsid w:val="00ED06E3"/>
    <w:rsid w:val="00ED20C4"/>
    <w:rsid w:val="00ED2D25"/>
    <w:rsid w:val="00ED32A9"/>
    <w:rsid w:val="00ED376D"/>
    <w:rsid w:val="00ED4678"/>
    <w:rsid w:val="00ED540D"/>
    <w:rsid w:val="00ED5D40"/>
    <w:rsid w:val="00ED7912"/>
    <w:rsid w:val="00ED7B60"/>
    <w:rsid w:val="00ED7E9A"/>
    <w:rsid w:val="00EE058B"/>
    <w:rsid w:val="00EE1AE9"/>
    <w:rsid w:val="00EE584D"/>
    <w:rsid w:val="00EE6314"/>
    <w:rsid w:val="00EE6DCE"/>
    <w:rsid w:val="00EF6A21"/>
    <w:rsid w:val="00F000AA"/>
    <w:rsid w:val="00F00DE1"/>
    <w:rsid w:val="00F01F51"/>
    <w:rsid w:val="00F04A4E"/>
    <w:rsid w:val="00F05D1D"/>
    <w:rsid w:val="00F05F6E"/>
    <w:rsid w:val="00F06CBE"/>
    <w:rsid w:val="00F10252"/>
    <w:rsid w:val="00F1072B"/>
    <w:rsid w:val="00F125B9"/>
    <w:rsid w:val="00F12ADB"/>
    <w:rsid w:val="00F13A74"/>
    <w:rsid w:val="00F1584B"/>
    <w:rsid w:val="00F16271"/>
    <w:rsid w:val="00F1749E"/>
    <w:rsid w:val="00F17FE0"/>
    <w:rsid w:val="00F21098"/>
    <w:rsid w:val="00F22216"/>
    <w:rsid w:val="00F23D4F"/>
    <w:rsid w:val="00F25998"/>
    <w:rsid w:val="00F25B67"/>
    <w:rsid w:val="00F26676"/>
    <w:rsid w:val="00F26BF1"/>
    <w:rsid w:val="00F273BF"/>
    <w:rsid w:val="00F3549B"/>
    <w:rsid w:val="00F36A5C"/>
    <w:rsid w:val="00F420AB"/>
    <w:rsid w:val="00F43DD9"/>
    <w:rsid w:val="00F44C69"/>
    <w:rsid w:val="00F474F2"/>
    <w:rsid w:val="00F52134"/>
    <w:rsid w:val="00F52F07"/>
    <w:rsid w:val="00F54CBD"/>
    <w:rsid w:val="00F55387"/>
    <w:rsid w:val="00F55465"/>
    <w:rsid w:val="00F562FA"/>
    <w:rsid w:val="00F63D20"/>
    <w:rsid w:val="00F65ECC"/>
    <w:rsid w:val="00F66803"/>
    <w:rsid w:val="00F700C3"/>
    <w:rsid w:val="00F70816"/>
    <w:rsid w:val="00F712E3"/>
    <w:rsid w:val="00F72610"/>
    <w:rsid w:val="00F72794"/>
    <w:rsid w:val="00F728B9"/>
    <w:rsid w:val="00F7391E"/>
    <w:rsid w:val="00F75F26"/>
    <w:rsid w:val="00F8029A"/>
    <w:rsid w:val="00F81607"/>
    <w:rsid w:val="00F81C0A"/>
    <w:rsid w:val="00F82B7B"/>
    <w:rsid w:val="00F83C92"/>
    <w:rsid w:val="00F840F1"/>
    <w:rsid w:val="00F84132"/>
    <w:rsid w:val="00F870F7"/>
    <w:rsid w:val="00F87A46"/>
    <w:rsid w:val="00F90751"/>
    <w:rsid w:val="00F913AF"/>
    <w:rsid w:val="00F9151B"/>
    <w:rsid w:val="00F938CD"/>
    <w:rsid w:val="00F938F8"/>
    <w:rsid w:val="00F96289"/>
    <w:rsid w:val="00F96CDF"/>
    <w:rsid w:val="00F97EAE"/>
    <w:rsid w:val="00FA2AD2"/>
    <w:rsid w:val="00FA333A"/>
    <w:rsid w:val="00FA5A49"/>
    <w:rsid w:val="00FA6F37"/>
    <w:rsid w:val="00FB1B70"/>
    <w:rsid w:val="00FB7D54"/>
    <w:rsid w:val="00FC1D7E"/>
    <w:rsid w:val="00FC4D51"/>
    <w:rsid w:val="00FC6945"/>
    <w:rsid w:val="00FC7415"/>
    <w:rsid w:val="00FD03E7"/>
    <w:rsid w:val="00FD110D"/>
    <w:rsid w:val="00FD270E"/>
    <w:rsid w:val="00FD2977"/>
    <w:rsid w:val="00FD30C0"/>
    <w:rsid w:val="00FD3FC9"/>
    <w:rsid w:val="00FD5DD1"/>
    <w:rsid w:val="00FD5FA9"/>
    <w:rsid w:val="00FE2725"/>
    <w:rsid w:val="00FE28FA"/>
    <w:rsid w:val="00FE31C1"/>
    <w:rsid w:val="00FE37CE"/>
    <w:rsid w:val="00FE445F"/>
    <w:rsid w:val="00FE4FAC"/>
    <w:rsid w:val="00FE5D95"/>
    <w:rsid w:val="00FF1133"/>
    <w:rsid w:val="00FF1187"/>
    <w:rsid w:val="00FF2A40"/>
    <w:rsid w:val="00FF5B2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3cf" stroke="f">
      <v:fill color="#3cf"/>
      <v:stroke on="f"/>
      <v:textbox style="layout-flow:vertical;mso-layout-flow-alt:bottom-to-top"/>
      <o:colormru v:ext="edit" colors="#3cf"/>
    </o:shapedefaults>
    <o:shapelayout v:ext="edit">
      <o:idmap v:ext="edit" data="1"/>
    </o:shapelayout>
  </w:shapeDefaults>
  <w:decimalSymbol w:val=","/>
  <w:listSeparator w:val=";"/>
  <w14:docId w14:val="4D0F6DAA"/>
  <w15:docId w15:val="{41B8CA57-7E3B-4FA5-A6BD-A8905AE31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00DB3"/>
    <w:pPr>
      <w:spacing w:line="360" w:lineRule="auto"/>
      <w:jc w:val="both"/>
    </w:pPr>
    <w:rPr>
      <w:sz w:val="24"/>
    </w:rPr>
  </w:style>
  <w:style w:type="paragraph" w:styleId="Ttulo1">
    <w:name w:val="heading 1"/>
    <w:basedOn w:val="Normal"/>
    <w:next w:val="Normal"/>
    <w:link w:val="Ttulo1Car"/>
    <w:uiPriority w:val="9"/>
    <w:qFormat/>
    <w:rsid w:val="00AA2BB1"/>
    <w:pPr>
      <w:keepNext/>
      <w:spacing w:before="480" w:after="480"/>
      <w:outlineLvl w:val="0"/>
    </w:pPr>
    <w:rPr>
      <w:b/>
      <w:smallCaps/>
      <w:sz w:val="28"/>
    </w:rPr>
  </w:style>
  <w:style w:type="paragraph" w:styleId="Ttulo2">
    <w:name w:val="heading 2"/>
    <w:basedOn w:val="Normal"/>
    <w:next w:val="Normal"/>
    <w:link w:val="Ttulo2Car"/>
    <w:uiPriority w:val="9"/>
    <w:qFormat/>
    <w:rsid w:val="00AA2BB1"/>
    <w:pPr>
      <w:keepNext/>
      <w:numPr>
        <w:numId w:val="51"/>
      </w:numPr>
      <w:spacing w:before="720" w:after="480"/>
      <w:outlineLvl w:val="1"/>
    </w:pPr>
    <w:rPr>
      <w:b/>
      <w:caps/>
      <w:color w:val="000000"/>
    </w:rPr>
  </w:style>
  <w:style w:type="paragraph" w:styleId="Ttulo3">
    <w:name w:val="heading 3"/>
    <w:basedOn w:val="Normal"/>
    <w:next w:val="Normal"/>
    <w:link w:val="Ttulo3Car"/>
    <w:uiPriority w:val="9"/>
    <w:qFormat/>
    <w:rsid w:val="00756616"/>
    <w:pPr>
      <w:keepNext/>
      <w:numPr>
        <w:numId w:val="26"/>
      </w:numPr>
      <w:spacing w:before="480" w:after="240"/>
      <w:outlineLvl w:val="2"/>
    </w:pPr>
    <w:rPr>
      <w:b/>
    </w:rPr>
  </w:style>
  <w:style w:type="paragraph" w:styleId="Ttulo4">
    <w:name w:val="heading 4"/>
    <w:basedOn w:val="Normal"/>
    <w:next w:val="Normal"/>
    <w:link w:val="Ttulo4Car"/>
    <w:uiPriority w:val="9"/>
    <w:qFormat/>
    <w:rsid w:val="00105658"/>
    <w:pPr>
      <w:keepNext/>
      <w:numPr>
        <w:numId w:val="29"/>
      </w:numPr>
      <w:spacing w:before="480" w:after="240"/>
      <w:outlineLvl w:val="3"/>
    </w:pPr>
  </w:style>
  <w:style w:type="paragraph" w:styleId="Ttulo5">
    <w:name w:val="heading 5"/>
    <w:basedOn w:val="Normal"/>
    <w:next w:val="Normal"/>
    <w:link w:val="Ttulo5Car"/>
    <w:uiPriority w:val="9"/>
    <w:qFormat/>
    <w:rsid w:val="00105658"/>
    <w:pPr>
      <w:keepNext/>
      <w:numPr>
        <w:numId w:val="30"/>
      </w:numPr>
      <w:shd w:val="clear" w:color="B6DDE8" w:themeColor="accent5" w:themeTint="66" w:fill="FFFFFF" w:themeFill="background1"/>
      <w:spacing w:before="480" w:after="480"/>
      <w:outlineLvl w:val="4"/>
    </w:pPr>
    <w:rPr>
      <w:i/>
    </w:rPr>
  </w:style>
  <w:style w:type="paragraph" w:styleId="Ttulo6">
    <w:name w:val="heading 6"/>
    <w:basedOn w:val="Normal"/>
    <w:next w:val="Normal"/>
    <w:link w:val="Ttulo6Car"/>
    <w:uiPriority w:val="9"/>
    <w:qFormat/>
    <w:rsid w:val="001827C3"/>
    <w:pPr>
      <w:keepNext/>
      <w:numPr>
        <w:ilvl w:val="5"/>
        <w:numId w:val="4"/>
      </w:numPr>
      <w:outlineLvl w:val="5"/>
    </w:pPr>
    <w:rPr>
      <w:rFonts w:asciiTheme="minorHAnsi" w:hAnsiTheme="minorHAnsi"/>
    </w:rPr>
  </w:style>
  <w:style w:type="paragraph" w:styleId="Ttulo7">
    <w:name w:val="heading 7"/>
    <w:basedOn w:val="Normal"/>
    <w:next w:val="Normal"/>
    <w:link w:val="Ttulo7Car"/>
    <w:uiPriority w:val="9"/>
    <w:semiHidden/>
    <w:unhideWhenUsed/>
    <w:qFormat/>
    <w:rsid w:val="00AC2D83"/>
    <w:pPr>
      <w:numPr>
        <w:ilvl w:val="6"/>
        <w:numId w:val="4"/>
      </w:numPr>
      <w:spacing w:before="240" w:after="60"/>
      <w:outlineLvl w:val="6"/>
    </w:pPr>
    <w:rPr>
      <w:rFonts w:ascii="Calibri" w:hAnsi="Calibri"/>
      <w:szCs w:val="24"/>
    </w:rPr>
  </w:style>
  <w:style w:type="paragraph" w:styleId="Ttulo8">
    <w:name w:val="heading 8"/>
    <w:basedOn w:val="Normal"/>
    <w:next w:val="Normal"/>
    <w:link w:val="Ttulo8Car"/>
    <w:uiPriority w:val="9"/>
    <w:semiHidden/>
    <w:unhideWhenUsed/>
    <w:qFormat/>
    <w:rsid w:val="00AC2D83"/>
    <w:pPr>
      <w:numPr>
        <w:ilvl w:val="7"/>
        <w:numId w:val="4"/>
      </w:numPr>
      <w:spacing w:before="240" w:after="60"/>
      <w:outlineLvl w:val="7"/>
    </w:pPr>
    <w:rPr>
      <w:rFonts w:ascii="Calibri" w:hAnsi="Calibri"/>
      <w:i/>
      <w:iCs/>
      <w:szCs w:val="24"/>
    </w:rPr>
  </w:style>
  <w:style w:type="paragraph" w:styleId="Ttulo9">
    <w:name w:val="heading 9"/>
    <w:basedOn w:val="Normal"/>
    <w:next w:val="Normal"/>
    <w:link w:val="Ttulo9Car"/>
    <w:uiPriority w:val="9"/>
    <w:semiHidden/>
    <w:unhideWhenUsed/>
    <w:qFormat/>
    <w:rsid w:val="00AC2D83"/>
    <w:pPr>
      <w:numPr>
        <w:ilvl w:val="8"/>
        <w:numId w:val="4"/>
      </w:numPr>
      <w:spacing w:before="240" w:after="60"/>
      <w:outlineLvl w:val="8"/>
    </w:pPr>
    <w:rPr>
      <w:rFonts w:ascii="Calibri Light" w:hAnsi="Calibri Light"/>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AA2BB1"/>
    <w:rPr>
      <w:b/>
      <w:smallCaps/>
      <w:sz w:val="28"/>
    </w:rPr>
  </w:style>
  <w:style w:type="character" w:customStyle="1" w:styleId="Ttulo2Car">
    <w:name w:val="Título 2 Car"/>
    <w:basedOn w:val="Fuentedeprrafopredeter"/>
    <w:link w:val="Ttulo2"/>
    <w:uiPriority w:val="9"/>
    <w:rsid w:val="00AA2BB1"/>
    <w:rPr>
      <w:b/>
      <w:caps/>
      <w:color w:val="000000"/>
      <w:sz w:val="24"/>
    </w:rPr>
  </w:style>
  <w:style w:type="character" w:customStyle="1" w:styleId="Ttulo3Car">
    <w:name w:val="Título 3 Car"/>
    <w:basedOn w:val="Fuentedeprrafopredeter"/>
    <w:link w:val="Ttulo3"/>
    <w:uiPriority w:val="9"/>
    <w:rsid w:val="00756616"/>
    <w:rPr>
      <w:b/>
      <w:sz w:val="24"/>
    </w:rPr>
  </w:style>
  <w:style w:type="character" w:customStyle="1" w:styleId="Ttulo4Car">
    <w:name w:val="Título 4 Car"/>
    <w:link w:val="Ttulo4"/>
    <w:uiPriority w:val="9"/>
    <w:rsid w:val="00105658"/>
    <w:rPr>
      <w:sz w:val="24"/>
    </w:rPr>
  </w:style>
  <w:style w:type="character" w:customStyle="1" w:styleId="Ttulo5Car">
    <w:name w:val="Título 5 Car"/>
    <w:link w:val="Ttulo5"/>
    <w:uiPriority w:val="9"/>
    <w:rsid w:val="00105658"/>
    <w:rPr>
      <w:i/>
      <w:sz w:val="24"/>
      <w:shd w:val="clear" w:color="B6DDE8" w:themeColor="accent5" w:themeTint="66" w:fill="FFFFFF" w:themeFill="background1"/>
    </w:rPr>
  </w:style>
  <w:style w:type="character" w:customStyle="1" w:styleId="Ttulo6Car">
    <w:name w:val="Título 6 Car"/>
    <w:basedOn w:val="Fuentedeprrafopredeter"/>
    <w:link w:val="Ttulo6"/>
    <w:uiPriority w:val="9"/>
    <w:rsid w:val="001827C3"/>
    <w:rPr>
      <w:rFonts w:asciiTheme="minorHAnsi" w:hAnsiTheme="minorHAnsi"/>
      <w:sz w:val="24"/>
    </w:rPr>
  </w:style>
  <w:style w:type="character" w:customStyle="1" w:styleId="Ttulo7Car">
    <w:name w:val="Título 7 Car"/>
    <w:link w:val="Ttulo7"/>
    <w:uiPriority w:val="9"/>
    <w:semiHidden/>
    <w:rsid w:val="00AC2D83"/>
    <w:rPr>
      <w:rFonts w:ascii="Calibri" w:hAnsi="Calibri"/>
      <w:sz w:val="24"/>
      <w:szCs w:val="24"/>
    </w:rPr>
  </w:style>
  <w:style w:type="character" w:customStyle="1" w:styleId="Ttulo8Car">
    <w:name w:val="Título 8 Car"/>
    <w:link w:val="Ttulo8"/>
    <w:uiPriority w:val="9"/>
    <w:semiHidden/>
    <w:rsid w:val="00AC2D83"/>
    <w:rPr>
      <w:rFonts w:ascii="Calibri" w:hAnsi="Calibri"/>
      <w:i/>
      <w:iCs/>
      <w:sz w:val="24"/>
      <w:szCs w:val="24"/>
    </w:rPr>
  </w:style>
  <w:style w:type="character" w:customStyle="1" w:styleId="Ttulo9Car">
    <w:name w:val="Título 9 Car"/>
    <w:link w:val="Ttulo9"/>
    <w:uiPriority w:val="9"/>
    <w:semiHidden/>
    <w:rsid w:val="00AC2D83"/>
    <w:rPr>
      <w:rFonts w:ascii="Calibri Light" w:hAnsi="Calibri Light"/>
      <w:sz w:val="22"/>
      <w:szCs w:val="22"/>
    </w:rPr>
  </w:style>
  <w:style w:type="paragraph" w:styleId="Textoindependiente">
    <w:name w:val="Body Text"/>
    <w:basedOn w:val="Normal"/>
    <w:link w:val="TextoindependienteCar"/>
    <w:uiPriority w:val="1"/>
    <w:qFormat/>
    <w:rsid w:val="00C67D87"/>
    <w:pPr>
      <w:jc w:val="center"/>
    </w:pPr>
    <w:rPr>
      <w:sz w:val="48"/>
    </w:rPr>
  </w:style>
  <w:style w:type="character" w:customStyle="1" w:styleId="TextoindependienteCar">
    <w:name w:val="Texto independiente Car"/>
    <w:basedOn w:val="Fuentedeprrafopredeter"/>
    <w:link w:val="Textoindependiente"/>
    <w:uiPriority w:val="1"/>
    <w:rsid w:val="00E06ACA"/>
    <w:rPr>
      <w:rFonts w:ascii="High Tower Text" w:hAnsi="High Tower Text"/>
      <w:sz w:val="48"/>
    </w:rPr>
  </w:style>
  <w:style w:type="paragraph" w:styleId="Textoindependiente2">
    <w:name w:val="Body Text 2"/>
    <w:basedOn w:val="Normal"/>
    <w:link w:val="Textoindependiente2Car"/>
    <w:rsid w:val="00C67D87"/>
    <w:pPr>
      <w:jc w:val="center"/>
    </w:pPr>
    <w:rPr>
      <w:rFonts w:ascii="Arial" w:hAnsi="Arial"/>
      <w:smallCaps/>
      <w:sz w:val="52"/>
    </w:rPr>
  </w:style>
  <w:style w:type="paragraph" w:styleId="Piedepgina">
    <w:name w:val="footer"/>
    <w:basedOn w:val="Normal"/>
    <w:link w:val="PiedepginaCar"/>
    <w:uiPriority w:val="99"/>
    <w:unhideWhenUsed/>
    <w:rsid w:val="00250FF7"/>
    <w:pPr>
      <w:tabs>
        <w:tab w:val="center" w:pos="4680"/>
        <w:tab w:val="right" w:pos="9360"/>
      </w:tabs>
    </w:pPr>
    <w:rPr>
      <w:rFonts w:ascii="Calibri" w:hAnsi="Calibri"/>
      <w:sz w:val="22"/>
      <w:szCs w:val="22"/>
    </w:rPr>
  </w:style>
  <w:style w:type="character" w:customStyle="1" w:styleId="PiedepginaCar">
    <w:name w:val="Pie de página Car"/>
    <w:link w:val="Piedepgina"/>
    <w:uiPriority w:val="99"/>
    <w:rsid w:val="00250FF7"/>
    <w:rPr>
      <w:rFonts w:ascii="Calibri" w:hAnsi="Calibri"/>
      <w:sz w:val="22"/>
      <w:szCs w:val="22"/>
    </w:rPr>
  </w:style>
  <w:style w:type="paragraph" w:customStyle="1" w:styleId="texto">
    <w:name w:val="texto"/>
    <w:basedOn w:val="Normal"/>
    <w:link w:val="textoCar"/>
    <w:qFormat/>
    <w:rsid w:val="00B74FD0"/>
    <w:pPr>
      <w:spacing w:before="120" w:after="220" w:afterAutospacing="1"/>
      <w:ind w:firstLine="709"/>
    </w:pPr>
    <w:rPr>
      <w:rFonts w:asciiTheme="minorHAnsi" w:hAnsiTheme="minorHAnsi"/>
    </w:rPr>
  </w:style>
  <w:style w:type="character" w:customStyle="1" w:styleId="textoCar">
    <w:name w:val="texto Car"/>
    <w:link w:val="texto"/>
    <w:rsid w:val="00B74FD0"/>
    <w:rPr>
      <w:rFonts w:asciiTheme="minorHAnsi" w:hAnsiTheme="minorHAnsi"/>
      <w:sz w:val="24"/>
    </w:rPr>
  </w:style>
  <w:style w:type="paragraph" w:styleId="Encabezado">
    <w:name w:val="header"/>
    <w:basedOn w:val="Normal"/>
    <w:link w:val="EncabezadoCar"/>
    <w:uiPriority w:val="99"/>
    <w:rsid w:val="00960C6A"/>
    <w:pPr>
      <w:pBdr>
        <w:bottom w:val="single" w:sz="4" w:space="1" w:color="auto"/>
      </w:pBdr>
      <w:tabs>
        <w:tab w:val="center" w:pos="4252"/>
        <w:tab w:val="right" w:pos="8504"/>
      </w:tabs>
    </w:pPr>
    <w:rPr>
      <w:sz w:val="20"/>
    </w:rPr>
  </w:style>
  <w:style w:type="character" w:customStyle="1" w:styleId="EncabezadoCar">
    <w:name w:val="Encabezado Car"/>
    <w:basedOn w:val="Fuentedeprrafopredeter"/>
    <w:link w:val="Encabezado"/>
    <w:uiPriority w:val="99"/>
    <w:rsid w:val="00960C6A"/>
  </w:style>
  <w:style w:type="paragraph" w:styleId="Textonotapie">
    <w:name w:val="footnote text"/>
    <w:basedOn w:val="Normal"/>
    <w:link w:val="TextonotapieCar"/>
    <w:uiPriority w:val="99"/>
    <w:rsid w:val="000D4D21"/>
  </w:style>
  <w:style w:type="character" w:customStyle="1" w:styleId="TextonotapieCar">
    <w:name w:val="Texto nota pie Car"/>
    <w:basedOn w:val="Fuentedeprrafopredeter"/>
    <w:link w:val="Textonotapie"/>
    <w:uiPriority w:val="99"/>
    <w:rsid w:val="000D4D21"/>
  </w:style>
  <w:style w:type="character" w:styleId="Refdenotaalpie">
    <w:name w:val="footnote reference"/>
    <w:uiPriority w:val="99"/>
    <w:rsid w:val="000D4D21"/>
    <w:rPr>
      <w:vertAlign w:val="superscript"/>
    </w:rPr>
  </w:style>
  <w:style w:type="paragraph" w:customStyle="1" w:styleId="nota">
    <w:name w:val="nota"/>
    <w:basedOn w:val="Textonotapie"/>
    <w:link w:val="notaCar"/>
    <w:qFormat/>
    <w:rsid w:val="00464B01"/>
    <w:pPr>
      <w:spacing w:line="240" w:lineRule="auto"/>
    </w:pPr>
    <w:rPr>
      <w:sz w:val="20"/>
    </w:rPr>
  </w:style>
  <w:style w:type="character" w:customStyle="1" w:styleId="notaCar">
    <w:name w:val="nota Car"/>
    <w:basedOn w:val="TextonotapieCar"/>
    <w:link w:val="nota"/>
    <w:rsid w:val="00464B01"/>
  </w:style>
  <w:style w:type="paragraph" w:customStyle="1" w:styleId="PORTADA">
    <w:name w:val="PORTADA"/>
    <w:basedOn w:val="Ttulo1"/>
    <w:link w:val="PORTADACar"/>
    <w:qFormat/>
    <w:rsid w:val="00F000AA"/>
    <w:pPr>
      <w:numPr>
        <w:numId w:val="3"/>
      </w:numPr>
    </w:pPr>
    <w:rPr>
      <w:rFonts w:ascii="Arial" w:hAnsi="Arial"/>
      <w:b w:val="0"/>
      <w:outline/>
      <w:color w:val="FFFFFF"/>
      <w:sz w:val="96"/>
      <w14:textOutline w14:w="9525" w14:cap="flat" w14:cmpd="sng" w14:algn="ctr">
        <w14:solidFill>
          <w14:srgbClr w14:val="FFFFFF"/>
        </w14:solidFill>
        <w14:prstDash w14:val="solid"/>
        <w14:round/>
      </w14:textOutline>
      <w14:textFill>
        <w14:noFill/>
      </w14:textFill>
    </w:rPr>
  </w:style>
  <w:style w:type="character" w:customStyle="1" w:styleId="PORTADACar">
    <w:name w:val="PORTADA Car"/>
    <w:link w:val="PORTADA"/>
    <w:rsid w:val="00F000AA"/>
    <w:rPr>
      <w:rFonts w:ascii="Arial" w:hAnsi="Arial"/>
      <w:smallCaps/>
      <w:outline/>
      <w:color w:val="FFFFFF"/>
      <w:sz w:val="96"/>
      <w14:textOutline w14:w="9525" w14:cap="flat" w14:cmpd="sng" w14:algn="ctr">
        <w14:solidFill>
          <w14:srgbClr w14:val="FFFFFF"/>
        </w14:solidFill>
        <w14:prstDash w14:val="solid"/>
        <w14:round/>
      </w14:textOutline>
      <w14:textFill>
        <w14:noFill/>
      </w14:textFill>
    </w:rPr>
  </w:style>
  <w:style w:type="character" w:styleId="Hipervnculo">
    <w:name w:val="Hyperlink"/>
    <w:uiPriority w:val="99"/>
    <w:rsid w:val="004A1D6D"/>
    <w:rPr>
      <w:color w:val="0563C1"/>
      <w:u w:val="single"/>
    </w:rPr>
  </w:style>
  <w:style w:type="character" w:styleId="Hipervnculovisitado">
    <w:name w:val="FollowedHyperlink"/>
    <w:uiPriority w:val="99"/>
    <w:rsid w:val="003341E7"/>
    <w:rPr>
      <w:color w:val="954F72"/>
      <w:u w:val="single"/>
    </w:rPr>
  </w:style>
  <w:style w:type="paragraph" w:styleId="TtuloTDC">
    <w:name w:val="TOC Heading"/>
    <w:basedOn w:val="Ttulo1"/>
    <w:next w:val="Normal"/>
    <w:uiPriority w:val="39"/>
    <w:unhideWhenUsed/>
    <w:qFormat/>
    <w:rsid w:val="00951D1C"/>
    <w:pPr>
      <w:keepLines/>
      <w:spacing w:before="240" w:after="0" w:line="259" w:lineRule="auto"/>
      <w:ind w:left="432" w:hanging="432"/>
      <w:jc w:val="left"/>
      <w:outlineLvl w:val="9"/>
    </w:pPr>
    <w:rPr>
      <w:rFonts w:ascii="Calibri Light" w:hAnsi="Calibri Light"/>
      <w:b w:val="0"/>
      <w:color w:val="2E74B5"/>
      <w:szCs w:val="32"/>
    </w:rPr>
  </w:style>
  <w:style w:type="paragraph" w:styleId="TDC3">
    <w:name w:val="toc 3"/>
    <w:basedOn w:val="Normal"/>
    <w:next w:val="Normal"/>
    <w:autoRedefine/>
    <w:uiPriority w:val="39"/>
    <w:rsid w:val="00951D1C"/>
    <w:pPr>
      <w:ind w:left="480"/>
      <w:jc w:val="left"/>
    </w:pPr>
    <w:rPr>
      <w:rFonts w:asciiTheme="minorHAnsi" w:hAnsiTheme="minorHAnsi" w:cstheme="minorHAnsi"/>
      <w:i/>
      <w:iCs/>
      <w:sz w:val="20"/>
    </w:rPr>
  </w:style>
  <w:style w:type="paragraph" w:styleId="TDC2">
    <w:name w:val="toc 2"/>
    <w:basedOn w:val="Normal"/>
    <w:next w:val="Normal"/>
    <w:autoRedefine/>
    <w:uiPriority w:val="39"/>
    <w:rsid w:val="00951D1C"/>
    <w:pPr>
      <w:ind w:left="240"/>
      <w:jc w:val="left"/>
    </w:pPr>
    <w:rPr>
      <w:rFonts w:asciiTheme="minorHAnsi" w:hAnsiTheme="minorHAnsi" w:cstheme="minorHAnsi"/>
      <w:smallCaps/>
      <w:sz w:val="20"/>
    </w:rPr>
  </w:style>
  <w:style w:type="paragraph" w:styleId="TDC1">
    <w:name w:val="toc 1"/>
    <w:basedOn w:val="Normal"/>
    <w:next w:val="Normal"/>
    <w:autoRedefine/>
    <w:uiPriority w:val="39"/>
    <w:rsid w:val="00951D1C"/>
    <w:pPr>
      <w:spacing w:before="120" w:after="120"/>
      <w:jc w:val="left"/>
    </w:pPr>
    <w:rPr>
      <w:rFonts w:asciiTheme="minorHAnsi" w:hAnsiTheme="minorHAnsi" w:cstheme="minorHAnsi"/>
      <w:b/>
      <w:bCs/>
      <w:caps/>
      <w:sz w:val="20"/>
    </w:rPr>
  </w:style>
  <w:style w:type="table" w:styleId="Tablaconcuadrcula">
    <w:name w:val="Table Grid"/>
    <w:basedOn w:val="Tablanormal"/>
    <w:uiPriority w:val="39"/>
    <w:rsid w:val="00D31D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8">
    <w:name w:val="Table Grid 8"/>
    <w:basedOn w:val="Tablanormal"/>
    <w:rsid w:val="006C67E8"/>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Refdecomentario">
    <w:name w:val="annotation reference"/>
    <w:uiPriority w:val="99"/>
    <w:rsid w:val="00A4676E"/>
    <w:rPr>
      <w:sz w:val="16"/>
      <w:szCs w:val="16"/>
    </w:rPr>
  </w:style>
  <w:style w:type="paragraph" w:styleId="Textocomentario">
    <w:name w:val="annotation text"/>
    <w:basedOn w:val="Normal"/>
    <w:link w:val="TextocomentarioCar"/>
    <w:uiPriority w:val="99"/>
    <w:rsid w:val="00A4676E"/>
  </w:style>
  <w:style w:type="character" w:customStyle="1" w:styleId="TextocomentarioCar">
    <w:name w:val="Texto comentario Car"/>
    <w:basedOn w:val="Fuentedeprrafopredeter"/>
    <w:link w:val="Textocomentario"/>
    <w:uiPriority w:val="99"/>
    <w:rsid w:val="00A4676E"/>
  </w:style>
  <w:style w:type="paragraph" w:styleId="Asuntodelcomentario">
    <w:name w:val="annotation subject"/>
    <w:basedOn w:val="Textocomentario"/>
    <w:next w:val="Textocomentario"/>
    <w:link w:val="AsuntodelcomentarioCar"/>
    <w:uiPriority w:val="99"/>
    <w:rsid w:val="00A4676E"/>
    <w:rPr>
      <w:b/>
      <w:bCs/>
    </w:rPr>
  </w:style>
  <w:style w:type="character" w:customStyle="1" w:styleId="AsuntodelcomentarioCar">
    <w:name w:val="Asunto del comentario Car"/>
    <w:link w:val="Asuntodelcomentario"/>
    <w:uiPriority w:val="99"/>
    <w:rsid w:val="00A4676E"/>
    <w:rPr>
      <w:b/>
      <w:bCs/>
    </w:rPr>
  </w:style>
  <w:style w:type="paragraph" w:styleId="Textodeglobo">
    <w:name w:val="Balloon Text"/>
    <w:basedOn w:val="Normal"/>
    <w:link w:val="TextodegloboCar"/>
    <w:uiPriority w:val="99"/>
    <w:rsid w:val="00A4676E"/>
    <w:rPr>
      <w:rFonts w:ascii="Tahoma" w:hAnsi="Tahoma" w:cs="Tahoma"/>
      <w:sz w:val="16"/>
      <w:szCs w:val="16"/>
    </w:rPr>
  </w:style>
  <w:style w:type="character" w:customStyle="1" w:styleId="TextodegloboCar">
    <w:name w:val="Texto de globo Car"/>
    <w:link w:val="Textodeglobo"/>
    <w:uiPriority w:val="99"/>
    <w:rsid w:val="00A4676E"/>
    <w:rPr>
      <w:rFonts w:ascii="Tahoma" w:hAnsi="Tahoma" w:cs="Tahoma"/>
      <w:sz w:val="16"/>
      <w:szCs w:val="16"/>
    </w:rPr>
  </w:style>
  <w:style w:type="paragraph" w:customStyle="1" w:styleId="TABLAS">
    <w:name w:val="TABLAS"/>
    <w:basedOn w:val="texto"/>
    <w:link w:val="TABLASCar"/>
    <w:qFormat/>
    <w:rsid w:val="0004024B"/>
    <w:pPr>
      <w:spacing w:line="240" w:lineRule="auto"/>
      <w:ind w:firstLine="0"/>
      <w:jc w:val="center"/>
    </w:pPr>
    <w:rPr>
      <w:rFonts w:ascii="High Tower Text" w:hAnsi="High Tower Text"/>
    </w:rPr>
  </w:style>
  <w:style w:type="character" w:customStyle="1" w:styleId="TABLASCar">
    <w:name w:val="TABLAS Car"/>
    <w:basedOn w:val="textoCar"/>
    <w:link w:val="TABLAS"/>
    <w:rsid w:val="0004024B"/>
    <w:rPr>
      <w:rFonts w:ascii="High Tower Text" w:hAnsi="High Tower Text"/>
      <w:sz w:val="24"/>
    </w:rPr>
  </w:style>
  <w:style w:type="table" w:customStyle="1" w:styleId="Tabladecuadrcula5oscura-nfasis11">
    <w:name w:val="Tabla de cuadrícula 5 oscura - Énfasis 11"/>
    <w:basedOn w:val="Tablanormal"/>
    <w:uiPriority w:val="50"/>
    <w:rsid w:val="0098165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adecuadrcula1clara1">
    <w:name w:val="Tabla de cuadrícula 1 clara1"/>
    <w:basedOn w:val="Tablanormal"/>
    <w:uiPriority w:val="46"/>
    <w:rsid w:val="00B62E2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Textoennegrita">
    <w:name w:val="Strong"/>
    <w:basedOn w:val="Fuentedeprrafopredeter"/>
    <w:qFormat/>
    <w:rsid w:val="00F8029A"/>
    <w:rPr>
      <w:b/>
      <w:bCs/>
    </w:rPr>
  </w:style>
  <w:style w:type="paragraph" w:styleId="Prrafodelista">
    <w:name w:val="List Paragraph"/>
    <w:basedOn w:val="Normal"/>
    <w:uiPriority w:val="34"/>
    <w:qFormat/>
    <w:rsid w:val="00DB1C40"/>
    <w:pPr>
      <w:spacing w:before="240" w:after="240"/>
      <w:ind w:left="720"/>
    </w:pPr>
  </w:style>
  <w:style w:type="paragraph" w:styleId="TDC4">
    <w:name w:val="toc 4"/>
    <w:basedOn w:val="Normal"/>
    <w:next w:val="Normal"/>
    <w:autoRedefine/>
    <w:uiPriority w:val="39"/>
    <w:unhideWhenUsed/>
    <w:rsid w:val="001774AA"/>
    <w:pPr>
      <w:ind w:left="720"/>
      <w:jc w:val="left"/>
    </w:pPr>
    <w:rPr>
      <w:rFonts w:asciiTheme="minorHAnsi" w:hAnsiTheme="minorHAnsi" w:cstheme="minorHAnsi"/>
      <w:sz w:val="18"/>
      <w:szCs w:val="18"/>
    </w:rPr>
  </w:style>
  <w:style w:type="paragraph" w:styleId="TDC5">
    <w:name w:val="toc 5"/>
    <w:basedOn w:val="Normal"/>
    <w:next w:val="Normal"/>
    <w:autoRedefine/>
    <w:uiPriority w:val="39"/>
    <w:unhideWhenUsed/>
    <w:rsid w:val="001774AA"/>
    <w:pPr>
      <w:ind w:left="960"/>
      <w:jc w:val="left"/>
    </w:pPr>
    <w:rPr>
      <w:rFonts w:asciiTheme="minorHAnsi" w:hAnsiTheme="minorHAnsi" w:cstheme="minorHAnsi"/>
      <w:sz w:val="18"/>
      <w:szCs w:val="18"/>
    </w:rPr>
  </w:style>
  <w:style w:type="paragraph" w:styleId="TDC6">
    <w:name w:val="toc 6"/>
    <w:basedOn w:val="Normal"/>
    <w:next w:val="Normal"/>
    <w:autoRedefine/>
    <w:uiPriority w:val="39"/>
    <w:unhideWhenUsed/>
    <w:rsid w:val="001774AA"/>
    <w:pPr>
      <w:ind w:left="12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1774AA"/>
    <w:pPr>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1774AA"/>
    <w:pPr>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1774AA"/>
    <w:pPr>
      <w:ind w:left="1920"/>
      <w:jc w:val="left"/>
    </w:pPr>
    <w:rPr>
      <w:rFonts w:asciiTheme="minorHAnsi" w:hAnsiTheme="minorHAnsi" w:cstheme="minorHAnsi"/>
      <w:sz w:val="18"/>
      <w:szCs w:val="18"/>
    </w:rPr>
  </w:style>
  <w:style w:type="paragraph" w:customStyle="1" w:styleId="portada0">
    <w:name w:val="portada"/>
    <w:basedOn w:val="Normal"/>
    <w:qFormat/>
    <w:rsid w:val="00700AE4"/>
    <w:pPr>
      <w:jc w:val="center"/>
    </w:pPr>
    <w:rPr>
      <w:rFonts w:ascii="Arial Narrow" w:hAnsi="Arial Narrow"/>
      <w:b/>
      <w:outline/>
      <w:color w:val="FFFFFF" w:themeColor="background1"/>
      <w:sz w:val="96"/>
      <w14:textOutline w14:w="9525" w14:cap="flat" w14:cmpd="sng" w14:algn="ctr">
        <w14:solidFill>
          <w14:schemeClr w14:val="bg1"/>
        </w14:solidFill>
        <w14:prstDash w14:val="solid"/>
        <w14:round/>
      </w14:textOutline>
      <w14:textFill>
        <w14:noFill/>
      </w14:textFill>
    </w:rPr>
  </w:style>
  <w:style w:type="paragraph" w:styleId="Subttulo">
    <w:name w:val="Subtitle"/>
    <w:basedOn w:val="Normal"/>
    <w:next w:val="Normal"/>
    <w:link w:val="SubttuloCar"/>
    <w:qFormat/>
    <w:rsid w:val="004927E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rsid w:val="004927E6"/>
    <w:rPr>
      <w:rFonts w:asciiTheme="minorHAnsi" w:eastAsiaTheme="minorEastAsia" w:hAnsiTheme="minorHAnsi" w:cstheme="minorBidi"/>
      <w:color w:val="5A5A5A" w:themeColor="text1" w:themeTint="A5"/>
      <w:spacing w:val="15"/>
      <w:sz w:val="22"/>
      <w:szCs w:val="22"/>
    </w:rPr>
  </w:style>
  <w:style w:type="paragraph" w:styleId="Ttulo">
    <w:name w:val="Title"/>
    <w:basedOn w:val="Normal"/>
    <w:next w:val="Normal"/>
    <w:link w:val="TtuloCar"/>
    <w:uiPriority w:val="10"/>
    <w:qFormat/>
    <w:rsid w:val="008F758A"/>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F758A"/>
    <w:rPr>
      <w:rFonts w:asciiTheme="majorHAnsi" w:eastAsiaTheme="majorEastAsia" w:hAnsiTheme="majorHAnsi" w:cstheme="majorBidi"/>
      <w:spacing w:val="-10"/>
      <w:kern w:val="28"/>
      <w:sz w:val="56"/>
      <w:szCs w:val="56"/>
    </w:rPr>
  </w:style>
  <w:style w:type="paragraph" w:customStyle="1" w:styleId="msonormal0">
    <w:name w:val="msonormal"/>
    <w:basedOn w:val="Normal"/>
    <w:rsid w:val="006F44C0"/>
    <w:pPr>
      <w:spacing w:before="100" w:beforeAutospacing="1" w:after="100" w:afterAutospacing="1" w:line="240" w:lineRule="auto"/>
      <w:jc w:val="left"/>
    </w:pPr>
    <w:rPr>
      <w:szCs w:val="24"/>
    </w:rPr>
  </w:style>
  <w:style w:type="paragraph" w:customStyle="1" w:styleId="TableParagraph">
    <w:name w:val="Table Paragraph"/>
    <w:basedOn w:val="Normal"/>
    <w:uiPriority w:val="1"/>
    <w:qFormat/>
    <w:rsid w:val="006F44C0"/>
    <w:pPr>
      <w:widowControl w:val="0"/>
      <w:autoSpaceDE w:val="0"/>
      <w:autoSpaceDN w:val="0"/>
      <w:spacing w:line="240" w:lineRule="auto"/>
      <w:jc w:val="left"/>
    </w:pPr>
    <w:rPr>
      <w:sz w:val="22"/>
      <w:szCs w:val="22"/>
      <w:lang w:bidi="es-ES"/>
    </w:rPr>
  </w:style>
  <w:style w:type="table" w:customStyle="1" w:styleId="TableNormal">
    <w:name w:val="Table Normal"/>
    <w:uiPriority w:val="2"/>
    <w:semiHidden/>
    <w:qFormat/>
    <w:rsid w:val="006F44C0"/>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Mencinsinresolver1">
    <w:name w:val="Mención sin resolver1"/>
    <w:basedOn w:val="Fuentedeprrafopredeter"/>
    <w:uiPriority w:val="99"/>
    <w:semiHidden/>
    <w:unhideWhenUsed/>
    <w:rsid w:val="004C0250"/>
    <w:rPr>
      <w:color w:val="605E5C"/>
      <w:shd w:val="clear" w:color="auto" w:fill="E1DFDD"/>
    </w:rPr>
  </w:style>
  <w:style w:type="character" w:customStyle="1" w:styleId="Mencinsinresolver2">
    <w:name w:val="Mención sin resolver2"/>
    <w:basedOn w:val="Fuentedeprrafopredeter"/>
    <w:uiPriority w:val="99"/>
    <w:semiHidden/>
    <w:unhideWhenUsed/>
    <w:rsid w:val="0038633A"/>
    <w:rPr>
      <w:color w:val="605E5C"/>
      <w:shd w:val="clear" w:color="auto" w:fill="E1DFDD"/>
    </w:rPr>
  </w:style>
  <w:style w:type="character" w:customStyle="1" w:styleId="Textoindependiente2Car">
    <w:name w:val="Texto independiente 2 Car"/>
    <w:basedOn w:val="Fuentedeprrafopredeter"/>
    <w:link w:val="Textoindependiente2"/>
    <w:rsid w:val="00316C24"/>
    <w:rPr>
      <w:rFonts w:ascii="Arial" w:hAnsi="Arial"/>
      <w:smallCaps/>
      <w:sz w:val="52"/>
    </w:rPr>
  </w:style>
  <w:style w:type="character" w:styleId="Mencinsinresolver">
    <w:name w:val="Unresolved Mention"/>
    <w:basedOn w:val="Fuentedeprrafopredeter"/>
    <w:uiPriority w:val="99"/>
    <w:semiHidden/>
    <w:unhideWhenUsed/>
    <w:rsid w:val="00316C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7989850">
      <w:bodyDiv w:val="1"/>
      <w:marLeft w:val="0"/>
      <w:marRight w:val="0"/>
      <w:marTop w:val="0"/>
      <w:marBottom w:val="0"/>
      <w:divBdr>
        <w:top w:val="none" w:sz="0" w:space="0" w:color="auto"/>
        <w:left w:val="none" w:sz="0" w:space="0" w:color="auto"/>
        <w:bottom w:val="none" w:sz="0" w:space="0" w:color="auto"/>
        <w:right w:val="none" w:sz="0" w:space="0" w:color="auto"/>
      </w:divBdr>
      <w:divsChild>
        <w:div w:id="1060786186">
          <w:marLeft w:val="547"/>
          <w:marRight w:val="0"/>
          <w:marTop w:val="0"/>
          <w:marBottom w:val="0"/>
          <w:divBdr>
            <w:top w:val="none" w:sz="0" w:space="0" w:color="auto"/>
            <w:left w:val="none" w:sz="0" w:space="0" w:color="auto"/>
            <w:bottom w:val="none" w:sz="0" w:space="0" w:color="auto"/>
            <w:right w:val="none" w:sz="0" w:space="0" w:color="auto"/>
          </w:divBdr>
        </w:div>
      </w:divsChild>
    </w:div>
    <w:div w:id="561058318">
      <w:bodyDiv w:val="1"/>
      <w:marLeft w:val="0"/>
      <w:marRight w:val="0"/>
      <w:marTop w:val="0"/>
      <w:marBottom w:val="0"/>
      <w:divBdr>
        <w:top w:val="none" w:sz="0" w:space="0" w:color="auto"/>
        <w:left w:val="none" w:sz="0" w:space="0" w:color="auto"/>
        <w:bottom w:val="none" w:sz="0" w:space="0" w:color="auto"/>
        <w:right w:val="none" w:sz="0" w:space="0" w:color="auto"/>
      </w:divBdr>
      <w:divsChild>
        <w:div w:id="1143501686">
          <w:marLeft w:val="547"/>
          <w:marRight w:val="0"/>
          <w:marTop w:val="0"/>
          <w:marBottom w:val="0"/>
          <w:divBdr>
            <w:top w:val="none" w:sz="0" w:space="0" w:color="auto"/>
            <w:left w:val="none" w:sz="0" w:space="0" w:color="auto"/>
            <w:bottom w:val="none" w:sz="0" w:space="0" w:color="auto"/>
            <w:right w:val="none" w:sz="0" w:space="0" w:color="auto"/>
          </w:divBdr>
        </w:div>
        <w:div w:id="422074965">
          <w:marLeft w:val="547"/>
          <w:marRight w:val="0"/>
          <w:marTop w:val="0"/>
          <w:marBottom w:val="0"/>
          <w:divBdr>
            <w:top w:val="none" w:sz="0" w:space="0" w:color="auto"/>
            <w:left w:val="none" w:sz="0" w:space="0" w:color="auto"/>
            <w:bottom w:val="none" w:sz="0" w:space="0" w:color="auto"/>
            <w:right w:val="none" w:sz="0" w:space="0" w:color="auto"/>
          </w:divBdr>
        </w:div>
        <w:div w:id="501630088">
          <w:marLeft w:val="547"/>
          <w:marRight w:val="0"/>
          <w:marTop w:val="0"/>
          <w:marBottom w:val="0"/>
          <w:divBdr>
            <w:top w:val="none" w:sz="0" w:space="0" w:color="auto"/>
            <w:left w:val="none" w:sz="0" w:space="0" w:color="auto"/>
            <w:bottom w:val="none" w:sz="0" w:space="0" w:color="auto"/>
            <w:right w:val="none" w:sz="0" w:space="0" w:color="auto"/>
          </w:divBdr>
        </w:div>
      </w:divsChild>
    </w:div>
    <w:div w:id="589702190">
      <w:bodyDiv w:val="1"/>
      <w:marLeft w:val="0"/>
      <w:marRight w:val="0"/>
      <w:marTop w:val="0"/>
      <w:marBottom w:val="0"/>
      <w:divBdr>
        <w:top w:val="none" w:sz="0" w:space="0" w:color="auto"/>
        <w:left w:val="none" w:sz="0" w:space="0" w:color="auto"/>
        <w:bottom w:val="none" w:sz="0" w:space="0" w:color="auto"/>
        <w:right w:val="none" w:sz="0" w:space="0" w:color="auto"/>
      </w:divBdr>
      <w:divsChild>
        <w:div w:id="145512235">
          <w:marLeft w:val="547"/>
          <w:marRight w:val="0"/>
          <w:marTop w:val="0"/>
          <w:marBottom w:val="0"/>
          <w:divBdr>
            <w:top w:val="none" w:sz="0" w:space="0" w:color="auto"/>
            <w:left w:val="none" w:sz="0" w:space="0" w:color="auto"/>
            <w:bottom w:val="none" w:sz="0" w:space="0" w:color="auto"/>
            <w:right w:val="none" w:sz="0" w:space="0" w:color="auto"/>
          </w:divBdr>
        </w:div>
      </w:divsChild>
    </w:div>
    <w:div w:id="809437975">
      <w:bodyDiv w:val="1"/>
      <w:marLeft w:val="0"/>
      <w:marRight w:val="0"/>
      <w:marTop w:val="0"/>
      <w:marBottom w:val="0"/>
      <w:divBdr>
        <w:top w:val="none" w:sz="0" w:space="0" w:color="auto"/>
        <w:left w:val="none" w:sz="0" w:space="0" w:color="auto"/>
        <w:bottom w:val="none" w:sz="0" w:space="0" w:color="auto"/>
        <w:right w:val="none" w:sz="0" w:space="0" w:color="auto"/>
      </w:divBdr>
      <w:divsChild>
        <w:div w:id="249824551">
          <w:marLeft w:val="547"/>
          <w:marRight w:val="0"/>
          <w:marTop w:val="0"/>
          <w:marBottom w:val="0"/>
          <w:divBdr>
            <w:top w:val="none" w:sz="0" w:space="0" w:color="auto"/>
            <w:left w:val="none" w:sz="0" w:space="0" w:color="auto"/>
            <w:bottom w:val="none" w:sz="0" w:space="0" w:color="auto"/>
            <w:right w:val="none" w:sz="0" w:space="0" w:color="auto"/>
          </w:divBdr>
        </w:div>
      </w:divsChild>
    </w:div>
    <w:div w:id="834615239">
      <w:bodyDiv w:val="1"/>
      <w:marLeft w:val="0"/>
      <w:marRight w:val="0"/>
      <w:marTop w:val="0"/>
      <w:marBottom w:val="0"/>
      <w:divBdr>
        <w:top w:val="none" w:sz="0" w:space="0" w:color="auto"/>
        <w:left w:val="none" w:sz="0" w:space="0" w:color="auto"/>
        <w:bottom w:val="none" w:sz="0" w:space="0" w:color="auto"/>
        <w:right w:val="none" w:sz="0" w:space="0" w:color="auto"/>
      </w:divBdr>
    </w:div>
    <w:div w:id="1219055252">
      <w:bodyDiv w:val="1"/>
      <w:marLeft w:val="0"/>
      <w:marRight w:val="0"/>
      <w:marTop w:val="0"/>
      <w:marBottom w:val="0"/>
      <w:divBdr>
        <w:top w:val="none" w:sz="0" w:space="0" w:color="auto"/>
        <w:left w:val="none" w:sz="0" w:space="0" w:color="auto"/>
        <w:bottom w:val="none" w:sz="0" w:space="0" w:color="auto"/>
        <w:right w:val="none" w:sz="0" w:space="0" w:color="auto"/>
      </w:divBdr>
      <w:divsChild>
        <w:div w:id="1496409727">
          <w:marLeft w:val="547"/>
          <w:marRight w:val="0"/>
          <w:marTop w:val="0"/>
          <w:marBottom w:val="0"/>
          <w:divBdr>
            <w:top w:val="none" w:sz="0" w:space="0" w:color="auto"/>
            <w:left w:val="none" w:sz="0" w:space="0" w:color="auto"/>
            <w:bottom w:val="none" w:sz="0" w:space="0" w:color="auto"/>
            <w:right w:val="none" w:sz="0" w:space="0" w:color="auto"/>
          </w:divBdr>
        </w:div>
      </w:divsChild>
    </w:div>
    <w:div w:id="1315529771">
      <w:bodyDiv w:val="1"/>
      <w:marLeft w:val="0"/>
      <w:marRight w:val="0"/>
      <w:marTop w:val="0"/>
      <w:marBottom w:val="0"/>
      <w:divBdr>
        <w:top w:val="none" w:sz="0" w:space="0" w:color="auto"/>
        <w:left w:val="none" w:sz="0" w:space="0" w:color="auto"/>
        <w:bottom w:val="none" w:sz="0" w:space="0" w:color="auto"/>
        <w:right w:val="none" w:sz="0" w:space="0" w:color="auto"/>
      </w:divBdr>
    </w:div>
    <w:div w:id="1789545382">
      <w:bodyDiv w:val="1"/>
      <w:marLeft w:val="0"/>
      <w:marRight w:val="0"/>
      <w:marTop w:val="0"/>
      <w:marBottom w:val="0"/>
      <w:divBdr>
        <w:top w:val="none" w:sz="0" w:space="0" w:color="auto"/>
        <w:left w:val="none" w:sz="0" w:space="0" w:color="auto"/>
        <w:bottom w:val="none" w:sz="0" w:space="0" w:color="auto"/>
        <w:right w:val="none" w:sz="0" w:space="0" w:color="auto"/>
      </w:divBdr>
      <w:divsChild>
        <w:div w:id="1369799021">
          <w:marLeft w:val="547"/>
          <w:marRight w:val="0"/>
          <w:marTop w:val="0"/>
          <w:marBottom w:val="0"/>
          <w:divBdr>
            <w:top w:val="none" w:sz="0" w:space="0" w:color="auto"/>
            <w:left w:val="none" w:sz="0" w:space="0" w:color="auto"/>
            <w:bottom w:val="none" w:sz="0" w:space="0" w:color="auto"/>
            <w:right w:val="none" w:sz="0" w:space="0" w:color="auto"/>
          </w:divBdr>
        </w:div>
      </w:divsChild>
    </w:div>
    <w:div w:id="1893885877">
      <w:bodyDiv w:val="1"/>
      <w:marLeft w:val="0"/>
      <w:marRight w:val="0"/>
      <w:marTop w:val="0"/>
      <w:marBottom w:val="0"/>
      <w:divBdr>
        <w:top w:val="none" w:sz="0" w:space="0" w:color="auto"/>
        <w:left w:val="none" w:sz="0" w:space="0" w:color="auto"/>
        <w:bottom w:val="none" w:sz="0" w:space="0" w:color="auto"/>
        <w:right w:val="none" w:sz="0" w:space="0" w:color="auto"/>
      </w:divBdr>
      <w:divsChild>
        <w:div w:id="1484463439">
          <w:marLeft w:val="547"/>
          <w:marRight w:val="0"/>
          <w:marTop w:val="0"/>
          <w:marBottom w:val="0"/>
          <w:divBdr>
            <w:top w:val="none" w:sz="0" w:space="0" w:color="auto"/>
            <w:left w:val="none" w:sz="0" w:space="0" w:color="auto"/>
            <w:bottom w:val="none" w:sz="0" w:space="0" w:color="auto"/>
            <w:right w:val="none" w:sz="0" w:space="0" w:color="auto"/>
          </w:divBdr>
        </w:div>
      </w:divsChild>
    </w:div>
    <w:div w:id="2049329563">
      <w:bodyDiv w:val="1"/>
      <w:marLeft w:val="0"/>
      <w:marRight w:val="0"/>
      <w:marTop w:val="0"/>
      <w:marBottom w:val="0"/>
      <w:divBdr>
        <w:top w:val="none" w:sz="0" w:space="0" w:color="auto"/>
        <w:left w:val="none" w:sz="0" w:space="0" w:color="auto"/>
        <w:bottom w:val="none" w:sz="0" w:space="0" w:color="auto"/>
        <w:right w:val="none" w:sz="0" w:space="0" w:color="auto"/>
      </w:divBdr>
      <w:divsChild>
        <w:div w:id="778916996">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ienciaspenales.net/files/2016/07/2.1.10munoz-conde-franquismo.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iuma.uma.es/xmlui/handle/10630/10232"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falternativas.org/en/laboratorio/documentos/documentos-de-trabajo/el-recurso-de-amparo-constitucional-una-propuesta-de-reforma" TargetMode="External"/><Relationship Id="rId4" Type="http://schemas.openxmlformats.org/officeDocument/2006/relationships/settings" Target="settings.xml"/><Relationship Id="rId9" Type="http://schemas.openxmlformats.org/officeDocument/2006/relationships/hyperlink" Target="https://porticolegal.eleconomista.es/pa_articulo.php?ref=293"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riuma.uma.es/xmlui/handle/10630/10232" TargetMode="External"/><Relationship Id="rId13" Type="http://schemas.openxmlformats.org/officeDocument/2006/relationships/hyperlink" Target="http://www.tribunalconstitucional.es/es/memorias/Documents/Memoria-2016.pdf" TargetMode="External"/><Relationship Id="rId3" Type="http://schemas.openxmlformats.org/officeDocument/2006/relationships/hyperlink" Target="https://www.tribunalconstitucional.es/es/memorias/Paginas/Cuadros-estadisticos.aspx" TargetMode="External"/><Relationship Id="rId7" Type="http://schemas.openxmlformats.org/officeDocument/2006/relationships/hyperlink" Target="http://www.eumed.net/rev/cccss/17/" TargetMode="External"/><Relationship Id="rId12" Type="http://schemas.openxmlformats.org/officeDocument/2006/relationships/hyperlink" Target="http://www.tribunalconstitucional.es/es/memorias/Documents/Memoria-2015.pdf" TargetMode="External"/><Relationship Id="rId2" Type="http://schemas.openxmlformats.org/officeDocument/2006/relationships/hyperlink" Target="http://www.cienciaspenales.net/files/2016/07/2.1.10munoz-conde-franquismo.pdf" TargetMode="External"/><Relationship Id="rId1" Type="http://schemas.openxmlformats.org/officeDocument/2006/relationships/hyperlink" Target="https://www.archives.gov/espanol/constitucion" TargetMode="External"/><Relationship Id="rId6" Type="http://schemas.openxmlformats.org/officeDocument/2006/relationships/hyperlink" Target="http://www.falternativas.org/en/laboratorio/documentos/documentos-de-trabajo/el-recurso-de-amparo-constitucional-una-propuesta-de-reforma" TargetMode="External"/><Relationship Id="rId11" Type="http://schemas.openxmlformats.org/officeDocument/2006/relationships/hyperlink" Target="http://www.tribunalconstitucional.es/es/memorias/Documents/Memoria%202014.pdf" TargetMode="External"/><Relationship Id="rId5" Type="http://schemas.openxmlformats.org/officeDocument/2006/relationships/hyperlink" Target="http://www.falternativas.org/en/laboratorio/documentos/documentos-de-trabajo/el-recurso-de-amparo-constitucional-una-propuesta-de-reforma" TargetMode="External"/><Relationship Id="rId10" Type="http://schemas.openxmlformats.org/officeDocument/2006/relationships/hyperlink" Target="http://www.tribunalconstitucional.es/es/tribunal/estadisticas/Paginas/Estadisticas2009.aspx" TargetMode="External"/><Relationship Id="rId4" Type="http://schemas.openxmlformats.org/officeDocument/2006/relationships/hyperlink" Target="https://www.tribunalconstitucional.es/es/memorias/Paginas/default.aspx" TargetMode="External"/><Relationship Id="rId9" Type="http://schemas.openxmlformats.org/officeDocument/2006/relationships/hyperlink" Target="https://docplayer.es/47168913-La-especial-trascendencia-constitucional-como-presupuesto-del-recurso-de-amparo.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1CAB26-FE43-4B72-B56A-884197959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4628</TotalTime>
  <Pages>370</Pages>
  <Words>111634</Words>
  <Characters>613989</Characters>
  <Application>Microsoft Office Word</Application>
  <DocSecurity>0</DocSecurity>
  <Lines>5116</Lines>
  <Paragraphs>1448</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724175</CharactersWithSpaces>
  <SharedDoc>false</SharedDoc>
  <HLinks>
    <vt:vector size="102" baseType="variant">
      <vt:variant>
        <vt:i4>7602272</vt:i4>
      </vt:variant>
      <vt:variant>
        <vt:i4>81</vt:i4>
      </vt:variant>
      <vt:variant>
        <vt:i4>0</vt:i4>
      </vt:variant>
      <vt:variant>
        <vt:i4>5</vt:i4>
      </vt:variant>
      <vt:variant>
        <vt:lpwstr>http://www.tribunalconstitucional.es/es/tribunal/normasreguladoras/Lists/NormasRegPDF/Normas Reguladoras/leyes.pdf</vt:lpwstr>
      </vt:variant>
      <vt:variant>
        <vt:lpwstr/>
      </vt:variant>
      <vt:variant>
        <vt:i4>5570616</vt:i4>
      </vt:variant>
      <vt:variant>
        <vt:i4>78</vt:i4>
      </vt:variant>
      <vt:variant>
        <vt:i4>0</vt:i4>
      </vt:variant>
      <vt:variant>
        <vt:i4>5</vt:i4>
      </vt:variant>
      <vt:variant>
        <vt:lpwstr>http://noticias.juridicas.com/base_datos/Admin/constitucion.html</vt:lpwstr>
      </vt:variant>
      <vt:variant>
        <vt:lpwstr/>
      </vt:variant>
      <vt:variant>
        <vt:i4>4849752</vt:i4>
      </vt:variant>
      <vt:variant>
        <vt:i4>75</vt:i4>
      </vt:variant>
      <vt:variant>
        <vt:i4>0</vt:i4>
      </vt:variant>
      <vt:variant>
        <vt:i4>5</vt:i4>
      </vt:variant>
      <vt:variant>
        <vt:lpwstr>http://www.apostadigital.com/revistav3/hemeroteca/ortizheras.pdf</vt:lpwstr>
      </vt:variant>
      <vt:variant>
        <vt:lpwstr/>
      </vt:variant>
      <vt:variant>
        <vt:i4>7340150</vt:i4>
      </vt:variant>
      <vt:variant>
        <vt:i4>72</vt:i4>
      </vt:variant>
      <vt:variant>
        <vt:i4>0</vt:i4>
      </vt:variant>
      <vt:variant>
        <vt:i4>5</vt:i4>
      </vt:variant>
      <vt:variant>
        <vt:lpwstr>http://www.boe.es/datos/pdfs/BOE/1933/211/A00682-00690.pdf</vt:lpwstr>
      </vt:variant>
      <vt:variant>
        <vt:lpwstr/>
      </vt:variant>
      <vt:variant>
        <vt:i4>5439594</vt:i4>
      </vt:variant>
      <vt:variant>
        <vt:i4>69</vt:i4>
      </vt:variant>
      <vt:variant>
        <vt:i4>0</vt:i4>
      </vt:variant>
      <vt:variant>
        <vt:i4>5</vt:i4>
      </vt:variant>
      <vt:variant>
        <vt:lpwstr>http://www.congreso.es/constitucion/ficheros/historicas/cons_1931.pdf</vt:lpwstr>
      </vt:variant>
      <vt:variant>
        <vt:lpwstr/>
      </vt:variant>
      <vt:variant>
        <vt:i4>2097263</vt:i4>
      </vt:variant>
      <vt:variant>
        <vt:i4>66</vt:i4>
      </vt:variant>
      <vt:variant>
        <vt:i4>0</vt:i4>
      </vt:variant>
      <vt:variant>
        <vt:i4>5</vt:i4>
      </vt:variant>
      <vt:variant>
        <vt:lpwstr>http://www.congreso.es/docu/constituciones/1931/TribConst1.pdf</vt:lpwstr>
      </vt:variant>
      <vt:variant>
        <vt:lpwstr/>
      </vt:variant>
      <vt:variant>
        <vt:i4>1376344</vt:i4>
      </vt:variant>
      <vt:variant>
        <vt:i4>63</vt:i4>
      </vt:variant>
      <vt:variant>
        <vt:i4>0</vt:i4>
      </vt:variant>
      <vt:variant>
        <vt:i4>5</vt:i4>
      </vt:variant>
      <vt:variant>
        <vt:lpwstr>http://www.congreso.es/portal/page/portal/Congreso/Congreso/Hist_Normas/ConstEsp1812_1978</vt:lpwstr>
      </vt:variant>
      <vt:variant>
        <vt:lpwstr/>
      </vt:variant>
      <vt:variant>
        <vt:i4>1179707</vt:i4>
      </vt:variant>
      <vt:variant>
        <vt:i4>56</vt:i4>
      </vt:variant>
      <vt:variant>
        <vt:i4>0</vt:i4>
      </vt:variant>
      <vt:variant>
        <vt:i4>5</vt:i4>
      </vt:variant>
      <vt:variant>
        <vt:lpwstr/>
      </vt:variant>
      <vt:variant>
        <vt:lpwstr>_Toc398824201</vt:lpwstr>
      </vt:variant>
      <vt:variant>
        <vt:i4>1179707</vt:i4>
      </vt:variant>
      <vt:variant>
        <vt:i4>50</vt:i4>
      </vt:variant>
      <vt:variant>
        <vt:i4>0</vt:i4>
      </vt:variant>
      <vt:variant>
        <vt:i4>5</vt:i4>
      </vt:variant>
      <vt:variant>
        <vt:lpwstr/>
      </vt:variant>
      <vt:variant>
        <vt:lpwstr>_Toc398824200</vt:lpwstr>
      </vt:variant>
      <vt:variant>
        <vt:i4>1769528</vt:i4>
      </vt:variant>
      <vt:variant>
        <vt:i4>44</vt:i4>
      </vt:variant>
      <vt:variant>
        <vt:i4>0</vt:i4>
      </vt:variant>
      <vt:variant>
        <vt:i4>5</vt:i4>
      </vt:variant>
      <vt:variant>
        <vt:lpwstr/>
      </vt:variant>
      <vt:variant>
        <vt:lpwstr>_Toc398824199</vt:lpwstr>
      </vt:variant>
      <vt:variant>
        <vt:i4>1769528</vt:i4>
      </vt:variant>
      <vt:variant>
        <vt:i4>38</vt:i4>
      </vt:variant>
      <vt:variant>
        <vt:i4>0</vt:i4>
      </vt:variant>
      <vt:variant>
        <vt:i4>5</vt:i4>
      </vt:variant>
      <vt:variant>
        <vt:lpwstr/>
      </vt:variant>
      <vt:variant>
        <vt:lpwstr>_Toc398824198</vt:lpwstr>
      </vt:variant>
      <vt:variant>
        <vt:i4>1769528</vt:i4>
      </vt:variant>
      <vt:variant>
        <vt:i4>32</vt:i4>
      </vt:variant>
      <vt:variant>
        <vt:i4>0</vt:i4>
      </vt:variant>
      <vt:variant>
        <vt:i4>5</vt:i4>
      </vt:variant>
      <vt:variant>
        <vt:lpwstr/>
      </vt:variant>
      <vt:variant>
        <vt:lpwstr>_Toc398824197</vt:lpwstr>
      </vt:variant>
      <vt:variant>
        <vt:i4>1769528</vt:i4>
      </vt:variant>
      <vt:variant>
        <vt:i4>26</vt:i4>
      </vt:variant>
      <vt:variant>
        <vt:i4>0</vt:i4>
      </vt:variant>
      <vt:variant>
        <vt:i4>5</vt:i4>
      </vt:variant>
      <vt:variant>
        <vt:lpwstr/>
      </vt:variant>
      <vt:variant>
        <vt:lpwstr>_Toc398824196</vt:lpwstr>
      </vt:variant>
      <vt:variant>
        <vt:i4>1769528</vt:i4>
      </vt:variant>
      <vt:variant>
        <vt:i4>20</vt:i4>
      </vt:variant>
      <vt:variant>
        <vt:i4>0</vt:i4>
      </vt:variant>
      <vt:variant>
        <vt:i4>5</vt:i4>
      </vt:variant>
      <vt:variant>
        <vt:lpwstr/>
      </vt:variant>
      <vt:variant>
        <vt:lpwstr>_Toc398824195</vt:lpwstr>
      </vt:variant>
      <vt:variant>
        <vt:i4>1769528</vt:i4>
      </vt:variant>
      <vt:variant>
        <vt:i4>14</vt:i4>
      </vt:variant>
      <vt:variant>
        <vt:i4>0</vt:i4>
      </vt:variant>
      <vt:variant>
        <vt:i4>5</vt:i4>
      </vt:variant>
      <vt:variant>
        <vt:lpwstr/>
      </vt:variant>
      <vt:variant>
        <vt:lpwstr>_Toc398824194</vt:lpwstr>
      </vt:variant>
      <vt:variant>
        <vt:i4>1769528</vt:i4>
      </vt:variant>
      <vt:variant>
        <vt:i4>8</vt:i4>
      </vt:variant>
      <vt:variant>
        <vt:i4>0</vt:i4>
      </vt:variant>
      <vt:variant>
        <vt:i4>5</vt:i4>
      </vt:variant>
      <vt:variant>
        <vt:lpwstr/>
      </vt:variant>
      <vt:variant>
        <vt:lpwstr>_Toc398824193</vt:lpwstr>
      </vt:variant>
      <vt:variant>
        <vt:i4>1769528</vt:i4>
      </vt:variant>
      <vt:variant>
        <vt:i4>2</vt:i4>
      </vt:variant>
      <vt:variant>
        <vt:i4>0</vt:i4>
      </vt:variant>
      <vt:variant>
        <vt:i4>5</vt:i4>
      </vt:variant>
      <vt:variant>
        <vt:lpwstr/>
      </vt:variant>
      <vt:variant>
        <vt:lpwstr>_Toc398824192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subject/>
  <dc:creator>UJA</dc:creator>
  <cp:keywords>Portada TFG</cp:keywords>
  <cp:lastModifiedBy>ANA LÓPEZ</cp:lastModifiedBy>
  <cp:revision>209</cp:revision>
  <cp:lastPrinted>2014-10-10T08:59:00Z</cp:lastPrinted>
  <dcterms:created xsi:type="dcterms:W3CDTF">2016-11-28T18:19:00Z</dcterms:created>
  <dcterms:modified xsi:type="dcterms:W3CDTF">2020-09-09T08:07:00Z</dcterms:modified>
</cp:coreProperties>
</file>